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FE62A0">
        <w:rPr>
          <w:b/>
          <w:sz w:val="28"/>
          <w:szCs w:val="28"/>
          <w:u w:val="single"/>
        </w:rPr>
        <w:t xml:space="preserve"> Release Notes for Version 1.0</w:t>
      </w:r>
      <w:r w:rsidR="00F456BB">
        <w:rPr>
          <w:b/>
          <w:sz w:val="28"/>
          <w:szCs w:val="28"/>
          <w:u w:val="single"/>
        </w:rPr>
        <w:t>.0</w:t>
      </w:r>
      <w:r w:rsidR="00DA1775">
        <w:rPr>
          <w:b/>
          <w:sz w:val="28"/>
          <w:szCs w:val="28"/>
          <w:u w:val="single"/>
        </w:rPr>
        <w:t xml:space="preserve"> </w:t>
      </w:r>
      <w:r w:rsidR="00002468">
        <w:rPr>
          <w:b/>
          <w:sz w:val="28"/>
          <w:szCs w:val="28"/>
          <w:u w:val="single"/>
        </w:rPr>
        <w:t>February</w:t>
      </w:r>
      <w:r w:rsidR="00FE62A0">
        <w:rPr>
          <w:b/>
          <w:sz w:val="28"/>
          <w:szCs w:val="28"/>
          <w:u w:val="single"/>
        </w:rPr>
        <w:t xml:space="preserve"> </w:t>
      </w:r>
      <w:r w:rsidR="00002468">
        <w:rPr>
          <w:b/>
          <w:sz w:val="28"/>
          <w:szCs w:val="28"/>
          <w:u w:val="single"/>
        </w:rPr>
        <w:t>4</w:t>
      </w:r>
      <w:r w:rsidR="00A41FB0">
        <w:rPr>
          <w:b/>
          <w:sz w:val="28"/>
          <w:szCs w:val="28"/>
          <w:u w:val="single"/>
        </w:rPr>
        <w:t>,</w:t>
      </w:r>
      <w:r w:rsidR="00002468">
        <w:rPr>
          <w:b/>
          <w:sz w:val="28"/>
          <w:szCs w:val="28"/>
          <w:u w:val="single"/>
        </w:rPr>
        <w:t xml:space="preserve"> 2016</w:t>
      </w:r>
      <w:bookmarkStart w:id="0" w:name="_GoBack"/>
      <w:bookmarkEnd w:id="0"/>
    </w:p>
    <w:p w:rsidR="00002AD8" w:rsidRDefault="00A41FB0">
      <w:r>
        <w:t xml:space="preserve">Note: </w:t>
      </w:r>
      <w:r w:rsidR="00002AD8">
        <w:t>This is the first release of th</w:t>
      </w:r>
      <w:r>
        <w:t>e Immunization tool. This tool will be</w:t>
      </w:r>
      <w:r w:rsidR="00002AD8">
        <w:t xml:space="preserve"> used for ONC 2015 Meaningful Use Certification. </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52426D">
        <w:trPr>
          <w:cantSplit/>
        </w:trPr>
        <w:tc>
          <w:tcPr>
            <w:tcW w:w="6228" w:type="dxa"/>
          </w:tcPr>
          <w:p w:rsidR="00423A49" w:rsidRDefault="002961A4" w:rsidP="000652F0">
            <w:r>
              <w:t>None</w:t>
            </w:r>
          </w:p>
        </w:tc>
        <w:tc>
          <w:tcPr>
            <w:tcW w:w="6840" w:type="dxa"/>
          </w:tcPr>
          <w:p w:rsidR="00423A49" w:rsidRDefault="00423A49" w:rsidP="00DE39F3"/>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13599" w:rsidP="002D01CA">
            <w:r>
              <w:t>None</w:t>
            </w:r>
          </w:p>
        </w:tc>
        <w:tc>
          <w:tcPr>
            <w:tcW w:w="6840" w:type="dxa"/>
          </w:tcPr>
          <w:p w:rsidR="00113599" w:rsidRDefault="00113599" w:rsidP="002D01CA"/>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52426D" w:rsidRDefault="00FE62A0" w:rsidP="002D01CA">
            <w:r>
              <w:t>None</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2961A4" w:rsidRDefault="002961A4" w:rsidP="00513518"/>
    <w:p w:rsidR="005A3769" w:rsidRDefault="005A3769" w:rsidP="00513518"/>
    <w:p w:rsidR="005A3769" w:rsidRDefault="005A3769" w:rsidP="00513518"/>
    <w:p w:rsidR="00513518" w:rsidRDefault="00513518" w:rsidP="00513518">
      <w:r>
        <w:lastRenderedPageBreak/>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Pr="001C74BB" w:rsidRDefault="00513518" w:rsidP="00513518">
      <w:pPr>
        <w:rPr>
          <w:b/>
        </w:rPr>
      </w:pPr>
    </w:p>
    <w:sectPr w:rsidR="00513518" w:rsidRPr="001C74BB"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154" w:rsidRDefault="00E47154" w:rsidP="0052426D">
      <w:pPr>
        <w:spacing w:after="0" w:line="240" w:lineRule="auto"/>
      </w:pPr>
      <w:r>
        <w:separator/>
      </w:r>
    </w:p>
  </w:endnote>
  <w:endnote w:type="continuationSeparator" w:id="0">
    <w:p w:rsidR="00E47154" w:rsidRDefault="00E47154"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154" w:rsidRDefault="00E47154" w:rsidP="0052426D">
      <w:pPr>
        <w:spacing w:after="0" w:line="240" w:lineRule="auto"/>
      </w:pPr>
      <w:r>
        <w:separator/>
      </w:r>
    </w:p>
  </w:footnote>
  <w:footnote w:type="continuationSeparator" w:id="0">
    <w:p w:rsidR="00E47154" w:rsidRDefault="00E47154"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540C7"/>
    <w:rsid w:val="000652F0"/>
    <w:rsid w:val="00083E54"/>
    <w:rsid w:val="000A4FCB"/>
    <w:rsid w:val="00110649"/>
    <w:rsid w:val="00113599"/>
    <w:rsid w:val="001210E9"/>
    <w:rsid w:val="00133430"/>
    <w:rsid w:val="00155512"/>
    <w:rsid w:val="001769C2"/>
    <w:rsid w:val="00180B00"/>
    <w:rsid w:val="001C74BB"/>
    <w:rsid w:val="001E434B"/>
    <w:rsid w:val="0021198E"/>
    <w:rsid w:val="00223ACB"/>
    <w:rsid w:val="0024144B"/>
    <w:rsid w:val="002830DF"/>
    <w:rsid w:val="0029034D"/>
    <w:rsid w:val="002961A4"/>
    <w:rsid w:val="002F6BE3"/>
    <w:rsid w:val="0031490F"/>
    <w:rsid w:val="003C2EAA"/>
    <w:rsid w:val="003D6411"/>
    <w:rsid w:val="003E7225"/>
    <w:rsid w:val="003F73FF"/>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D09F5"/>
    <w:rsid w:val="005D3372"/>
    <w:rsid w:val="005E2379"/>
    <w:rsid w:val="006324F8"/>
    <w:rsid w:val="006415A8"/>
    <w:rsid w:val="006477DB"/>
    <w:rsid w:val="00653707"/>
    <w:rsid w:val="006B28CF"/>
    <w:rsid w:val="006C4D6F"/>
    <w:rsid w:val="006F5E50"/>
    <w:rsid w:val="0071617A"/>
    <w:rsid w:val="00727B20"/>
    <w:rsid w:val="00731274"/>
    <w:rsid w:val="00741AE6"/>
    <w:rsid w:val="007461BD"/>
    <w:rsid w:val="00746F0F"/>
    <w:rsid w:val="00752FDA"/>
    <w:rsid w:val="007B2595"/>
    <w:rsid w:val="007B35CA"/>
    <w:rsid w:val="007C4AC1"/>
    <w:rsid w:val="007D23EA"/>
    <w:rsid w:val="007D3827"/>
    <w:rsid w:val="007E3512"/>
    <w:rsid w:val="00835983"/>
    <w:rsid w:val="008B0126"/>
    <w:rsid w:val="008B2C07"/>
    <w:rsid w:val="008E2BC0"/>
    <w:rsid w:val="00943692"/>
    <w:rsid w:val="0096699F"/>
    <w:rsid w:val="00973F9F"/>
    <w:rsid w:val="00987C70"/>
    <w:rsid w:val="009A5B26"/>
    <w:rsid w:val="00A25CE4"/>
    <w:rsid w:val="00A41FB0"/>
    <w:rsid w:val="00AB2DBE"/>
    <w:rsid w:val="00AE73EE"/>
    <w:rsid w:val="00B06B6D"/>
    <w:rsid w:val="00B26824"/>
    <w:rsid w:val="00B2742A"/>
    <w:rsid w:val="00B45B9E"/>
    <w:rsid w:val="00B6219A"/>
    <w:rsid w:val="00B62711"/>
    <w:rsid w:val="00B738AE"/>
    <w:rsid w:val="00B870BC"/>
    <w:rsid w:val="00B87897"/>
    <w:rsid w:val="00BB14FB"/>
    <w:rsid w:val="00BB4B5C"/>
    <w:rsid w:val="00BE1963"/>
    <w:rsid w:val="00C20ACC"/>
    <w:rsid w:val="00C24412"/>
    <w:rsid w:val="00C51E10"/>
    <w:rsid w:val="00C758DB"/>
    <w:rsid w:val="00C96250"/>
    <w:rsid w:val="00CB6B56"/>
    <w:rsid w:val="00CE778B"/>
    <w:rsid w:val="00D00908"/>
    <w:rsid w:val="00D0772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F1053D"/>
    <w:rsid w:val="00F13A05"/>
    <w:rsid w:val="00F456BB"/>
    <w:rsid w:val="00FA5D0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Words>
  <Characters>594</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2</cp:revision>
  <cp:lastPrinted>2015-09-24T19:44:00Z</cp:lastPrinted>
  <dcterms:created xsi:type="dcterms:W3CDTF">2016-02-03T20:08:00Z</dcterms:created>
  <dcterms:modified xsi:type="dcterms:W3CDTF">2016-02-03T20:08:00Z</dcterms:modified>
</cp:coreProperties>
</file>