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FBA7F" w14:textId="60FD0073" w:rsidR="00DC6AB1" w:rsidRPr="00DA3E63" w:rsidRDefault="00B738AE">
      <w:pPr>
        <w:rPr>
          <w:b/>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Release Notes </w:t>
      </w:r>
      <w:r w:rsidR="000E75EF" w:rsidRPr="00B847A3">
        <w:rPr>
          <w:b/>
          <w:sz w:val="28"/>
          <w:szCs w:val="28"/>
          <w:u w:val="single"/>
        </w:rPr>
        <w:t xml:space="preserve">for </w:t>
      </w:r>
      <w:r w:rsidR="000E75EF" w:rsidRPr="00E673E7">
        <w:rPr>
          <w:b/>
          <w:sz w:val="28"/>
          <w:szCs w:val="28"/>
          <w:u w:val="single"/>
        </w:rPr>
        <w:t>Version 1.</w:t>
      </w:r>
      <w:r w:rsidR="00066A45" w:rsidRPr="00E673E7">
        <w:rPr>
          <w:b/>
          <w:sz w:val="28"/>
          <w:szCs w:val="28"/>
          <w:u w:val="single"/>
        </w:rPr>
        <w:t>6.0</w:t>
      </w:r>
      <w:r w:rsidR="000F4ABD" w:rsidRPr="00E673E7">
        <w:rPr>
          <w:b/>
          <w:sz w:val="28"/>
          <w:szCs w:val="28"/>
          <w:u w:val="single"/>
        </w:rPr>
        <w:t xml:space="preserve"> </w:t>
      </w:r>
      <w:r w:rsidR="00E673E7" w:rsidRPr="00E673E7">
        <w:rPr>
          <w:b/>
          <w:sz w:val="28"/>
          <w:szCs w:val="28"/>
          <w:u w:val="single"/>
        </w:rPr>
        <w:t>July</w:t>
      </w:r>
      <w:r w:rsidR="006E13DB">
        <w:rPr>
          <w:b/>
          <w:sz w:val="28"/>
          <w:szCs w:val="28"/>
          <w:u w:val="single"/>
        </w:rPr>
        <w:t xml:space="preserve"> 13,</w:t>
      </w:r>
      <w:bookmarkStart w:id="0" w:name="_GoBack"/>
      <w:bookmarkEnd w:id="0"/>
      <w:r w:rsidR="000F4ABD" w:rsidRPr="00904610">
        <w:rPr>
          <w:b/>
          <w:color w:val="FF0000"/>
          <w:sz w:val="28"/>
          <w:szCs w:val="28"/>
          <w:u w:val="single"/>
        </w:rPr>
        <w:t xml:space="preserve"> </w:t>
      </w:r>
      <w:r w:rsidR="00002468" w:rsidRPr="00E673E7">
        <w:rPr>
          <w:b/>
          <w:sz w:val="28"/>
          <w:szCs w:val="28"/>
          <w:u w:val="single"/>
        </w:rPr>
        <w:t>201</w:t>
      </w:r>
      <w:r w:rsidR="00E673E7" w:rsidRPr="00E673E7">
        <w:rPr>
          <w:b/>
          <w:sz w:val="28"/>
          <w:szCs w:val="28"/>
          <w:u w:val="single"/>
        </w:rPr>
        <w:t>7</w:t>
      </w:r>
    </w:p>
    <w:p w14:paraId="50A262F7" w14:textId="77777777"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412050" w:rsidRPr="0024144B" w14:paraId="5D3FA680" w14:textId="77777777" w:rsidTr="0003768E">
        <w:trPr>
          <w:tblHeader/>
        </w:trPr>
        <w:tc>
          <w:tcPr>
            <w:tcW w:w="4315" w:type="dxa"/>
          </w:tcPr>
          <w:p w14:paraId="00BB8CDA" w14:textId="77777777" w:rsidR="00412050" w:rsidRPr="00990721" w:rsidRDefault="00412050" w:rsidP="009E6C13">
            <w:pPr>
              <w:rPr>
                <w:b/>
              </w:rPr>
            </w:pPr>
            <w:r w:rsidRPr="00990721">
              <w:rPr>
                <w:b/>
              </w:rPr>
              <w:t>Test Case</w:t>
            </w:r>
          </w:p>
        </w:tc>
        <w:tc>
          <w:tcPr>
            <w:tcW w:w="4410" w:type="dxa"/>
          </w:tcPr>
          <w:p w14:paraId="361748FC" w14:textId="77777777" w:rsidR="00412050" w:rsidRPr="00990721" w:rsidRDefault="00412050" w:rsidP="009E6C13">
            <w:pPr>
              <w:rPr>
                <w:b/>
              </w:rPr>
            </w:pPr>
            <w:r w:rsidRPr="00990721">
              <w:rPr>
                <w:b/>
              </w:rPr>
              <w:t>Issue</w:t>
            </w:r>
          </w:p>
        </w:tc>
        <w:tc>
          <w:tcPr>
            <w:tcW w:w="4320" w:type="dxa"/>
          </w:tcPr>
          <w:p w14:paraId="3657B175" w14:textId="77777777" w:rsidR="00412050" w:rsidRPr="00990721" w:rsidRDefault="00412050" w:rsidP="009E6C13">
            <w:pPr>
              <w:rPr>
                <w:b/>
              </w:rPr>
            </w:pPr>
            <w:r w:rsidRPr="00990721">
              <w:rPr>
                <w:b/>
              </w:rPr>
              <w:t>Resolution</w:t>
            </w:r>
          </w:p>
        </w:tc>
      </w:tr>
      <w:tr w:rsidR="00EA21F7" w:rsidRPr="0024144B" w14:paraId="7A36A187" w14:textId="77777777" w:rsidTr="0003768E">
        <w:tc>
          <w:tcPr>
            <w:tcW w:w="4315" w:type="dxa"/>
          </w:tcPr>
          <w:p w14:paraId="357E8445" w14:textId="55DFD5DB"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Evaluated History and Forecast Group</w:t>
            </w:r>
          </w:p>
          <w:p w14:paraId="071C244E" w14:textId="77777777" w:rsidR="001A4066" w:rsidRPr="005E71E7" w:rsidRDefault="001A4066" w:rsidP="009E6C13">
            <w:pPr>
              <w:pStyle w:val="PlainText"/>
              <w:rPr>
                <w:rStyle w:val="indented"/>
                <w:rFonts w:asciiTheme="minorHAnsi" w:hAnsiTheme="minorHAnsi"/>
                <w:sz w:val="22"/>
                <w:szCs w:val="22"/>
              </w:rPr>
            </w:pPr>
          </w:p>
          <w:p w14:paraId="3EBA6637" w14:textId="54E0E37C"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Test Case: IZ-QR-4_Query_Too_Many</w:t>
            </w:r>
          </w:p>
          <w:p w14:paraId="5283E85C" w14:textId="791687E1" w:rsidR="001A4066" w:rsidRPr="005E71E7" w:rsidRDefault="001A4066" w:rsidP="009E6C13">
            <w:pPr>
              <w:pStyle w:val="PlainText"/>
              <w:rPr>
                <w:rStyle w:val="indented"/>
                <w:rFonts w:asciiTheme="minorHAnsi" w:hAnsiTheme="minorHAnsi"/>
                <w:sz w:val="22"/>
                <w:szCs w:val="22"/>
              </w:rPr>
            </w:pPr>
            <w:r w:rsidRPr="005E71E7">
              <w:rPr>
                <w:rStyle w:val="indented"/>
                <w:rFonts w:asciiTheme="minorHAnsi" w:hAnsiTheme="minorHAnsi"/>
                <w:sz w:val="22"/>
                <w:szCs w:val="22"/>
              </w:rPr>
              <w:t>Test Step: IZ-QR-4.2_Response_TM_K11_Z33</w:t>
            </w:r>
          </w:p>
          <w:p w14:paraId="0B097C68" w14:textId="7ABFD2FA" w:rsidR="00C361F6" w:rsidRPr="005E71E7" w:rsidRDefault="00C361F6" w:rsidP="009E6C13">
            <w:pPr>
              <w:pStyle w:val="PlainText"/>
              <w:rPr>
                <w:rFonts w:asciiTheme="minorHAnsi" w:hAnsiTheme="minorHAnsi"/>
                <w:sz w:val="22"/>
                <w:szCs w:val="22"/>
              </w:rPr>
            </w:pPr>
          </w:p>
        </w:tc>
        <w:tc>
          <w:tcPr>
            <w:tcW w:w="4410" w:type="dxa"/>
          </w:tcPr>
          <w:p w14:paraId="05F665D2" w14:textId="1A05C918" w:rsidR="00EA21F7" w:rsidRPr="005E71E7" w:rsidRDefault="001A4066" w:rsidP="009E6C13">
            <w:pPr>
              <w:pStyle w:val="PlainText"/>
              <w:rPr>
                <w:rFonts w:asciiTheme="minorHAnsi" w:hAnsiTheme="minorHAnsi"/>
                <w:sz w:val="22"/>
                <w:szCs w:val="22"/>
              </w:rPr>
            </w:pPr>
            <w:r w:rsidRPr="005E71E7">
              <w:rPr>
                <w:rFonts w:asciiTheme="minorHAnsi" w:hAnsiTheme="minorHAnsi"/>
                <w:sz w:val="22"/>
                <w:szCs w:val="22"/>
              </w:rPr>
              <w:t xml:space="preserve">“NF” is a valid value for populating QAK-2 (Query Response Status) when </w:t>
            </w:r>
            <w:r w:rsidRPr="005E71E7">
              <w:rPr>
                <w:rFonts w:asciiTheme="minorHAnsi" w:hAnsiTheme="minorHAnsi" w:cs="Helvetica"/>
                <w:sz w:val="22"/>
                <w:szCs w:val="22"/>
                <w:shd w:val="clear" w:color="auto" w:fill="FFFFFF"/>
              </w:rPr>
              <w:t>no person was found in response to the query due to too many matches. Test Data for this test step uses “TM” as the value for QAK-2 in the provided RSP message.</w:t>
            </w:r>
          </w:p>
        </w:tc>
        <w:tc>
          <w:tcPr>
            <w:tcW w:w="4320" w:type="dxa"/>
            <w:shd w:val="clear" w:color="auto" w:fill="auto"/>
          </w:tcPr>
          <w:p w14:paraId="58ACDA11" w14:textId="492507B8" w:rsidR="005568FF" w:rsidRPr="005E71E7" w:rsidRDefault="00B75D4C" w:rsidP="009E6C13">
            <w:pPr>
              <w:rPr>
                <w:shd w:val="clear" w:color="auto" w:fill="FFFFFF"/>
              </w:rPr>
            </w:pPr>
            <w:r w:rsidRPr="005E71E7">
              <w:rPr>
                <w:shd w:val="clear" w:color="auto" w:fill="FFFFFF"/>
              </w:rPr>
              <w:t>‘</w:t>
            </w:r>
            <w:r w:rsidR="001A4066" w:rsidRPr="005E71E7">
              <w:rPr>
                <w:shd w:val="clear" w:color="auto" w:fill="FFFFFF"/>
              </w:rPr>
              <w:t>NF</w:t>
            </w:r>
            <w:r w:rsidRPr="005E71E7">
              <w:rPr>
                <w:shd w:val="clear" w:color="auto" w:fill="FFFFFF"/>
              </w:rPr>
              <w:t xml:space="preserve">’ as well as ‘TM’ are acceptable values for populating QAK-2 in the RSP message when </w:t>
            </w:r>
            <w:r w:rsidRPr="005E71E7">
              <w:rPr>
                <w:rFonts w:cs="Helvetica"/>
                <w:shd w:val="clear" w:color="auto" w:fill="FFFFFF"/>
              </w:rPr>
              <w:t>no person was found in response to th</w:t>
            </w:r>
            <w:r w:rsidR="00E04617">
              <w:rPr>
                <w:rFonts w:cs="Helvetica"/>
                <w:shd w:val="clear" w:color="auto" w:fill="FFFFFF"/>
              </w:rPr>
              <w:t>e query due to too many matches</w:t>
            </w:r>
          </w:p>
        </w:tc>
      </w:tr>
      <w:tr w:rsidR="0003768E" w:rsidRPr="0024144B" w14:paraId="669DB7C9" w14:textId="77777777" w:rsidTr="0003768E">
        <w:tc>
          <w:tcPr>
            <w:tcW w:w="4315" w:type="dxa"/>
          </w:tcPr>
          <w:p w14:paraId="45FD2219" w14:textId="77777777"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Administration Group</w:t>
            </w:r>
          </w:p>
          <w:p w14:paraId="1B11E48A" w14:textId="77777777" w:rsidR="0003768E" w:rsidRPr="00E673E7" w:rsidRDefault="0003768E" w:rsidP="0003768E">
            <w:pPr>
              <w:pStyle w:val="PlainText"/>
              <w:rPr>
                <w:rStyle w:val="indented"/>
                <w:rFonts w:asciiTheme="minorHAnsi" w:hAnsiTheme="minorHAnsi"/>
                <w:sz w:val="22"/>
                <w:szCs w:val="22"/>
              </w:rPr>
            </w:pPr>
          </w:p>
          <w:p w14:paraId="1879323D" w14:textId="5D7F9375"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 xml:space="preserve">Test Case: </w:t>
            </w:r>
            <w:r w:rsidR="001E4C07">
              <w:rPr>
                <w:rStyle w:val="indented"/>
                <w:rFonts w:asciiTheme="minorHAnsi" w:hAnsiTheme="minorHAnsi"/>
                <w:sz w:val="22"/>
                <w:szCs w:val="22"/>
              </w:rPr>
              <w:t>I</w:t>
            </w:r>
            <w:r w:rsidRPr="00E673E7">
              <w:rPr>
                <w:rStyle w:val="indented"/>
                <w:rFonts w:asciiTheme="minorHAnsi" w:hAnsiTheme="minorHAnsi"/>
                <w:sz w:val="22"/>
                <w:szCs w:val="22"/>
              </w:rPr>
              <w:t>Z-AD-2_Admin_Adult</w:t>
            </w:r>
          </w:p>
          <w:p w14:paraId="7C891929" w14:textId="709CB716" w:rsidR="0003768E" w:rsidRPr="00E673E7" w:rsidRDefault="0003768E" w:rsidP="0003768E">
            <w:pPr>
              <w:pStyle w:val="PlainText"/>
              <w:rPr>
                <w:rStyle w:val="indented"/>
                <w:rFonts w:asciiTheme="minorHAnsi" w:hAnsiTheme="minorHAnsi"/>
                <w:sz w:val="22"/>
                <w:szCs w:val="22"/>
              </w:rPr>
            </w:pPr>
            <w:r w:rsidRPr="00E673E7">
              <w:rPr>
                <w:rStyle w:val="indented"/>
                <w:rFonts w:asciiTheme="minorHAnsi" w:hAnsiTheme="minorHAnsi"/>
                <w:sz w:val="22"/>
                <w:szCs w:val="22"/>
              </w:rPr>
              <w:t>Test Step: IZ-AD-2.1_Send_V04_Z22</w:t>
            </w:r>
          </w:p>
          <w:p w14:paraId="2EFA7865" w14:textId="77777777" w:rsidR="0003768E" w:rsidRPr="00E673E7" w:rsidRDefault="0003768E" w:rsidP="0003768E">
            <w:pPr>
              <w:pStyle w:val="PlainText"/>
              <w:rPr>
                <w:rStyle w:val="indented"/>
                <w:rFonts w:asciiTheme="minorHAnsi" w:hAnsiTheme="minorHAnsi"/>
                <w:sz w:val="22"/>
                <w:szCs w:val="22"/>
              </w:rPr>
            </w:pPr>
          </w:p>
        </w:tc>
        <w:tc>
          <w:tcPr>
            <w:tcW w:w="4410" w:type="dxa"/>
          </w:tcPr>
          <w:p w14:paraId="59E9829F" w14:textId="11B34CA3" w:rsidR="0003768E" w:rsidRPr="00E673E7" w:rsidRDefault="0003768E" w:rsidP="0003768E">
            <w:r w:rsidRPr="00E673E7">
              <w:t xml:space="preserve">The ID number 253088698300028811150224 for Tetanus/Diphtheria (Td) VIS in the message is out-of-date, since the CDC updated both the VIS Lookup table and the CVX Mapped to VIS table </w:t>
            </w:r>
          </w:p>
        </w:tc>
        <w:tc>
          <w:tcPr>
            <w:tcW w:w="4320" w:type="dxa"/>
            <w:shd w:val="clear" w:color="auto" w:fill="auto"/>
          </w:tcPr>
          <w:p w14:paraId="6E44F5FC" w14:textId="66582E01" w:rsidR="00237A35" w:rsidRPr="00705E6F" w:rsidRDefault="0003768E" w:rsidP="00705E6F">
            <w:pPr>
              <w:pStyle w:val="PlainText"/>
              <w:rPr>
                <w:rFonts w:asciiTheme="minorHAnsi" w:hAnsiTheme="minorHAnsi"/>
                <w:color w:val="FF0000"/>
                <w:sz w:val="22"/>
                <w:szCs w:val="22"/>
              </w:rPr>
            </w:pPr>
            <w:r w:rsidRPr="001E4C07">
              <w:rPr>
                <w:rFonts w:asciiTheme="minorHAnsi" w:hAnsiTheme="minorHAnsi"/>
                <w:sz w:val="22"/>
                <w:szCs w:val="22"/>
              </w:rPr>
              <w:t xml:space="preserve">The ID number </w:t>
            </w:r>
            <w:r w:rsidR="00705E6F" w:rsidRPr="001E4C07">
              <w:rPr>
                <w:rFonts w:asciiTheme="minorHAnsi" w:hAnsiTheme="minorHAnsi"/>
                <w:sz w:val="22"/>
                <w:szCs w:val="22"/>
              </w:rPr>
              <w:t>“253088698300028811150224” and Description “Tetanus/Diphtheria (Td) VIS” in the message has been changed to “253088698300028811170411” and “</w:t>
            </w:r>
            <w:r w:rsidRPr="001E4C07">
              <w:rPr>
                <w:rFonts w:asciiTheme="minorHAnsi" w:hAnsiTheme="minorHAnsi"/>
                <w:sz w:val="22"/>
                <w:szCs w:val="22"/>
              </w:rPr>
              <w:t xml:space="preserve">Tetanus/Diphtheria (Td) </w:t>
            </w:r>
            <w:r w:rsidR="00705E6F" w:rsidRPr="001E4C07">
              <w:rPr>
                <w:rFonts w:asciiTheme="minorHAnsi" w:hAnsiTheme="minorHAnsi"/>
                <w:sz w:val="22"/>
                <w:szCs w:val="22"/>
              </w:rPr>
              <w:t xml:space="preserve">Vaccine </w:t>
            </w:r>
            <w:r w:rsidRPr="001E4C07">
              <w:rPr>
                <w:rFonts w:asciiTheme="minorHAnsi" w:hAnsiTheme="minorHAnsi"/>
                <w:sz w:val="22"/>
                <w:szCs w:val="22"/>
              </w:rPr>
              <w:t>VIS</w:t>
            </w:r>
            <w:r w:rsidR="00705E6F" w:rsidRPr="001E4C07">
              <w:rPr>
                <w:rFonts w:asciiTheme="minorHAnsi" w:hAnsiTheme="minorHAnsi"/>
                <w:sz w:val="22"/>
                <w:szCs w:val="22"/>
              </w:rPr>
              <w:t xml:space="preserve">”; and “253088698300028811170411” and “Tetanus/Diphtheria (Td) Vaccine VIS” have been added to the </w:t>
            </w:r>
            <w:r w:rsidR="00705E6F" w:rsidRPr="001E4C07">
              <w:rPr>
                <w:rFonts w:asciiTheme="minorHAnsi" w:eastAsia="Times New Roman" w:hAnsiTheme="minorHAnsi" w:cs="Helvetica"/>
                <w:sz w:val="22"/>
                <w:szCs w:val="22"/>
                <w:shd w:val="clear" w:color="auto" w:fill="FFFFFF"/>
              </w:rPr>
              <w:t>PHVS_VISBarcodes_IIS Value Set in the Test Suite</w:t>
            </w:r>
            <w:r w:rsidRPr="001E4C07">
              <w:rPr>
                <w:rFonts w:asciiTheme="minorHAnsi" w:hAnsiTheme="minorHAnsi"/>
                <w:sz w:val="22"/>
                <w:szCs w:val="22"/>
              </w:rPr>
              <w:t xml:space="preserve"> </w:t>
            </w:r>
          </w:p>
        </w:tc>
      </w:tr>
      <w:tr w:rsidR="00237A35" w:rsidRPr="0024144B" w14:paraId="1566990C" w14:textId="77777777" w:rsidTr="0003768E">
        <w:tc>
          <w:tcPr>
            <w:tcW w:w="4315" w:type="dxa"/>
          </w:tcPr>
          <w:p w14:paraId="50B9E859" w14:textId="77777777"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Administration Group</w:t>
            </w:r>
          </w:p>
          <w:p w14:paraId="07138A62" w14:textId="77777777" w:rsidR="00237A35" w:rsidRPr="00E673E7" w:rsidRDefault="00237A35" w:rsidP="00237A35">
            <w:pPr>
              <w:pStyle w:val="PlainText"/>
              <w:rPr>
                <w:rStyle w:val="indented"/>
                <w:rFonts w:asciiTheme="minorHAnsi" w:hAnsiTheme="minorHAnsi"/>
                <w:sz w:val="22"/>
                <w:szCs w:val="22"/>
              </w:rPr>
            </w:pPr>
          </w:p>
          <w:p w14:paraId="13B0823C" w14:textId="251127C9"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 xml:space="preserve">Test Case: </w:t>
            </w:r>
            <w:r w:rsidR="001E4C07">
              <w:rPr>
                <w:rStyle w:val="indented"/>
                <w:rFonts w:asciiTheme="minorHAnsi" w:hAnsiTheme="minorHAnsi"/>
                <w:sz w:val="22"/>
                <w:szCs w:val="22"/>
              </w:rPr>
              <w:t>I</w:t>
            </w:r>
            <w:r w:rsidRPr="00E673E7">
              <w:rPr>
                <w:rStyle w:val="indented"/>
                <w:rFonts w:asciiTheme="minorHAnsi" w:hAnsiTheme="minorHAnsi"/>
                <w:sz w:val="22"/>
                <w:szCs w:val="22"/>
              </w:rPr>
              <w:t>Z-AD-2_Admin_Adult</w:t>
            </w:r>
          </w:p>
          <w:p w14:paraId="7580E6D9" w14:textId="77777777" w:rsidR="00237A35" w:rsidRPr="00E673E7" w:rsidRDefault="00237A35" w:rsidP="00237A35">
            <w:pPr>
              <w:pStyle w:val="PlainText"/>
              <w:rPr>
                <w:rStyle w:val="indented"/>
                <w:rFonts w:asciiTheme="minorHAnsi" w:hAnsiTheme="minorHAnsi"/>
                <w:sz w:val="22"/>
                <w:szCs w:val="22"/>
              </w:rPr>
            </w:pPr>
            <w:r w:rsidRPr="00E673E7">
              <w:rPr>
                <w:rStyle w:val="indented"/>
                <w:rFonts w:asciiTheme="minorHAnsi" w:hAnsiTheme="minorHAnsi"/>
                <w:sz w:val="22"/>
                <w:szCs w:val="22"/>
              </w:rPr>
              <w:t>Test Step: IZ-AD-2.1_Send_V04_Z22</w:t>
            </w:r>
          </w:p>
          <w:p w14:paraId="791555ED" w14:textId="77777777" w:rsidR="00237A35" w:rsidRPr="00E673E7" w:rsidRDefault="00237A35" w:rsidP="00237A35">
            <w:pPr>
              <w:pStyle w:val="PlainText"/>
              <w:rPr>
                <w:rFonts w:asciiTheme="minorHAnsi" w:eastAsia="Times New Roman" w:hAnsiTheme="minorHAnsi"/>
                <w:sz w:val="22"/>
                <w:szCs w:val="22"/>
              </w:rPr>
            </w:pPr>
          </w:p>
        </w:tc>
        <w:tc>
          <w:tcPr>
            <w:tcW w:w="4410" w:type="dxa"/>
          </w:tcPr>
          <w:p w14:paraId="428E4CA6" w14:textId="740208BA" w:rsidR="00237A35" w:rsidRPr="00E673E7" w:rsidRDefault="009A210F" w:rsidP="00237A35">
            <w:pPr>
              <w:rPr>
                <w:rFonts w:eastAsia="Times New Roman"/>
              </w:rPr>
            </w:pPr>
            <w:r w:rsidRPr="00E673E7">
              <w:rPr>
                <w:rFonts w:cs="Helvetica"/>
                <w:shd w:val="clear" w:color="auto" w:fill="FFFFFF"/>
              </w:rPr>
              <w:t>The Test Story states “</w:t>
            </w:r>
            <w:r w:rsidR="00237A35" w:rsidRPr="00E673E7">
              <w:rPr>
                <w:rFonts w:cs="Helvetica"/>
                <w:shd w:val="clear" w:color="auto" w:fill="FFFFFF"/>
              </w:rPr>
              <w:t>An appropriate dose of Tdap (TENIVAC) is selected</w:t>
            </w:r>
            <w:r w:rsidRPr="00E673E7">
              <w:rPr>
                <w:rFonts w:cs="Helvetica"/>
                <w:shd w:val="clear" w:color="auto" w:fill="FFFFFF"/>
              </w:rPr>
              <w:t xml:space="preserve">…”, but it should state “An appropriate dose of Td (TENIVAC) is </w:t>
            </w:r>
            <w:r w:rsidR="00E04617">
              <w:rPr>
                <w:rFonts w:cs="Helvetica"/>
                <w:shd w:val="clear" w:color="auto" w:fill="FFFFFF"/>
              </w:rPr>
              <w:t>selected…”</w:t>
            </w:r>
          </w:p>
        </w:tc>
        <w:tc>
          <w:tcPr>
            <w:tcW w:w="4320" w:type="dxa"/>
            <w:shd w:val="clear" w:color="auto" w:fill="auto"/>
          </w:tcPr>
          <w:p w14:paraId="681F5757" w14:textId="2ABF7A76" w:rsidR="00237A35" w:rsidRPr="00E673E7" w:rsidRDefault="009A210F" w:rsidP="00237A35">
            <w:pPr>
              <w:pStyle w:val="PlainText"/>
              <w:rPr>
                <w:rFonts w:asciiTheme="minorHAnsi" w:eastAsia="Times New Roman" w:hAnsiTheme="minorHAnsi"/>
                <w:sz w:val="22"/>
                <w:szCs w:val="22"/>
              </w:rPr>
            </w:pPr>
            <w:r w:rsidRPr="00E673E7">
              <w:rPr>
                <w:rFonts w:asciiTheme="minorHAnsi" w:hAnsiTheme="minorHAnsi" w:cs="Helvetica"/>
                <w:sz w:val="22"/>
                <w:szCs w:val="22"/>
                <w:shd w:val="clear" w:color="auto" w:fill="FFFFFF"/>
              </w:rPr>
              <w:t>“Tdap (TENIVAC)” has</w:t>
            </w:r>
            <w:r w:rsidR="00E04617">
              <w:rPr>
                <w:rFonts w:asciiTheme="minorHAnsi" w:hAnsiTheme="minorHAnsi" w:cs="Helvetica"/>
                <w:sz w:val="22"/>
                <w:szCs w:val="22"/>
                <w:shd w:val="clear" w:color="auto" w:fill="FFFFFF"/>
              </w:rPr>
              <w:t xml:space="preserve"> been changed to ”Td (TENIVAC)”</w:t>
            </w:r>
            <w:r w:rsidR="00775442">
              <w:rPr>
                <w:rFonts w:asciiTheme="minorHAnsi" w:hAnsiTheme="minorHAnsi" w:cs="Helvetica"/>
                <w:sz w:val="22"/>
                <w:szCs w:val="22"/>
                <w:shd w:val="clear" w:color="auto" w:fill="FFFFFF"/>
              </w:rPr>
              <w:t xml:space="preserve"> in the Test Story</w:t>
            </w:r>
          </w:p>
        </w:tc>
      </w:tr>
      <w:tr w:rsidR="00237A35" w:rsidRPr="0024144B" w14:paraId="693BE9E6" w14:textId="77777777" w:rsidTr="0003768E">
        <w:tc>
          <w:tcPr>
            <w:tcW w:w="4315" w:type="dxa"/>
          </w:tcPr>
          <w:p w14:paraId="5B20AF9E" w14:textId="43F42613" w:rsidR="00237A35" w:rsidRPr="008774DB" w:rsidRDefault="00237A35" w:rsidP="00237A35">
            <w:pPr>
              <w:pStyle w:val="PlainText"/>
              <w:rPr>
                <w:rStyle w:val="indented"/>
                <w:rFonts w:asciiTheme="minorHAnsi" w:hAnsiTheme="minorHAnsi"/>
                <w:sz w:val="22"/>
                <w:szCs w:val="22"/>
              </w:rPr>
            </w:pPr>
            <w:r w:rsidRPr="008774DB">
              <w:rPr>
                <w:rFonts w:asciiTheme="minorHAnsi" w:eastAsia="Times New Roman" w:hAnsiTheme="minorHAnsi"/>
                <w:sz w:val="22"/>
              </w:rPr>
              <w:t>For Z22, Z32, and Z42 messages</w:t>
            </w:r>
          </w:p>
        </w:tc>
        <w:tc>
          <w:tcPr>
            <w:tcW w:w="4410" w:type="dxa"/>
          </w:tcPr>
          <w:p w14:paraId="0FFE293A" w14:textId="757FC9B9" w:rsidR="00237A35" w:rsidRPr="008774DB" w:rsidRDefault="00237A35" w:rsidP="00237A35">
            <w:r w:rsidRPr="008774DB">
              <w:rPr>
                <w:rFonts w:eastAsia="Times New Roman"/>
              </w:rPr>
              <w:t xml:space="preserve">New vaccine – </w:t>
            </w:r>
            <w:r w:rsidRPr="008774DB">
              <w:rPr>
                <w:rFonts w:ascii="Calibri" w:eastAsia="Times New Roman" w:hAnsi="Calibri"/>
              </w:rPr>
              <w:t xml:space="preserve">influenza, recombinant, quadrIvalent, injectable, preservative free –  with CVX </w:t>
            </w:r>
            <w:r w:rsidRPr="008774DB">
              <w:rPr>
                <w:rFonts w:eastAsia="Times New Roman"/>
              </w:rPr>
              <w:t xml:space="preserve">code 185 </w:t>
            </w:r>
            <w:r w:rsidRPr="008774DB">
              <w:rPr>
                <w:rFonts w:ascii="Calibri" w:eastAsia="Times New Roman" w:hAnsi="Calibri"/>
              </w:rPr>
              <w:t xml:space="preserve">was added </w:t>
            </w:r>
            <w:r w:rsidRPr="008774DB">
              <w:rPr>
                <w:rFonts w:eastAsia="Times New Roman"/>
              </w:rPr>
              <w:t>in the CDC CVX table</w:t>
            </w:r>
          </w:p>
        </w:tc>
        <w:tc>
          <w:tcPr>
            <w:tcW w:w="4320" w:type="dxa"/>
            <w:shd w:val="clear" w:color="auto" w:fill="auto"/>
          </w:tcPr>
          <w:p w14:paraId="24804DF8" w14:textId="4DA94484" w:rsidR="00237A35" w:rsidRPr="008774DB" w:rsidRDefault="00237A35" w:rsidP="00237A35">
            <w:pPr>
              <w:pStyle w:val="PlainText"/>
              <w:rPr>
                <w:rFonts w:asciiTheme="minorHAnsi" w:hAnsiTheme="minorHAnsi"/>
                <w:sz w:val="22"/>
                <w:szCs w:val="22"/>
              </w:rPr>
            </w:pPr>
            <w:r w:rsidRPr="008774DB">
              <w:rPr>
                <w:rFonts w:asciiTheme="minorHAnsi" w:eastAsia="Times New Roman" w:hAnsiTheme="minorHAnsi"/>
                <w:sz w:val="22"/>
                <w:szCs w:val="22"/>
              </w:rPr>
              <w:t xml:space="preserve">CVX code 185 and the new vaccine – influenza, recombinant, quadrivalent, injectable, preservative free – have been added in the CVX tables for Test Cases with </w:t>
            </w:r>
            <w:r w:rsidRPr="008774DB">
              <w:rPr>
                <w:rFonts w:asciiTheme="minorHAnsi" w:eastAsia="Times New Roman" w:hAnsiTheme="minorHAnsi"/>
                <w:sz w:val="22"/>
              </w:rPr>
              <w:t>Z22, Z32, and Z42 messages</w:t>
            </w:r>
          </w:p>
        </w:tc>
      </w:tr>
      <w:tr w:rsidR="00237A35" w:rsidRPr="0024144B" w14:paraId="2F89B859" w14:textId="77777777" w:rsidTr="0003768E">
        <w:tc>
          <w:tcPr>
            <w:tcW w:w="4315" w:type="dxa"/>
          </w:tcPr>
          <w:p w14:paraId="25797FD0" w14:textId="2E28AFC2" w:rsidR="00237A35" w:rsidRPr="008774DB" w:rsidRDefault="00237A35" w:rsidP="00237A35">
            <w:pPr>
              <w:pStyle w:val="PlainText"/>
              <w:rPr>
                <w:rFonts w:asciiTheme="minorHAnsi" w:eastAsia="Times New Roman" w:hAnsiTheme="minorHAnsi"/>
                <w:sz w:val="22"/>
              </w:rPr>
            </w:pPr>
            <w:r w:rsidRPr="008774DB">
              <w:rPr>
                <w:rFonts w:asciiTheme="minorHAnsi" w:eastAsia="Times New Roman" w:hAnsiTheme="minorHAnsi"/>
                <w:sz w:val="22"/>
              </w:rPr>
              <w:t>For Z22 messages</w:t>
            </w:r>
          </w:p>
        </w:tc>
        <w:tc>
          <w:tcPr>
            <w:tcW w:w="4410" w:type="dxa"/>
          </w:tcPr>
          <w:p w14:paraId="13D3FAE1" w14:textId="4A8F8B23" w:rsidR="00237A35" w:rsidRPr="008774DB" w:rsidRDefault="00237A35" w:rsidP="00237A35">
            <w:pPr>
              <w:rPr>
                <w:rFonts w:ascii="Calibri" w:hAnsi="Calibri"/>
              </w:rPr>
            </w:pPr>
            <w:r w:rsidRPr="008774DB">
              <w:rPr>
                <w:rFonts w:ascii="Calibri" w:hAnsi="Calibri"/>
              </w:rPr>
              <w:t>The CDC NDC tables have been updated to include a new set of NDC codes for Hiberix</w:t>
            </w:r>
          </w:p>
          <w:p w14:paraId="41291C57" w14:textId="0E05E94E" w:rsidR="00237A35" w:rsidRPr="008774DB" w:rsidRDefault="00237A35" w:rsidP="00237A35">
            <w:pPr>
              <w:rPr>
                <w:rFonts w:eastAsia="Times New Roman"/>
              </w:rPr>
            </w:pPr>
          </w:p>
        </w:tc>
        <w:tc>
          <w:tcPr>
            <w:tcW w:w="4320" w:type="dxa"/>
            <w:shd w:val="clear" w:color="auto" w:fill="auto"/>
          </w:tcPr>
          <w:p w14:paraId="32B3A45A" w14:textId="2D8C3FFF" w:rsidR="00237A35" w:rsidRPr="008774DB" w:rsidRDefault="00237A35" w:rsidP="00237A35">
            <w:pPr>
              <w:rPr>
                <w:rFonts w:ascii="Calibri" w:hAnsi="Calibri"/>
              </w:rPr>
            </w:pPr>
            <w:r w:rsidRPr="008774DB">
              <w:rPr>
                <w:rFonts w:ascii="Calibri" w:hAnsi="Calibri"/>
              </w:rPr>
              <w:t xml:space="preserve">These NDC codes have been added to the </w:t>
            </w:r>
            <w:r w:rsidRPr="008774DB">
              <w:rPr>
                <w:rFonts w:ascii="Calibri" w:hAnsi="Calibri"/>
                <w:bCs/>
              </w:rPr>
              <w:t xml:space="preserve">NDC Unit of </w:t>
            </w:r>
            <w:r w:rsidRPr="008774DB">
              <w:rPr>
                <w:rFonts w:ascii="Calibri" w:hAnsi="Calibri"/>
                <w:bCs/>
                <w:u w:val="single"/>
              </w:rPr>
              <w:t>Use</w:t>
            </w:r>
            <w:r w:rsidRPr="008774DB">
              <w:rPr>
                <w:rFonts w:ascii="Calibri" w:hAnsi="Calibri"/>
              </w:rPr>
              <w:t xml:space="preserve"> Value Set: </w:t>
            </w:r>
          </w:p>
          <w:p w14:paraId="30B4E4EA" w14:textId="0979F3BA"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58160-0816-05</w:t>
            </w:r>
          </w:p>
          <w:p w14:paraId="2687D062" w14:textId="67180676"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58160-0806-01</w:t>
            </w:r>
          </w:p>
          <w:p w14:paraId="1359B9DC" w14:textId="4372EA60" w:rsidR="00237A35" w:rsidRPr="008774DB" w:rsidRDefault="00237A35" w:rsidP="00237A35">
            <w:pPr>
              <w:rPr>
                <w:rFonts w:ascii="Calibri" w:hAnsi="Calibri"/>
              </w:rPr>
            </w:pPr>
            <w:r w:rsidRPr="008774DB">
              <w:rPr>
                <w:rFonts w:ascii="Calibri" w:hAnsi="Calibri"/>
              </w:rPr>
              <w:lastRenderedPageBreak/>
              <w:t xml:space="preserve">These NDC codes have been added to the </w:t>
            </w:r>
            <w:r w:rsidRPr="008774DB">
              <w:rPr>
                <w:rFonts w:ascii="Calibri" w:hAnsi="Calibri"/>
                <w:bCs/>
              </w:rPr>
              <w:t xml:space="preserve">NDC Unit of </w:t>
            </w:r>
            <w:r w:rsidRPr="008774DB">
              <w:rPr>
                <w:rFonts w:ascii="Calibri" w:hAnsi="Calibri"/>
                <w:bCs/>
                <w:u w:val="single"/>
              </w:rPr>
              <w:t>Sale</w:t>
            </w:r>
            <w:r w:rsidRPr="008774DB">
              <w:rPr>
                <w:rFonts w:ascii="Calibri" w:hAnsi="Calibri"/>
              </w:rPr>
              <w:t xml:space="preserve"> Value Set: </w:t>
            </w:r>
          </w:p>
          <w:p w14:paraId="787C00C4" w14:textId="77777777" w:rsidR="00237A35" w:rsidRPr="008774DB" w:rsidRDefault="00237A35" w:rsidP="00237A35">
            <w:pPr>
              <w:pStyle w:val="ListParagraph"/>
              <w:numPr>
                <w:ilvl w:val="0"/>
                <w:numId w:val="18"/>
              </w:numPr>
              <w:contextualSpacing w:val="0"/>
              <w:rPr>
                <w:rFonts w:ascii="Calibri" w:hAnsi="Calibri"/>
              </w:rPr>
            </w:pPr>
            <w:r w:rsidRPr="008774DB">
              <w:rPr>
                <w:rFonts w:ascii="Calibri" w:hAnsi="Calibri"/>
              </w:rPr>
              <w:t>58160-0806-05</w:t>
            </w:r>
          </w:p>
          <w:p w14:paraId="6130FDE9" w14:textId="58D73756" w:rsidR="00237A35" w:rsidRPr="008774DB" w:rsidRDefault="00237A35" w:rsidP="00237A35">
            <w:pPr>
              <w:pStyle w:val="ListParagraph"/>
              <w:numPr>
                <w:ilvl w:val="0"/>
                <w:numId w:val="18"/>
              </w:numPr>
              <w:contextualSpacing w:val="0"/>
              <w:rPr>
                <w:rFonts w:eastAsia="Times New Roman"/>
              </w:rPr>
            </w:pPr>
            <w:r w:rsidRPr="008774DB">
              <w:rPr>
                <w:rFonts w:ascii="Calibri" w:hAnsi="Calibri"/>
              </w:rPr>
              <w:t>58160-0818-11</w:t>
            </w:r>
          </w:p>
        </w:tc>
      </w:tr>
      <w:tr w:rsidR="008A293B" w:rsidRPr="0024144B" w14:paraId="6B007E9D" w14:textId="77777777" w:rsidTr="008A293B">
        <w:tc>
          <w:tcPr>
            <w:tcW w:w="4315" w:type="dxa"/>
          </w:tcPr>
          <w:p w14:paraId="54D1C96A" w14:textId="77777777" w:rsidR="008A293B" w:rsidRPr="00E673E7" w:rsidRDefault="008A293B" w:rsidP="00B44441">
            <w:pPr>
              <w:pStyle w:val="PlainText"/>
              <w:rPr>
                <w:rFonts w:asciiTheme="minorHAnsi" w:eastAsia="Times New Roman" w:hAnsiTheme="minorHAnsi"/>
                <w:sz w:val="22"/>
              </w:rPr>
            </w:pPr>
            <w:r w:rsidRPr="00E673E7">
              <w:rPr>
                <w:rFonts w:asciiTheme="minorHAnsi" w:eastAsia="Times New Roman" w:hAnsiTheme="minorHAnsi"/>
                <w:sz w:val="22"/>
              </w:rPr>
              <w:lastRenderedPageBreak/>
              <w:t>For Z22 messages</w:t>
            </w:r>
          </w:p>
        </w:tc>
        <w:tc>
          <w:tcPr>
            <w:tcW w:w="4410" w:type="dxa"/>
          </w:tcPr>
          <w:p w14:paraId="29ED20BD" w14:textId="5E5D3BA2" w:rsidR="008A293B" w:rsidRPr="00E673E7" w:rsidRDefault="008A293B" w:rsidP="00B44441">
            <w:pPr>
              <w:rPr>
                <w:rFonts w:ascii="Calibri" w:hAnsi="Calibri"/>
              </w:rPr>
            </w:pPr>
            <w:r w:rsidRPr="00E673E7">
              <w:rPr>
                <w:rFonts w:ascii="Calibri" w:hAnsi="Calibri"/>
              </w:rPr>
              <w:t xml:space="preserve">The CDC </w:t>
            </w:r>
            <w:r w:rsidR="00F62C4C" w:rsidRPr="00E673E7">
              <w:rPr>
                <w:rFonts w:ascii="Calibri" w:hAnsi="Calibri"/>
              </w:rPr>
              <w:t>VIS</w:t>
            </w:r>
            <w:r w:rsidRPr="00E673E7">
              <w:rPr>
                <w:rFonts w:ascii="Calibri" w:hAnsi="Calibri"/>
              </w:rPr>
              <w:t xml:space="preserve"> table ha</w:t>
            </w:r>
            <w:r w:rsidR="00F62C4C" w:rsidRPr="00E673E7">
              <w:rPr>
                <w:rFonts w:ascii="Calibri" w:hAnsi="Calibri"/>
              </w:rPr>
              <w:t>s</w:t>
            </w:r>
            <w:r w:rsidRPr="00E673E7">
              <w:rPr>
                <w:rFonts w:ascii="Calibri" w:hAnsi="Calibri"/>
              </w:rPr>
              <w:t xml:space="preserve"> been updated to include a new </w:t>
            </w:r>
            <w:r w:rsidR="00F62C4C" w:rsidRPr="00E673E7">
              <w:rPr>
                <w:rFonts w:ascii="Calibri" w:hAnsi="Calibri"/>
              </w:rPr>
              <w:t>entry</w:t>
            </w:r>
            <w:r w:rsidRPr="00E673E7">
              <w:rPr>
                <w:rFonts w:ascii="Calibri" w:hAnsi="Calibri"/>
              </w:rPr>
              <w:t xml:space="preserve"> for </w:t>
            </w:r>
            <w:r w:rsidR="00F62C4C" w:rsidRPr="00E673E7">
              <w:t>the Cholera Vaccine VIS</w:t>
            </w:r>
          </w:p>
        </w:tc>
        <w:tc>
          <w:tcPr>
            <w:tcW w:w="4320" w:type="dxa"/>
          </w:tcPr>
          <w:p w14:paraId="467AAB0A" w14:textId="0DA93888" w:rsidR="001E4C07" w:rsidRPr="00E673E7" w:rsidRDefault="00F62C4C" w:rsidP="00F62C4C">
            <w:pPr>
              <w:rPr>
                <w:rFonts w:ascii="Calibri" w:hAnsi="Calibri"/>
                <w:shd w:val="clear" w:color="auto" w:fill="FFFFFF"/>
              </w:rPr>
            </w:pPr>
            <w:r w:rsidRPr="00E673E7">
              <w:rPr>
                <w:rFonts w:ascii="Calibri" w:hAnsi="Calibri"/>
              </w:rPr>
              <w:t xml:space="preserve">253088698300031811170706 / Cholera Vaccine VIS has been added to the </w:t>
            </w:r>
            <w:r w:rsidRPr="00E673E7">
              <w:rPr>
                <w:rFonts w:ascii="Calibri" w:hAnsi="Calibri"/>
                <w:shd w:val="clear" w:color="auto" w:fill="FFFFFF"/>
              </w:rPr>
              <w:t>PHVS_VISBarcodes_IIS value set</w:t>
            </w:r>
          </w:p>
        </w:tc>
      </w:tr>
      <w:tr w:rsidR="001E4C07" w:rsidRPr="0024144B" w14:paraId="7C3E426B" w14:textId="77777777" w:rsidTr="008A293B">
        <w:tc>
          <w:tcPr>
            <w:tcW w:w="4315" w:type="dxa"/>
          </w:tcPr>
          <w:p w14:paraId="08607F8F"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Administration Group</w:t>
            </w:r>
          </w:p>
          <w:p w14:paraId="790A4505" w14:textId="77777777" w:rsidR="001E4C07" w:rsidRPr="001E4C07" w:rsidRDefault="001E4C07" w:rsidP="001E4C07">
            <w:pPr>
              <w:pStyle w:val="PlainText"/>
              <w:rPr>
                <w:rStyle w:val="indented"/>
                <w:rFonts w:asciiTheme="minorHAnsi" w:hAnsiTheme="minorHAnsi"/>
                <w:sz w:val="22"/>
                <w:szCs w:val="22"/>
              </w:rPr>
            </w:pPr>
          </w:p>
          <w:p w14:paraId="1A06DA3D" w14:textId="773DC330"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Case: IZ-AD-6_Update_Record</w:t>
            </w:r>
          </w:p>
          <w:p w14:paraId="5F2CC431" w14:textId="12FC082C" w:rsidR="001E4C07" w:rsidRPr="001E4C07" w:rsidRDefault="001E4C07" w:rsidP="00B44441">
            <w:pPr>
              <w:pStyle w:val="PlainText"/>
              <w:rPr>
                <w:rFonts w:asciiTheme="minorHAnsi" w:hAnsiTheme="minorHAnsi"/>
                <w:sz w:val="22"/>
                <w:szCs w:val="22"/>
              </w:rPr>
            </w:pPr>
            <w:r w:rsidRPr="001E4C07">
              <w:rPr>
                <w:rStyle w:val="indented"/>
                <w:rFonts w:asciiTheme="minorHAnsi" w:hAnsiTheme="minorHAnsi"/>
                <w:sz w:val="22"/>
                <w:szCs w:val="22"/>
              </w:rPr>
              <w:t>Test Step: IZ-AD-6.1_Send_V04_Z22</w:t>
            </w:r>
          </w:p>
        </w:tc>
        <w:tc>
          <w:tcPr>
            <w:tcW w:w="4410" w:type="dxa"/>
          </w:tcPr>
          <w:p w14:paraId="0C0B2FD8" w14:textId="77777777" w:rsidR="0013466A" w:rsidRPr="001E4C07" w:rsidRDefault="0013466A" w:rsidP="0013466A">
            <w:pPr>
              <w:rPr>
                <w:rFonts w:cs="Helvetica"/>
                <w:color w:val="000000"/>
              </w:rPr>
            </w:pPr>
            <w:r w:rsidRPr="0013466A">
              <w:rPr>
                <w:rFonts w:cs="Helvetica"/>
                <w:i/>
                <w:color w:val="000000"/>
              </w:rPr>
              <w:t>More detailed instructions</w:t>
            </w:r>
            <w:r>
              <w:rPr>
                <w:rFonts w:cs="Helvetica"/>
                <w:color w:val="000000"/>
              </w:rPr>
              <w:t xml:space="preserve"> are needed to focus Testers on expected outcomes for this Test Step</w:t>
            </w:r>
          </w:p>
          <w:p w14:paraId="765ED0B7" w14:textId="77777777" w:rsidR="0013466A" w:rsidRDefault="0013466A" w:rsidP="001E4C07">
            <w:pPr>
              <w:rPr>
                <w:rFonts w:cs="Helvetica"/>
                <w:color w:val="000000"/>
              </w:rPr>
            </w:pPr>
          </w:p>
          <w:p w14:paraId="2EDB5EE4" w14:textId="4483263D" w:rsidR="001E4C07" w:rsidRPr="001E4C07" w:rsidRDefault="001E4C07" w:rsidP="001E4C07">
            <w:pPr>
              <w:rPr>
                <w:rFonts w:cs="Helvetica"/>
                <w:color w:val="000000"/>
              </w:rPr>
            </w:pPr>
            <w:r w:rsidRPr="001E4C07">
              <w:rPr>
                <w:rFonts w:cs="Helvetica"/>
                <w:color w:val="000000"/>
              </w:rPr>
              <w:t>Evaluation Criteria states:</w:t>
            </w:r>
          </w:p>
          <w:p w14:paraId="40BA33A2" w14:textId="29806979" w:rsidR="001E4C07" w:rsidRDefault="00E04617" w:rsidP="001E4C07">
            <w:pPr>
              <w:rPr>
                <w:rFonts w:cs="Helvetica"/>
                <w:color w:val="000000"/>
              </w:rPr>
            </w:pPr>
            <w:r>
              <w:rPr>
                <w:rFonts w:cs="Helvetica"/>
                <w:color w:val="000000"/>
              </w:rPr>
              <w:t>“</w:t>
            </w:r>
            <w:r w:rsidR="001E4C07" w:rsidRPr="001E4C07">
              <w:rPr>
                <w:rFonts w:cs="Helvetica"/>
                <w:color w:val="000000"/>
              </w:rPr>
              <w:t>Message Validation Report.</w:t>
            </w:r>
            <w:r>
              <w:rPr>
                <w:rFonts w:cs="Helvetica"/>
                <w:color w:val="000000"/>
              </w:rPr>
              <w:t>”</w:t>
            </w:r>
          </w:p>
          <w:p w14:paraId="536F65CA" w14:textId="4880D3FE" w:rsidR="001E4C07" w:rsidRPr="001E4C07" w:rsidRDefault="001E4C07" w:rsidP="0013466A"/>
        </w:tc>
        <w:tc>
          <w:tcPr>
            <w:tcW w:w="4320" w:type="dxa"/>
          </w:tcPr>
          <w:p w14:paraId="3BA6603E" w14:textId="48989497" w:rsidR="001E4C07" w:rsidRPr="001E4C07" w:rsidRDefault="001E4C07" w:rsidP="001E4C07">
            <w:pPr>
              <w:rPr>
                <w:rFonts w:cs="Helvetica"/>
              </w:rPr>
            </w:pPr>
            <w:r w:rsidRPr="001E4C07">
              <w:rPr>
                <w:rFonts w:cs="Helvetica"/>
              </w:rPr>
              <w:t>Evaluation Criteria has been updated and states:</w:t>
            </w:r>
          </w:p>
          <w:p w14:paraId="78C6F72C" w14:textId="7321B24C" w:rsidR="001E4C07" w:rsidRPr="001E4C07" w:rsidRDefault="00E04617" w:rsidP="001E4C07">
            <w:pPr>
              <w:rPr>
                <w:rFonts w:cs="Helvetica"/>
              </w:rPr>
            </w:pPr>
            <w:r>
              <w:rPr>
                <w:rFonts w:cs="Helvetica"/>
              </w:rPr>
              <w:t>“</w:t>
            </w:r>
            <w:r w:rsidR="001E4C07" w:rsidRPr="001E4C07">
              <w:rPr>
                <w:rFonts w:cs="Helvetica"/>
              </w:rPr>
              <w:t>Message Validation Report.</w:t>
            </w:r>
          </w:p>
          <w:p w14:paraId="73A0D5FD" w14:textId="15F15A04" w:rsidR="001E4C07" w:rsidRPr="001E4C07" w:rsidRDefault="001E4C07" w:rsidP="00F62C4C">
            <w:pPr>
              <w:rPr>
                <w:rFonts w:cs="Helvetica"/>
              </w:rPr>
            </w:pPr>
            <w:r w:rsidRPr="0013466A">
              <w:rPr>
                <w:rFonts w:cs="Helvetica"/>
                <w:i/>
              </w:rPr>
              <w:t>Lot number that appears in RXA-15 in the message submitted for Test Case 5 will be changed in the message submitted for Test Case 6</w:t>
            </w:r>
            <w:r w:rsidRPr="001E4C07">
              <w:rPr>
                <w:rFonts w:cs="Helvetica"/>
              </w:rPr>
              <w:t>.</w:t>
            </w:r>
            <w:r w:rsidR="00E04617">
              <w:rPr>
                <w:rFonts w:cs="Helvetica"/>
              </w:rPr>
              <w:t>”</w:t>
            </w:r>
          </w:p>
        </w:tc>
      </w:tr>
      <w:tr w:rsidR="001E4C07" w:rsidRPr="0024144B" w14:paraId="66C3812A" w14:textId="77777777" w:rsidTr="008A293B">
        <w:tc>
          <w:tcPr>
            <w:tcW w:w="4315" w:type="dxa"/>
          </w:tcPr>
          <w:p w14:paraId="49D36596"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Administration Group</w:t>
            </w:r>
          </w:p>
          <w:p w14:paraId="4DED07E1" w14:textId="77777777" w:rsidR="001E4C07" w:rsidRPr="001E4C07" w:rsidRDefault="001E4C07" w:rsidP="001E4C07">
            <w:pPr>
              <w:pStyle w:val="PlainText"/>
              <w:rPr>
                <w:rStyle w:val="indented"/>
                <w:rFonts w:asciiTheme="minorHAnsi" w:hAnsiTheme="minorHAnsi"/>
                <w:sz w:val="22"/>
                <w:szCs w:val="22"/>
              </w:rPr>
            </w:pPr>
          </w:p>
          <w:p w14:paraId="19541B28" w14:textId="77777777"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Case: IZ-AD-6_Update_Record</w:t>
            </w:r>
          </w:p>
          <w:p w14:paraId="02AB8054" w14:textId="4AA28DE5" w:rsidR="001E4C07" w:rsidRPr="001E4C07" w:rsidRDefault="001E4C07" w:rsidP="001E4C07">
            <w:pPr>
              <w:pStyle w:val="PlainText"/>
              <w:rPr>
                <w:rStyle w:val="indented"/>
                <w:rFonts w:asciiTheme="minorHAnsi" w:hAnsiTheme="minorHAnsi"/>
                <w:sz w:val="22"/>
                <w:szCs w:val="22"/>
              </w:rPr>
            </w:pPr>
            <w:r w:rsidRPr="001E4C07">
              <w:rPr>
                <w:rStyle w:val="indented"/>
                <w:rFonts w:asciiTheme="minorHAnsi" w:hAnsiTheme="minorHAnsi"/>
                <w:sz w:val="22"/>
                <w:szCs w:val="22"/>
              </w:rPr>
              <w:t>Test Step: IZ-AD-6.1_Send_V04_Z22</w:t>
            </w:r>
          </w:p>
        </w:tc>
        <w:tc>
          <w:tcPr>
            <w:tcW w:w="4410" w:type="dxa"/>
          </w:tcPr>
          <w:p w14:paraId="235A0751" w14:textId="1A888274" w:rsidR="0013466A" w:rsidRPr="001E4C07" w:rsidRDefault="0013466A" w:rsidP="0013466A">
            <w:pPr>
              <w:rPr>
                <w:rFonts w:cs="Helvetica"/>
                <w:color w:val="000000"/>
              </w:rPr>
            </w:pPr>
            <w:r w:rsidRPr="0013466A">
              <w:rPr>
                <w:rFonts w:cs="Helvetica"/>
                <w:i/>
                <w:color w:val="000000"/>
              </w:rPr>
              <w:t>More details</w:t>
            </w:r>
            <w:r>
              <w:rPr>
                <w:rFonts w:cs="Helvetica"/>
                <w:color w:val="000000"/>
              </w:rPr>
              <w:t xml:space="preserve"> are needed to ensure Testers know that manual verification must be used for this Test Step</w:t>
            </w:r>
          </w:p>
          <w:p w14:paraId="2535F5C8" w14:textId="77777777" w:rsidR="0013466A" w:rsidRDefault="0013466A" w:rsidP="001E4C07">
            <w:pPr>
              <w:rPr>
                <w:rFonts w:cs="Helvetica"/>
                <w:color w:val="000000"/>
              </w:rPr>
            </w:pPr>
          </w:p>
          <w:p w14:paraId="4BD8F199" w14:textId="0901CD84" w:rsidR="001E4C07" w:rsidRPr="001E4C07" w:rsidRDefault="001E4C07" w:rsidP="001E4C07">
            <w:pPr>
              <w:rPr>
                <w:rFonts w:cs="Helvetica"/>
                <w:color w:val="000000"/>
              </w:rPr>
            </w:pPr>
            <w:r w:rsidRPr="001E4C07">
              <w:rPr>
                <w:rFonts w:cs="Helvetica"/>
                <w:color w:val="000000"/>
              </w:rPr>
              <w:t>Notes for Testers states:</w:t>
            </w:r>
          </w:p>
          <w:p w14:paraId="6D8CB38D" w14:textId="24E23A01" w:rsidR="001E4C07" w:rsidRPr="001E4C07" w:rsidRDefault="00E04617" w:rsidP="001E4C07">
            <w:pPr>
              <w:rPr>
                <w:rFonts w:eastAsia="Times New Roman" w:cs="Times New Roman"/>
                <w:color w:val="000000"/>
              </w:rPr>
            </w:pPr>
            <w:r>
              <w:rPr>
                <w:rFonts w:eastAsia="Times New Roman" w:cs="Times New Roman"/>
                <w:color w:val="000000"/>
              </w:rPr>
              <w:t>“</w:t>
            </w:r>
            <w:r w:rsidR="001E4C07" w:rsidRPr="00E47F7E">
              <w:rPr>
                <w:rFonts w:eastAsia="Times New Roman" w:cs="Times New Roman"/>
                <w:color w:val="000000"/>
              </w:rPr>
              <w:t>Lot number changed from 208940 in Test Case 5 to 208490 in Test Case 6.</w:t>
            </w:r>
          </w:p>
          <w:p w14:paraId="7400BDB2" w14:textId="77777777" w:rsidR="001E4C07" w:rsidRPr="00E47F7E" w:rsidRDefault="001E4C07" w:rsidP="001E4C07">
            <w:pPr>
              <w:rPr>
                <w:rFonts w:eastAsia="Times New Roman" w:cs="Times New Roman"/>
                <w:color w:val="000000"/>
              </w:rPr>
            </w:pPr>
            <w:r w:rsidRPr="00E47F7E">
              <w:rPr>
                <w:rFonts w:eastAsia="Times New Roman" w:cs="Times New Roman"/>
                <w:color w:val="000000"/>
              </w:rPr>
              <w:t>For new administration messages, the vaccine is communicated using NDC codes in RXA-5 (Administered Code). For a given vaccine, one or more NDC codes may be appropriate to message. For this reason, RXA-5.1 is categorized as "Value - Test Case Fixed List" and allows for multiple valid values. The Message Content and Example Message data contain a single representative valid NDC code for example purposes.</w:t>
            </w:r>
          </w:p>
          <w:p w14:paraId="0866BFCE" w14:textId="46C769F0" w:rsidR="001E4C07" w:rsidRPr="001E4C07" w:rsidRDefault="001E4C07" w:rsidP="001E4C07">
            <w:pPr>
              <w:rPr>
                <w:rFonts w:cs="Helvetica"/>
                <w:color w:val="000000"/>
              </w:rPr>
            </w:pPr>
            <w:r w:rsidRPr="00E47F7E">
              <w:rPr>
                <w:rFonts w:eastAsia="Times New Roman" w:cs="Times New Roman"/>
                <w:color w:val="000000"/>
              </w:rPr>
              <w:t xml:space="preserve">ONC has determined that, from a regulatory/program perspective, an HIT </w:t>
            </w:r>
            <w:r w:rsidRPr="00E47F7E">
              <w:rPr>
                <w:rFonts w:eastAsia="Times New Roman" w:cs="Times New Roman"/>
                <w:color w:val="000000"/>
              </w:rPr>
              <w:lastRenderedPageBreak/>
              <w:t>Module cannot be required to be able to generate messages with the Vaccine Funding Source OBX segment for 2015 Edition certification testing. For certification purposes, ONC permits Testers to ignore the error notification generated by the NIST Immunization Test Suite when this segment is missing. 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r w:rsidR="00E04617">
              <w:rPr>
                <w:rFonts w:eastAsia="Times New Roman" w:cs="Times New Roman"/>
                <w:color w:val="000000"/>
              </w:rPr>
              <w:t>”</w:t>
            </w:r>
          </w:p>
        </w:tc>
        <w:tc>
          <w:tcPr>
            <w:tcW w:w="4320" w:type="dxa"/>
          </w:tcPr>
          <w:p w14:paraId="0CDB17D9" w14:textId="77777777" w:rsidR="001E4C07" w:rsidRPr="001E4C07" w:rsidRDefault="001E4C07" w:rsidP="001E4C07">
            <w:pPr>
              <w:rPr>
                <w:rFonts w:cs="Helvetica"/>
              </w:rPr>
            </w:pPr>
            <w:r w:rsidRPr="001E4C07">
              <w:rPr>
                <w:rFonts w:cs="Helvetica"/>
              </w:rPr>
              <w:lastRenderedPageBreak/>
              <w:t>Evaluation Criteria has been updated and states:</w:t>
            </w:r>
          </w:p>
          <w:p w14:paraId="42A72F26" w14:textId="2EEDEB69" w:rsidR="001E4C07" w:rsidRPr="001E4C07" w:rsidRDefault="00E04617" w:rsidP="001E4C07">
            <w:pPr>
              <w:rPr>
                <w:rFonts w:eastAsia="Times New Roman" w:cs="Times New Roman"/>
              </w:rPr>
            </w:pPr>
            <w:r>
              <w:rPr>
                <w:rFonts w:eastAsia="Times New Roman" w:cs="Times New Roman"/>
              </w:rPr>
              <w:t>“</w:t>
            </w:r>
            <w:r w:rsidR="001E4C07" w:rsidRPr="00E47F7E">
              <w:rPr>
                <w:rFonts w:eastAsia="Times New Roman" w:cs="Times New Roman"/>
              </w:rPr>
              <w:t xml:space="preserve">Lot number </w:t>
            </w:r>
            <w:r w:rsidR="001E4C07" w:rsidRPr="001E4C07">
              <w:rPr>
                <w:rFonts w:eastAsia="Times New Roman" w:cs="Times New Roman"/>
              </w:rPr>
              <w:t xml:space="preserve">in test message </w:t>
            </w:r>
            <w:r w:rsidR="001E4C07" w:rsidRPr="00E47F7E">
              <w:rPr>
                <w:rFonts w:eastAsia="Times New Roman" w:cs="Times New Roman"/>
              </w:rPr>
              <w:t>changed from 208940 in Test Case 5 to 208490 in Test Case 6.</w:t>
            </w:r>
          </w:p>
          <w:p w14:paraId="22C8A3AA" w14:textId="77777777" w:rsidR="001E4C07" w:rsidRPr="0013466A" w:rsidRDefault="001E4C07" w:rsidP="001E4C07">
            <w:pPr>
              <w:rPr>
                <w:rFonts w:eastAsia="Times New Roman" w:cs="Times New Roman"/>
                <w:i/>
              </w:rPr>
            </w:pPr>
            <w:r w:rsidRPr="0013466A">
              <w:rPr>
                <w:rFonts w:eastAsia="Times New Roman" w:cs="Times New Roman"/>
                <w:i/>
              </w:rPr>
              <w:t>Since lot numbers cannot be pre-defined in the Test Data, the Test Suite does not automatically check for exact data in RXA-15; therefore, the Tester must manually verify that the lot number used in the test message for Test Case 5 was changed in the test message for Test Case 6.</w:t>
            </w:r>
          </w:p>
          <w:p w14:paraId="063B88F4" w14:textId="31789AA2" w:rsidR="001E4C07" w:rsidRPr="001E4C07" w:rsidRDefault="001E4C07" w:rsidP="001E4C07">
            <w:pPr>
              <w:rPr>
                <w:rFonts w:eastAsia="Times New Roman" w:cs="Times New Roman"/>
              </w:rPr>
            </w:pPr>
            <w:r w:rsidRPr="00E47F7E">
              <w:rPr>
                <w:rFonts w:eastAsia="Times New Roman" w:cs="Times New Roman"/>
              </w:rPr>
              <w:t xml:space="preserve">For new administration messages, the vaccine is communicated using NDC codes in RXA-5 (Administered Code). For a given vaccine, one or more NDC codes may be appropriate to message. For this reason, RXA-5.1 is categorized as "Value - Test Case Fixed List" and allows for multiple valid values. The </w:t>
            </w:r>
            <w:r w:rsidRPr="00E47F7E">
              <w:rPr>
                <w:rFonts w:eastAsia="Times New Roman" w:cs="Times New Roman"/>
              </w:rPr>
              <w:lastRenderedPageBreak/>
              <w:t>Message Content and Example Message data contain a single representative valid NDC code for example purposes.</w:t>
            </w:r>
          </w:p>
          <w:p w14:paraId="68D8F889" w14:textId="42943D7A" w:rsidR="001E4C07" w:rsidRPr="001E4C07" w:rsidRDefault="001E4C07" w:rsidP="00F62C4C">
            <w:pPr>
              <w:rPr>
                <w:rFonts w:eastAsia="Times New Roman" w:cs="Times New Roman"/>
              </w:rPr>
            </w:pPr>
            <w:r w:rsidRPr="00E47F7E">
              <w:rPr>
                <w:rFonts w:eastAsia="Times New Roman" w:cs="Times New Roman"/>
              </w:rPr>
              <w:t>ONC has determined that, from a regulatory/program perspective, an HIT Module cannot be required to be able to generate messages with the Vaccine Funding Source OBX segment for 2015 Edition certification testing. For certification purposes, ONC permits Testers to ignore the error notification generated by the NIST Immunization Test Suite when this segment is missing. 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r w:rsidR="00E04617">
              <w:rPr>
                <w:rFonts w:eastAsia="Times New Roman" w:cs="Times New Roman"/>
              </w:rPr>
              <w:t>”</w:t>
            </w:r>
          </w:p>
        </w:tc>
      </w:tr>
      <w:tr w:rsidR="00F04F30" w:rsidRPr="0024144B" w14:paraId="670F31C0" w14:textId="77777777" w:rsidTr="00F04F30">
        <w:tc>
          <w:tcPr>
            <w:tcW w:w="4315" w:type="dxa"/>
          </w:tcPr>
          <w:p w14:paraId="6A96EFA9" w14:textId="68347015" w:rsidR="00F04F30" w:rsidRPr="00E673E7" w:rsidRDefault="00F04F30" w:rsidP="008B6405">
            <w:pPr>
              <w:pStyle w:val="PlainText"/>
              <w:rPr>
                <w:rFonts w:asciiTheme="minorHAnsi" w:eastAsia="Times New Roman" w:hAnsiTheme="minorHAnsi"/>
                <w:sz w:val="22"/>
              </w:rPr>
            </w:pPr>
            <w:r w:rsidRPr="00E673E7">
              <w:rPr>
                <w:rFonts w:asciiTheme="minorHAnsi" w:eastAsia="Times New Roman" w:hAnsiTheme="minorHAnsi"/>
                <w:sz w:val="22"/>
              </w:rPr>
              <w:lastRenderedPageBreak/>
              <w:t>For Z22 messages</w:t>
            </w:r>
            <w:r>
              <w:rPr>
                <w:rFonts w:asciiTheme="minorHAnsi" w:eastAsia="Times New Roman" w:hAnsiTheme="minorHAnsi"/>
                <w:sz w:val="22"/>
              </w:rPr>
              <w:t xml:space="preserve"> in Context-based feature</w:t>
            </w:r>
          </w:p>
        </w:tc>
        <w:tc>
          <w:tcPr>
            <w:tcW w:w="4410" w:type="dxa"/>
          </w:tcPr>
          <w:p w14:paraId="3B752566" w14:textId="7CF1CEB8" w:rsidR="00F04F30" w:rsidRPr="00E673E7" w:rsidRDefault="00F04F30" w:rsidP="008B6405">
            <w:pPr>
              <w:rPr>
                <w:rFonts w:ascii="Calibri" w:hAnsi="Calibri"/>
              </w:rPr>
            </w:pPr>
            <w:r w:rsidRPr="00E673E7">
              <w:rPr>
                <w:rFonts w:ascii="Calibri" w:hAnsi="Calibri"/>
              </w:rPr>
              <w:t xml:space="preserve">The </w:t>
            </w:r>
            <w:r>
              <w:rPr>
                <w:rFonts w:ascii="Calibri" w:hAnsi="Calibri"/>
              </w:rPr>
              <w:t>Test Data for OBX-5.1, 5.2, and 5.3 do not display in the Message Content sheet</w:t>
            </w:r>
          </w:p>
        </w:tc>
        <w:tc>
          <w:tcPr>
            <w:tcW w:w="4320" w:type="dxa"/>
          </w:tcPr>
          <w:p w14:paraId="18288F53" w14:textId="424198A4" w:rsidR="00F04F30" w:rsidRPr="00E673E7" w:rsidRDefault="00F04F30" w:rsidP="008B6405">
            <w:pPr>
              <w:rPr>
                <w:rFonts w:ascii="Calibri" w:hAnsi="Calibri"/>
                <w:shd w:val="clear" w:color="auto" w:fill="FFFFFF"/>
              </w:rPr>
            </w:pPr>
            <w:r w:rsidRPr="00E673E7">
              <w:rPr>
                <w:rFonts w:ascii="Calibri" w:hAnsi="Calibri"/>
              </w:rPr>
              <w:t xml:space="preserve">The </w:t>
            </w:r>
            <w:r>
              <w:rPr>
                <w:rFonts w:ascii="Calibri" w:hAnsi="Calibri"/>
              </w:rPr>
              <w:t xml:space="preserve">Test Data for OBX-5.1, 5.2, and 5.3 </w:t>
            </w:r>
            <w:r>
              <w:rPr>
                <w:rFonts w:ascii="Calibri" w:hAnsi="Calibri"/>
              </w:rPr>
              <w:t>now</w:t>
            </w:r>
            <w:r>
              <w:rPr>
                <w:rFonts w:ascii="Calibri" w:hAnsi="Calibri"/>
              </w:rPr>
              <w:t xml:space="preserve"> display in the Message Content sheet</w:t>
            </w:r>
          </w:p>
        </w:tc>
      </w:tr>
    </w:tbl>
    <w:p w14:paraId="687FDC69" w14:textId="77777777" w:rsidR="006F61B1" w:rsidRDefault="006F61B1" w:rsidP="009E6C13">
      <w:pPr>
        <w:spacing w:after="0" w:line="240" w:lineRule="auto"/>
        <w:jc w:val="center"/>
        <w:rPr>
          <w:b/>
          <w:sz w:val="28"/>
          <w:szCs w:val="28"/>
        </w:rPr>
      </w:pPr>
    </w:p>
    <w:p w14:paraId="4CD76434" w14:textId="3254E0A2" w:rsidR="00420C09" w:rsidRDefault="00987C70" w:rsidP="009E6C13">
      <w:pPr>
        <w:spacing w:after="0" w:line="240" w:lineRule="auto"/>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15"/>
        <w:gridCol w:w="6835"/>
      </w:tblGrid>
      <w:tr w:rsidR="009D70DE" w14:paraId="7039C894" w14:textId="77777777" w:rsidTr="00246EA7">
        <w:trPr>
          <w:cantSplit/>
          <w:tblHeader/>
        </w:trPr>
        <w:tc>
          <w:tcPr>
            <w:tcW w:w="6115" w:type="dxa"/>
          </w:tcPr>
          <w:p w14:paraId="1B62EDBD" w14:textId="77777777" w:rsidR="009D70DE" w:rsidRPr="00412050" w:rsidRDefault="009D70DE" w:rsidP="00246EA7">
            <w:pPr>
              <w:rPr>
                <w:b/>
              </w:rPr>
            </w:pPr>
            <w:r>
              <w:rPr>
                <w:b/>
              </w:rPr>
              <w:t>Issue</w:t>
            </w:r>
          </w:p>
        </w:tc>
        <w:tc>
          <w:tcPr>
            <w:tcW w:w="6835" w:type="dxa"/>
          </w:tcPr>
          <w:p w14:paraId="3D4737F0" w14:textId="77777777" w:rsidR="009D70DE" w:rsidRPr="00412050" w:rsidRDefault="009D70DE" w:rsidP="00246EA7">
            <w:pPr>
              <w:rPr>
                <w:b/>
              </w:rPr>
            </w:pPr>
            <w:r w:rsidRPr="00412050">
              <w:rPr>
                <w:b/>
              </w:rPr>
              <w:t>Resolution</w:t>
            </w:r>
          </w:p>
        </w:tc>
      </w:tr>
      <w:tr w:rsidR="009D70DE" w14:paraId="14C2467D" w14:textId="77777777" w:rsidTr="00246EA7">
        <w:trPr>
          <w:cantSplit/>
        </w:trPr>
        <w:tc>
          <w:tcPr>
            <w:tcW w:w="6115" w:type="dxa"/>
          </w:tcPr>
          <w:p w14:paraId="73D0C029" w14:textId="77777777" w:rsidR="009D70DE" w:rsidRPr="00066A45" w:rsidRDefault="009D70DE" w:rsidP="00246EA7">
            <w:pPr>
              <w:tabs>
                <w:tab w:val="center" w:pos="3006"/>
              </w:tabs>
            </w:pPr>
            <w:r w:rsidRPr="00066A45">
              <w:t>None</w:t>
            </w:r>
          </w:p>
        </w:tc>
        <w:tc>
          <w:tcPr>
            <w:tcW w:w="6835" w:type="dxa"/>
          </w:tcPr>
          <w:p w14:paraId="2A68E267" w14:textId="77777777" w:rsidR="009D70DE" w:rsidRPr="005013C1" w:rsidRDefault="009D70DE" w:rsidP="00246EA7">
            <w:pPr>
              <w:shd w:val="clear" w:color="auto" w:fill="FFFFFF"/>
              <w:rPr>
                <w:rFonts w:eastAsia="Times New Roman" w:cs="Times New Roman"/>
              </w:rPr>
            </w:pPr>
          </w:p>
        </w:tc>
      </w:tr>
    </w:tbl>
    <w:p w14:paraId="7D3A8243" w14:textId="4DC2E702" w:rsidR="009D70DE" w:rsidRDefault="009D70DE" w:rsidP="009E6C13">
      <w:pPr>
        <w:spacing w:after="0" w:line="240" w:lineRule="auto"/>
        <w:jc w:val="center"/>
        <w:rPr>
          <w:b/>
          <w:sz w:val="28"/>
          <w:szCs w:val="28"/>
        </w:rPr>
      </w:pPr>
    </w:p>
    <w:p w14:paraId="7480CB84" w14:textId="77777777" w:rsidR="004916FA" w:rsidRDefault="004916FA">
      <w:pPr>
        <w:rPr>
          <w:b/>
          <w:sz w:val="28"/>
          <w:szCs w:val="28"/>
        </w:rPr>
      </w:pPr>
      <w:r>
        <w:rPr>
          <w:b/>
          <w:sz w:val="28"/>
          <w:szCs w:val="28"/>
        </w:rPr>
        <w:br w:type="page"/>
      </w:r>
    </w:p>
    <w:p w14:paraId="49251FBA" w14:textId="0A54DBCC" w:rsidR="009D70DE" w:rsidRPr="00CD7F5B" w:rsidRDefault="009D70DE" w:rsidP="009E6C13">
      <w:pPr>
        <w:spacing w:after="0" w:line="240" w:lineRule="auto"/>
        <w:jc w:val="center"/>
        <w:rPr>
          <w:b/>
          <w:sz w:val="28"/>
          <w:szCs w:val="28"/>
        </w:rPr>
      </w:pPr>
      <w:r w:rsidRPr="00CD7F5B">
        <w:rPr>
          <w:b/>
          <w:sz w:val="28"/>
          <w:szCs w:val="28"/>
        </w:rPr>
        <w:lastRenderedPageBreak/>
        <w:t>User Interface</w:t>
      </w:r>
    </w:p>
    <w:tbl>
      <w:tblPr>
        <w:tblStyle w:val="TableGrid"/>
        <w:tblW w:w="0" w:type="auto"/>
        <w:tblLook w:val="04A0" w:firstRow="1" w:lastRow="0" w:firstColumn="1" w:lastColumn="0" w:noHBand="0" w:noVBand="1"/>
      </w:tblPr>
      <w:tblGrid>
        <w:gridCol w:w="6168"/>
        <w:gridCol w:w="6782"/>
      </w:tblGrid>
      <w:tr w:rsidR="00D65A11" w14:paraId="5E49221A" w14:textId="77777777" w:rsidTr="009E6C13">
        <w:trPr>
          <w:cantSplit/>
          <w:tblHeader/>
        </w:trPr>
        <w:tc>
          <w:tcPr>
            <w:tcW w:w="6168" w:type="dxa"/>
          </w:tcPr>
          <w:p w14:paraId="7E2BFD4C" w14:textId="77777777" w:rsidR="00D65A11" w:rsidRPr="00412050" w:rsidRDefault="00D65A11" w:rsidP="009E6C13">
            <w:pPr>
              <w:rPr>
                <w:b/>
              </w:rPr>
            </w:pPr>
            <w:r w:rsidRPr="00412050">
              <w:rPr>
                <w:b/>
              </w:rPr>
              <w:t>Issue</w:t>
            </w:r>
          </w:p>
        </w:tc>
        <w:tc>
          <w:tcPr>
            <w:tcW w:w="6782" w:type="dxa"/>
          </w:tcPr>
          <w:p w14:paraId="78A147B7" w14:textId="77777777" w:rsidR="00D65A11" w:rsidRPr="00412050" w:rsidRDefault="00D65A11" w:rsidP="009E6C13">
            <w:pPr>
              <w:rPr>
                <w:b/>
              </w:rPr>
            </w:pPr>
            <w:r w:rsidRPr="00412050">
              <w:rPr>
                <w:b/>
              </w:rPr>
              <w:t>Resolution</w:t>
            </w:r>
          </w:p>
        </w:tc>
      </w:tr>
      <w:tr w:rsidR="009E6C13" w14:paraId="553A624B" w14:textId="77777777" w:rsidTr="003E045D">
        <w:trPr>
          <w:cantSplit/>
          <w:tblHeader/>
        </w:trPr>
        <w:tc>
          <w:tcPr>
            <w:tcW w:w="6168" w:type="dxa"/>
          </w:tcPr>
          <w:p w14:paraId="1F445137" w14:textId="7014BEC6" w:rsidR="007B603C" w:rsidRPr="008774DB" w:rsidRDefault="00352067" w:rsidP="009E6C13">
            <w:r w:rsidRPr="008774DB">
              <w:t>Several Test Plans are available in the Test Suite’s Context-based feature, and all of them are listed in the Test Cases window. When the “Expand</w:t>
            </w:r>
            <w:r w:rsidR="007B603C" w:rsidRPr="008774DB">
              <w:t xml:space="preserve"> All</w:t>
            </w:r>
            <w:r w:rsidRPr="008774DB">
              <w:t xml:space="preserve">” </w:t>
            </w:r>
            <w:r w:rsidR="007B603C" w:rsidRPr="008774DB">
              <w:t>button is selected, all of the Test Cases and Test Steps for all of the Test Plans display in the Test Case</w:t>
            </w:r>
            <w:r w:rsidR="00B40E6C" w:rsidRPr="008774DB">
              <w:t>s</w:t>
            </w:r>
            <w:r w:rsidR="007B603C" w:rsidRPr="008774DB">
              <w:t xml:space="preserve"> window.</w:t>
            </w:r>
          </w:p>
          <w:p w14:paraId="47857570" w14:textId="5D177784" w:rsidR="009E6C13" w:rsidRPr="008774DB" w:rsidRDefault="007B603C" w:rsidP="009E6C13">
            <w:r w:rsidRPr="008774DB">
              <w:t xml:space="preserve">Viewing </w:t>
            </w:r>
            <w:r w:rsidR="003E045D" w:rsidRPr="008774DB">
              <w:t xml:space="preserve">and selecting </w:t>
            </w:r>
            <w:r w:rsidR="007F3A27" w:rsidRPr="008774DB">
              <w:t>a desired</w:t>
            </w:r>
            <w:r w:rsidRPr="008774DB">
              <w:t xml:space="preserve"> Test Case and</w:t>
            </w:r>
            <w:r w:rsidR="007F3A27" w:rsidRPr="008774DB">
              <w:t>/or</w:t>
            </w:r>
            <w:r w:rsidRPr="008774DB">
              <w:t xml:space="preserve"> Test Step in</w:t>
            </w:r>
            <w:r w:rsidR="00352067" w:rsidRPr="008774DB">
              <w:t xml:space="preserve"> a desired Test Plan</w:t>
            </w:r>
            <w:r w:rsidR="00B40E6C" w:rsidRPr="008774DB">
              <w:t xml:space="preserve"> from</w:t>
            </w:r>
            <w:r w:rsidR="00352067" w:rsidRPr="008774DB">
              <w:t xml:space="preserve"> one long list </w:t>
            </w:r>
            <w:r w:rsidRPr="008774DB">
              <w:t>in the Test Case</w:t>
            </w:r>
            <w:r w:rsidR="00B40E6C" w:rsidRPr="008774DB">
              <w:t>s</w:t>
            </w:r>
            <w:r w:rsidRPr="008774DB">
              <w:t xml:space="preserve"> window is a cumbers</w:t>
            </w:r>
            <w:r w:rsidR="00352067" w:rsidRPr="008774DB">
              <w:t>ome</w:t>
            </w:r>
            <w:r w:rsidRPr="008774DB">
              <w:t xml:space="preserve"> process.</w:t>
            </w:r>
          </w:p>
        </w:tc>
        <w:tc>
          <w:tcPr>
            <w:tcW w:w="6782" w:type="dxa"/>
          </w:tcPr>
          <w:p w14:paraId="5742B3D9" w14:textId="77777777" w:rsidR="003E045D" w:rsidRPr="008774DB" w:rsidRDefault="007B603C" w:rsidP="009E6C13">
            <w:r w:rsidRPr="008774DB">
              <w:t xml:space="preserve">A Test Plan drop-down menu </w:t>
            </w:r>
            <w:r w:rsidR="003E045D" w:rsidRPr="008774DB">
              <w:t xml:space="preserve">that lists the Test Plans </w:t>
            </w:r>
            <w:r w:rsidRPr="008774DB">
              <w:t xml:space="preserve">has been added to the Test Suite’s Context-based screen to allow more efficient access to the desired Test Plan. </w:t>
            </w:r>
          </w:p>
          <w:p w14:paraId="6734FCB3" w14:textId="77777777" w:rsidR="00624284" w:rsidRPr="008774DB" w:rsidRDefault="00624284" w:rsidP="009E6C13"/>
          <w:p w14:paraId="03F8F9BA" w14:textId="59889124" w:rsidR="003E045D" w:rsidRPr="008774DB" w:rsidRDefault="003E045D" w:rsidP="009E6C13">
            <w:r w:rsidRPr="008774DB">
              <w:t>When the Context-based feature is selected, “</w:t>
            </w:r>
            <w:r w:rsidRPr="008774DB">
              <w:rPr>
                <w:rFonts w:cs="Helvetica"/>
                <w:shd w:val="clear" w:color="auto" w:fill="FFFFFF"/>
              </w:rPr>
              <w:t>No Test Case Available” displays in the Test Cases window, and “—Select Test Plan –</w:t>
            </w:r>
            <w:r w:rsidR="009E3097" w:rsidRPr="008774DB">
              <w:rPr>
                <w:rFonts w:cs="Helvetica"/>
                <w:shd w:val="clear" w:color="auto" w:fill="FFFFFF"/>
              </w:rPr>
              <w:t xml:space="preserve">” </w:t>
            </w:r>
            <w:r w:rsidRPr="008774DB">
              <w:rPr>
                <w:rFonts w:cs="Helvetica"/>
                <w:shd w:val="clear" w:color="auto" w:fill="FFFFFF"/>
              </w:rPr>
              <w:t xml:space="preserve">displays in the Test Plan drop down menu. </w:t>
            </w:r>
          </w:p>
          <w:p w14:paraId="3385EEC5" w14:textId="77777777" w:rsidR="00624284" w:rsidRPr="008774DB" w:rsidRDefault="00624284" w:rsidP="009E6C13"/>
          <w:p w14:paraId="65F72459" w14:textId="23C0B900" w:rsidR="009E6C13" w:rsidRPr="008774DB" w:rsidRDefault="003E045D" w:rsidP="009E6C13">
            <w:r w:rsidRPr="008774DB">
              <w:t>Once the desired Test Plan has been selected from the drop-down menu, then only the Test Cases and Test Steps for that Test Plan display in the Test Plans window.</w:t>
            </w:r>
          </w:p>
        </w:tc>
      </w:tr>
      <w:tr w:rsidR="003E045D" w14:paraId="3847981D" w14:textId="77777777" w:rsidTr="008358E3">
        <w:trPr>
          <w:cantSplit/>
          <w:tblHeader/>
        </w:trPr>
        <w:tc>
          <w:tcPr>
            <w:tcW w:w="6168" w:type="dxa"/>
            <w:tcBorders>
              <w:bottom w:val="single" w:sz="4" w:space="0" w:color="auto"/>
            </w:tcBorders>
          </w:tcPr>
          <w:p w14:paraId="1579C01F" w14:textId="6301CF8F" w:rsidR="003E045D" w:rsidRPr="008774DB" w:rsidRDefault="003E045D" w:rsidP="003E045D">
            <w:r w:rsidRPr="008774DB">
              <w:t>Several Profile Groups can be made available in the Test Suite’s Context-free feature</w:t>
            </w:r>
            <w:r w:rsidR="007F3A27" w:rsidRPr="008774DB">
              <w:t xml:space="preserve">. </w:t>
            </w:r>
            <w:r w:rsidRPr="008774DB">
              <w:t>When the “Expand All” button is selected, all of the Profiles in a</w:t>
            </w:r>
            <w:r w:rsidR="007F3A27" w:rsidRPr="008774DB">
              <w:t>ll of the</w:t>
            </w:r>
            <w:r w:rsidRPr="008774DB">
              <w:t xml:space="preserve"> Profile Group</w:t>
            </w:r>
            <w:r w:rsidR="007F3A27" w:rsidRPr="008774DB">
              <w:t>s</w:t>
            </w:r>
            <w:r w:rsidRPr="008774DB">
              <w:t xml:space="preserve"> display in the Profiles window.</w:t>
            </w:r>
          </w:p>
          <w:p w14:paraId="6B3612EE" w14:textId="69F7FADA" w:rsidR="003E045D" w:rsidRPr="008774DB" w:rsidRDefault="003E045D" w:rsidP="003E045D">
            <w:r w:rsidRPr="008774DB">
              <w:t xml:space="preserve">Viewing and selecting </w:t>
            </w:r>
            <w:r w:rsidR="007F3A27" w:rsidRPr="008774DB">
              <w:t>a desired</w:t>
            </w:r>
            <w:r w:rsidRPr="008774DB">
              <w:t xml:space="preserve"> </w:t>
            </w:r>
            <w:r w:rsidR="007F3A27" w:rsidRPr="008774DB">
              <w:t>Profile</w:t>
            </w:r>
            <w:r w:rsidRPr="008774DB">
              <w:t xml:space="preserve"> in a </w:t>
            </w:r>
            <w:r w:rsidR="007F3A27" w:rsidRPr="008774DB">
              <w:t>specific</w:t>
            </w:r>
            <w:r w:rsidRPr="008774DB">
              <w:t xml:space="preserve"> </w:t>
            </w:r>
            <w:r w:rsidR="007F3A27" w:rsidRPr="008774DB">
              <w:t>Profile Group</w:t>
            </w:r>
            <w:r w:rsidRPr="008774DB">
              <w:t xml:space="preserve"> from one long list in the </w:t>
            </w:r>
            <w:r w:rsidR="007F3A27" w:rsidRPr="008774DB">
              <w:t>Profiles</w:t>
            </w:r>
            <w:r w:rsidRPr="008774DB">
              <w:t xml:space="preserve"> window is a cumbersome process.</w:t>
            </w:r>
            <w:r w:rsidR="007F3A27" w:rsidRPr="008774DB">
              <w:t xml:space="preserve"> </w:t>
            </w:r>
          </w:p>
        </w:tc>
        <w:tc>
          <w:tcPr>
            <w:tcW w:w="6782" w:type="dxa"/>
            <w:tcBorders>
              <w:bottom w:val="single" w:sz="4" w:space="0" w:color="auto"/>
            </w:tcBorders>
          </w:tcPr>
          <w:p w14:paraId="0533C170" w14:textId="4F84264E" w:rsidR="003E045D" w:rsidRPr="008774DB" w:rsidRDefault="003E045D" w:rsidP="003E045D">
            <w:r w:rsidRPr="008774DB">
              <w:t xml:space="preserve">A </w:t>
            </w:r>
            <w:r w:rsidR="007F3A27" w:rsidRPr="008774DB">
              <w:t>Profile Group</w:t>
            </w:r>
            <w:r w:rsidRPr="008774DB">
              <w:t xml:space="preserve"> drop-down menu that lists the </w:t>
            </w:r>
            <w:r w:rsidR="007F3A27" w:rsidRPr="008774DB">
              <w:t xml:space="preserve">Profile Groups </w:t>
            </w:r>
            <w:r w:rsidRPr="008774DB">
              <w:t>has been added to the Test Suite’s Context-</w:t>
            </w:r>
            <w:r w:rsidR="007F3A27" w:rsidRPr="008774DB">
              <w:t>free</w:t>
            </w:r>
            <w:r w:rsidRPr="008774DB">
              <w:t xml:space="preserve"> screen to allow more efficient access to the desired </w:t>
            </w:r>
            <w:r w:rsidR="007F3A27" w:rsidRPr="008774DB">
              <w:t>Profile Group</w:t>
            </w:r>
            <w:r w:rsidRPr="008774DB">
              <w:t xml:space="preserve">. </w:t>
            </w:r>
          </w:p>
          <w:p w14:paraId="3FC6D3E2" w14:textId="77777777" w:rsidR="00624284" w:rsidRPr="008774DB" w:rsidRDefault="00624284" w:rsidP="00C43BEC"/>
          <w:p w14:paraId="4135106D" w14:textId="035A71A7" w:rsidR="00C43BEC" w:rsidRPr="008774DB" w:rsidRDefault="00C43BEC" w:rsidP="00C43BEC">
            <w:r w:rsidRPr="008774DB">
              <w:t xml:space="preserve">When the Context-free feature is selected and </w:t>
            </w:r>
            <w:r w:rsidR="00624284" w:rsidRPr="008774DB">
              <w:t>only one</w:t>
            </w:r>
            <w:r w:rsidRPr="008774DB">
              <w:t xml:space="preserve"> Profile Group</w:t>
            </w:r>
            <w:r w:rsidR="00624284" w:rsidRPr="008774DB">
              <w:t xml:space="preserve"> i</w:t>
            </w:r>
            <w:r w:rsidRPr="008774DB">
              <w:t xml:space="preserve">s available, </w:t>
            </w:r>
            <w:r w:rsidR="00624284" w:rsidRPr="008774DB">
              <w:t>the name of that Profile Group</w:t>
            </w:r>
            <w:r w:rsidRPr="008774DB">
              <w:rPr>
                <w:rFonts w:cs="Helvetica"/>
                <w:shd w:val="clear" w:color="auto" w:fill="FFFFFF"/>
              </w:rPr>
              <w:t xml:space="preserve"> displays in the Profiles</w:t>
            </w:r>
            <w:r w:rsidR="00624284" w:rsidRPr="008774DB">
              <w:rPr>
                <w:rFonts w:cs="Helvetica"/>
                <w:shd w:val="clear" w:color="auto" w:fill="FFFFFF"/>
              </w:rPr>
              <w:t xml:space="preserve"> window </w:t>
            </w:r>
            <w:r w:rsidR="00624284" w:rsidRPr="008774DB">
              <w:t>and Profiles for that Profile Group display in the Profiles window.</w:t>
            </w:r>
          </w:p>
          <w:p w14:paraId="2236650B" w14:textId="77777777" w:rsidR="00624284" w:rsidRPr="008774DB" w:rsidRDefault="00624284" w:rsidP="00624284"/>
          <w:p w14:paraId="14811D24" w14:textId="61B2C4D7" w:rsidR="003E045D" w:rsidRPr="008774DB" w:rsidRDefault="003E045D" w:rsidP="00624284">
            <w:r w:rsidRPr="008774DB">
              <w:t>When the Context-</w:t>
            </w:r>
            <w:r w:rsidR="007F3A27" w:rsidRPr="008774DB">
              <w:t>free</w:t>
            </w:r>
            <w:r w:rsidRPr="008774DB">
              <w:t xml:space="preserve"> feature is selected</w:t>
            </w:r>
            <w:r w:rsidR="007F3A27" w:rsidRPr="008774DB">
              <w:t xml:space="preserve"> and multiple Profile Groups are available</w:t>
            </w:r>
            <w:r w:rsidRPr="008774DB">
              <w:t>, “</w:t>
            </w:r>
            <w:r w:rsidRPr="008774DB">
              <w:rPr>
                <w:rFonts w:cs="Helvetica"/>
                <w:shd w:val="clear" w:color="auto" w:fill="FFFFFF"/>
              </w:rPr>
              <w:t xml:space="preserve">No </w:t>
            </w:r>
            <w:r w:rsidR="007F3A27" w:rsidRPr="008774DB">
              <w:rPr>
                <w:rFonts w:cs="Helvetica"/>
                <w:shd w:val="clear" w:color="auto" w:fill="FFFFFF"/>
              </w:rPr>
              <w:t>Profile Group</w:t>
            </w:r>
            <w:r w:rsidRPr="008774DB">
              <w:rPr>
                <w:rFonts w:cs="Helvetica"/>
                <w:shd w:val="clear" w:color="auto" w:fill="FFFFFF"/>
              </w:rPr>
              <w:t xml:space="preserve"> Available” displays in the </w:t>
            </w:r>
            <w:r w:rsidR="007F3A27" w:rsidRPr="008774DB">
              <w:rPr>
                <w:rFonts w:cs="Helvetica"/>
                <w:shd w:val="clear" w:color="auto" w:fill="FFFFFF"/>
              </w:rPr>
              <w:t>Profiles</w:t>
            </w:r>
            <w:r w:rsidRPr="008774DB">
              <w:rPr>
                <w:rFonts w:cs="Helvetica"/>
                <w:shd w:val="clear" w:color="auto" w:fill="FFFFFF"/>
              </w:rPr>
              <w:t xml:space="preserve"> window, and “—Select </w:t>
            </w:r>
            <w:r w:rsidR="007F3A27" w:rsidRPr="008774DB">
              <w:rPr>
                <w:rFonts w:cs="Helvetica"/>
                <w:shd w:val="clear" w:color="auto" w:fill="FFFFFF"/>
              </w:rPr>
              <w:t>Profile Group</w:t>
            </w:r>
            <w:r w:rsidRPr="008774DB">
              <w:rPr>
                <w:rFonts w:cs="Helvetica"/>
                <w:shd w:val="clear" w:color="auto" w:fill="FFFFFF"/>
              </w:rPr>
              <w:t xml:space="preserve"> –</w:t>
            </w:r>
            <w:r w:rsidR="00BC0858" w:rsidRPr="008774DB">
              <w:rPr>
                <w:rFonts w:cs="Helvetica"/>
                <w:shd w:val="clear" w:color="auto" w:fill="FFFFFF"/>
              </w:rPr>
              <w:t xml:space="preserve">” </w:t>
            </w:r>
            <w:r w:rsidRPr="008774DB">
              <w:rPr>
                <w:rFonts w:cs="Helvetica"/>
                <w:shd w:val="clear" w:color="auto" w:fill="FFFFFF"/>
              </w:rPr>
              <w:t xml:space="preserve">displays in the </w:t>
            </w:r>
            <w:r w:rsidR="007F3A27" w:rsidRPr="008774DB">
              <w:rPr>
                <w:rFonts w:cs="Helvetica"/>
                <w:shd w:val="clear" w:color="auto" w:fill="FFFFFF"/>
              </w:rPr>
              <w:t>Profile Groups</w:t>
            </w:r>
            <w:r w:rsidRPr="008774DB">
              <w:rPr>
                <w:rFonts w:cs="Helvetica"/>
                <w:shd w:val="clear" w:color="auto" w:fill="FFFFFF"/>
              </w:rPr>
              <w:t xml:space="preserve"> drop down menu. </w:t>
            </w:r>
            <w:r w:rsidRPr="008774DB">
              <w:t xml:space="preserve">Once the desired </w:t>
            </w:r>
            <w:r w:rsidR="007F3A27" w:rsidRPr="008774DB">
              <w:t>Profile Group</w:t>
            </w:r>
            <w:r w:rsidRPr="008774DB">
              <w:t xml:space="preserve"> has been selected from the drop-down menu, then only the </w:t>
            </w:r>
            <w:r w:rsidR="007F3A27" w:rsidRPr="008774DB">
              <w:t>Profile Group</w:t>
            </w:r>
            <w:r w:rsidRPr="008774DB">
              <w:t xml:space="preserve"> and </w:t>
            </w:r>
            <w:r w:rsidR="007F3A27" w:rsidRPr="008774DB">
              <w:t>Profiles</w:t>
            </w:r>
            <w:r w:rsidRPr="008774DB">
              <w:t xml:space="preserve"> for that </w:t>
            </w:r>
            <w:r w:rsidR="007F3A27" w:rsidRPr="008774DB">
              <w:t>Profile Group</w:t>
            </w:r>
            <w:r w:rsidRPr="008774DB">
              <w:t xml:space="preserve"> display in the </w:t>
            </w:r>
            <w:r w:rsidR="007F3A27" w:rsidRPr="008774DB">
              <w:t>Profiles</w:t>
            </w:r>
            <w:r w:rsidRPr="008774DB">
              <w:t xml:space="preserve"> window.</w:t>
            </w:r>
          </w:p>
        </w:tc>
      </w:tr>
    </w:tbl>
    <w:p w14:paraId="00C3E46B" w14:textId="77777777" w:rsidR="009E6C13" w:rsidRDefault="009E6C13" w:rsidP="009E6C13">
      <w:pPr>
        <w:spacing w:after="0" w:line="240" w:lineRule="auto"/>
        <w:jc w:val="center"/>
        <w:rPr>
          <w:b/>
          <w:sz w:val="28"/>
          <w:szCs w:val="28"/>
        </w:rPr>
      </w:pPr>
    </w:p>
    <w:p w14:paraId="7880110E" w14:textId="77777777" w:rsidR="004916FA" w:rsidRDefault="004916FA">
      <w:pPr>
        <w:rPr>
          <w:b/>
          <w:sz w:val="28"/>
          <w:szCs w:val="28"/>
        </w:rPr>
      </w:pPr>
      <w:r>
        <w:rPr>
          <w:b/>
          <w:sz w:val="28"/>
          <w:szCs w:val="28"/>
        </w:rPr>
        <w:br w:type="page"/>
      </w:r>
    </w:p>
    <w:p w14:paraId="227555B5" w14:textId="56C902DF" w:rsidR="00C758DB" w:rsidRPr="00CD7F5B" w:rsidRDefault="00C758DB" w:rsidP="009E6C13">
      <w:pPr>
        <w:spacing w:after="0" w:line="240" w:lineRule="auto"/>
        <w:jc w:val="center"/>
        <w:rPr>
          <w:b/>
          <w:sz w:val="28"/>
          <w:szCs w:val="28"/>
        </w:rPr>
      </w:pPr>
      <w:r w:rsidRPr="00CD7F5B">
        <w:rPr>
          <w:b/>
          <w:sz w:val="28"/>
          <w:szCs w:val="28"/>
        </w:rPr>
        <w:lastRenderedPageBreak/>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6170"/>
        <w:gridCol w:w="6780"/>
      </w:tblGrid>
      <w:tr w:rsidR="00C758DB" w14:paraId="32220B7E" w14:textId="77777777" w:rsidTr="00066A45">
        <w:trPr>
          <w:cantSplit/>
          <w:tblHeader/>
        </w:trPr>
        <w:tc>
          <w:tcPr>
            <w:tcW w:w="6170" w:type="dxa"/>
          </w:tcPr>
          <w:p w14:paraId="0A65CEC2" w14:textId="77777777" w:rsidR="00C758DB" w:rsidRPr="00412050" w:rsidRDefault="00C758DB" w:rsidP="009E6C13">
            <w:pPr>
              <w:rPr>
                <w:b/>
              </w:rPr>
            </w:pPr>
            <w:r w:rsidRPr="00412050">
              <w:rPr>
                <w:b/>
              </w:rPr>
              <w:t>Issue</w:t>
            </w:r>
          </w:p>
        </w:tc>
        <w:tc>
          <w:tcPr>
            <w:tcW w:w="6780" w:type="dxa"/>
          </w:tcPr>
          <w:p w14:paraId="7EB99F52" w14:textId="77777777" w:rsidR="00C758DB" w:rsidRPr="00412050" w:rsidRDefault="00C758DB" w:rsidP="009E6C13">
            <w:pPr>
              <w:rPr>
                <w:b/>
              </w:rPr>
            </w:pPr>
            <w:r w:rsidRPr="00412050">
              <w:rPr>
                <w:b/>
              </w:rPr>
              <w:t>Resolution</w:t>
            </w:r>
          </w:p>
        </w:tc>
      </w:tr>
      <w:tr w:rsidR="00C758DB" w14:paraId="34A81266" w14:textId="77777777" w:rsidTr="00066A45">
        <w:trPr>
          <w:cantSplit/>
        </w:trPr>
        <w:tc>
          <w:tcPr>
            <w:tcW w:w="6170" w:type="dxa"/>
          </w:tcPr>
          <w:p w14:paraId="5F1FC09B" w14:textId="4222DFB3" w:rsidR="00C758DB" w:rsidRPr="00066A45" w:rsidRDefault="00066A45" w:rsidP="009E6C13">
            <w:pPr>
              <w:pStyle w:val="PlainText"/>
              <w:rPr>
                <w:rFonts w:asciiTheme="minorHAnsi" w:hAnsiTheme="minorHAnsi"/>
                <w:sz w:val="22"/>
              </w:rPr>
            </w:pPr>
            <w:r w:rsidRPr="00066A45">
              <w:rPr>
                <w:rFonts w:asciiTheme="minorHAnsi" w:hAnsiTheme="minorHAnsi"/>
                <w:sz w:val="22"/>
              </w:rPr>
              <w:t>None</w:t>
            </w:r>
          </w:p>
        </w:tc>
        <w:tc>
          <w:tcPr>
            <w:tcW w:w="6780" w:type="dxa"/>
          </w:tcPr>
          <w:p w14:paraId="602CE05C" w14:textId="5B10DE10" w:rsidR="00C758DB" w:rsidRPr="00066A45" w:rsidRDefault="00C758DB" w:rsidP="00066A45">
            <w:pPr>
              <w:rPr>
                <w:rFonts w:ascii="Calibri" w:hAnsi="Calibri"/>
              </w:rPr>
            </w:pPr>
          </w:p>
        </w:tc>
      </w:tr>
    </w:tbl>
    <w:p w14:paraId="3EEA28F6" w14:textId="77777777" w:rsidR="009D70DE" w:rsidRDefault="009D70DE" w:rsidP="009E6C13">
      <w:pPr>
        <w:spacing w:after="0" w:line="240" w:lineRule="auto"/>
        <w:jc w:val="center"/>
        <w:rPr>
          <w:b/>
          <w:sz w:val="28"/>
          <w:szCs w:val="28"/>
        </w:rPr>
      </w:pPr>
    </w:p>
    <w:p w14:paraId="79B42164" w14:textId="73026BB0"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170"/>
        <w:gridCol w:w="6780"/>
      </w:tblGrid>
      <w:tr w:rsidR="00E751C0" w14:paraId="5A8CB8E0" w14:textId="77777777" w:rsidTr="00990721">
        <w:trPr>
          <w:cantSplit/>
          <w:tblHeader/>
        </w:trPr>
        <w:tc>
          <w:tcPr>
            <w:tcW w:w="6170" w:type="dxa"/>
          </w:tcPr>
          <w:p w14:paraId="0E71ECDF" w14:textId="77777777" w:rsidR="00E751C0" w:rsidRPr="00412050" w:rsidRDefault="00E751C0" w:rsidP="009E6C13">
            <w:pPr>
              <w:rPr>
                <w:b/>
              </w:rPr>
            </w:pPr>
            <w:r w:rsidRPr="00412050">
              <w:rPr>
                <w:b/>
              </w:rPr>
              <w:t>Issue</w:t>
            </w:r>
          </w:p>
        </w:tc>
        <w:tc>
          <w:tcPr>
            <w:tcW w:w="6780" w:type="dxa"/>
          </w:tcPr>
          <w:p w14:paraId="4398DE16" w14:textId="77777777" w:rsidR="00E751C0" w:rsidRPr="00412050" w:rsidRDefault="00E751C0" w:rsidP="009E6C13">
            <w:pPr>
              <w:rPr>
                <w:b/>
              </w:rPr>
            </w:pPr>
            <w:r w:rsidRPr="00412050">
              <w:rPr>
                <w:b/>
              </w:rPr>
              <w:t>Resolution</w:t>
            </w:r>
          </w:p>
        </w:tc>
      </w:tr>
      <w:tr w:rsidR="009B76B2" w:rsidRPr="009B76B2" w14:paraId="79B8BC82" w14:textId="77777777" w:rsidTr="00990721">
        <w:trPr>
          <w:cantSplit/>
        </w:trPr>
        <w:tc>
          <w:tcPr>
            <w:tcW w:w="6170" w:type="dxa"/>
          </w:tcPr>
          <w:p w14:paraId="3AC9B8AF"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Administration Group</w:t>
            </w:r>
          </w:p>
          <w:p w14:paraId="67BEDCE0" w14:textId="77777777" w:rsidR="00B63BD5" w:rsidRPr="00590579" w:rsidRDefault="00B63BD5" w:rsidP="00B63BD5">
            <w:pPr>
              <w:pStyle w:val="PlainText"/>
              <w:rPr>
                <w:rStyle w:val="indented"/>
                <w:rFonts w:asciiTheme="minorHAnsi" w:hAnsiTheme="minorHAnsi"/>
                <w:sz w:val="22"/>
                <w:szCs w:val="22"/>
              </w:rPr>
            </w:pPr>
          </w:p>
          <w:p w14:paraId="202C6C45"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Test Case: IZ-AD-8_Admin_IIS-Warning</w:t>
            </w:r>
          </w:p>
          <w:p w14:paraId="6342664F" w14:textId="77777777" w:rsidR="00B63BD5" w:rsidRPr="00590579" w:rsidRDefault="00B63BD5" w:rsidP="00B63BD5">
            <w:pPr>
              <w:pStyle w:val="PlainText"/>
              <w:rPr>
                <w:rStyle w:val="indented"/>
                <w:rFonts w:asciiTheme="minorHAnsi" w:hAnsiTheme="minorHAnsi"/>
                <w:sz w:val="22"/>
                <w:szCs w:val="22"/>
              </w:rPr>
            </w:pPr>
            <w:r w:rsidRPr="00590579">
              <w:rPr>
                <w:rStyle w:val="indented"/>
                <w:rFonts w:asciiTheme="minorHAnsi" w:hAnsiTheme="minorHAnsi"/>
                <w:sz w:val="22"/>
                <w:szCs w:val="22"/>
              </w:rPr>
              <w:t>Test Step: IZ-AD-8.1_Send_V04_Z22</w:t>
            </w:r>
          </w:p>
          <w:p w14:paraId="34A818F4" w14:textId="16B33D0C" w:rsidR="009B76B2" w:rsidRPr="00590579" w:rsidRDefault="009B76B2" w:rsidP="00A9150F"/>
          <w:p w14:paraId="66B57A85" w14:textId="549EE2CF" w:rsidR="00B63BD5" w:rsidRPr="00590579" w:rsidRDefault="00B63BD5" w:rsidP="00B63BD5">
            <w:pPr>
              <w:pStyle w:val="PlainText"/>
              <w:rPr>
                <w:rFonts w:asciiTheme="minorHAnsi" w:hAnsiTheme="minorHAnsi"/>
                <w:sz w:val="22"/>
                <w:szCs w:val="22"/>
              </w:rPr>
            </w:pPr>
            <w:r w:rsidRPr="00590579">
              <w:rPr>
                <w:rFonts w:asciiTheme="minorHAnsi" w:hAnsiTheme="minorHAnsi" w:cs="Arial"/>
                <w:sz w:val="22"/>
                <w:szCs w:val="22"/>
              </w:rPr>
              <w:t xml:space="preserve">This Test Case </w:t>
            </w:r>
            <w:r w:rsidRPr="00590579">
              <w:rPr>
                <w:rStyle w:val="indented"/>
                <w:rFonts w:asciiTheme="minorHAnsi" w:hAnsiTheme="minorHAnsi"/>
                <w:sz w:val="22"/>
                <w:szCs w:val="22"/>
              </w:rPr>
              <w:t xml:space="preserve">requires </w:t>
            </w:r>
            <w:r w:rsidRPr="00590579">
              <w:rPr>
                <w:rFonts w:asciiTheme="minorHAnsi" w:hAnsiTheme="minorHAnsi" w:cs="Arial"/>
                <w:sz w:val="22"/>
                <w:szCs w:val="22"/>
              </w:rPr>
              <w:t>component 1 (namespace), component 2 (OID), and component 3 (Type) be included in the Z22 message.</w:t>
            </w:r>
          </w:p>
        </w:tc>
        <w:tc>
          <w:tcPr>
            <w:tcW w:w="6780" w:type="dxa"/>
          </w:tcPr>
          <w:p w14:paraId="5BDDB7C7" w14:textId="0C95086D" w:rsidR="001443E4" w:rsidRPr="00590579" w:rsidRDefault="00B63BD5" w:rsidP="001443E4">
            <w:pPr>
              <w:pStyle w:val="PlainText"/>
              <w:rPr>
                <w:rFonts w:asciiTheme="minorHAnsi" w:hAnsiTheme="minorHAnsi" w:cs="Arial"/>
                <w:sz w:val="22"/>
                <w:szCs w:val="22"/>
              </w:rPr>
            </w:pPr>
            <w:r w:rsidRPr="00590579">
              <w:rPr>
                <w:rFonts w:asciiTheme="minorHAnsi" w:hAnsiTheme="minorHAnsi"/>
                <w:sz w:val="22"/>
                <w:szCs w:val="22"/>
              </w:rPr>
              <w:t xml:space="preserve">The Known Issues document has been updated to explain that </w:t>
            </w:r>
            <w:r w:rsidR="001443E4" w:rsidRPr="00590579">
              <w:rPr>
                <w:rFonts w:asciiTheme="minorHAnsi" w:hAnsiTheme="minorHAnsi" w:cs="Arial"/>
                <w:sz w:val="22"/>
                <w:szCs w:val="22"/>
              </w:rPr>
              <w:t xml:space="preserve">when the error notification “Content - Expected content is missing. The empty value at XXX-#.#.# (Namespace ID) is expected to be present.” is generated, the Tester (ATL) can ignore it (for certification purposes). </w:t>
            </w:r>
          </w:p>
          <w:p w14:paraId="5B2A1D73" w14:textId="64481C56" w:rsidR="009B76B2" w:rsidRPr="00590579" w:rsidRDefault="009B76B2" w:rsidP="00A9150F"/>
        </w:tc>
      </w:tr>
      <w:tr w:rsidR="00A644E1" w:rsidRPr="009B76B2" w14:paraId="073E8EB0" w14:textId="77777777" w:rsidTr="00990721">
        <w:trPr>
          <w:cantSplit/>
        </w:trPr>
        <w:tc>
          <w:tcPr>
            <w:tcW w:w="6170" w:type="dxa"/>
          </w:tcPr>
          <w:p w14:paraId="2F2024A1" w14:textId="71727BAA" w:rsidR="00A644E1" w:rsidRPr="00590579" w:rsidRDefault="00A644E1" w:rsidP="00B63BD5">
            <w:pPr>
              <w:pStyle w:val="PlainText"/>
              <w:rPr>
                <w:rStyle w:val="indented"/>
                <w:rFonts w:asciiTheme="minorHAnsi" w:hAnsiTheme="minorHAnsi"/>
                <w:sz w:val="22"/>
                <w:szCs w:val="22"/>
              </w:rPr>
            </w:pPr>
            <w:r w:rsidRPr="00590579">
              <w:rPr>
                <w:rFonts w:asciiTheme="minorHAnsi" w:hAnsiTheme="minorHAnsi"/>
                <w:sz w:val="22"/>
                <w:szCs w:val="22"/>
              </w:rPr>
              <w:t xml:space="preserve">Additional information is available for the </w:t>
            </w:r>
            <w:r w:rsidRPr="00590579">
              <w:rPr>
                <w:rFonts w:asciiTheme="minorHAnsi" w:hAnsiTheme="minorHAnsi"/>
                <w:sz w:val="22"/>
                <w:szCs w:val="22"/>
                <w:u w:val="single"/>
              </w:rPr>
              <w:t>Installation Guide: NIST HL7v2 Validation Tools</w:t>
            </w:r>
            <w:r w:rsidRPr="00590579">
              <w:rPr>
                <w:rFonts w:asciiTheme="minorHAnsi" w:hAnsiTheme="minorHAnsi"/>
                <w:sz w:val="22"/>
                <w:szCs w:val="22"/>
              </w:rPr>
              <w:t xml:space="preserve"> document.</w:t>
            </w:r>
          </w:p>
        </w:tc>
        <w:tc>
          <w:tcPr>
            <w:tcW w:w="6780" w:type="dxa"/>
          </w:tcPr>
          <w:p w14:paraId="15488CBD" w14:textId="77777777" w:rsidR="007E3665" w:rsidRPr="00590579" w:rsidRDefault="007E3665" w:rsidP="002013B2">
            <w:r w:rsidRPr="00590579">
              <w:t xml:space="preserve">The </w:t>
            </w:r>
            <w:r w:rsidRPr="00590579">
              <w:rPr>
                <w:u w:val="single"/>
              </w:rPr>
              <w:t>Installation Guide: NIST HL7v2 Validation Tools</w:t>
            </w:r>
            <w:r w:rsidRPr="00590579">
              <w:t xml:space="preserve"> document has been modified. </w:t>
            </w:r>
          </w:p>
          <w:p w14:paraId="1B4BF58B" w14:textId="77777777" w:rsidR="007E3665" w:rsidRPr="00590579" w:rsidRDefault="007E3665" w:rsidP="002013B2">
            <w:pPr>
              <w:numPr>
                <w:ilvl w:val="0"/>
                <w:numId w:val="19"/>
              </w:numPr>
              <w:rPr>
                <w:rFonts w:eastAsia="Times New Roman"/>
              </w:rPr>
            </w:pPr>
            <w:r w:rsidRPr="00590579">
              <w:rPr>
                <w:rFonts w:eastAsia="Times New Roman"/>
              </w:rPr>
              <w:t>The War File Installation Quick Guide had been updated</w:t>
            </w:r>
          </w:p>
          <w:p w14:paraId="4C17A8E4" w14:textId="35CF96F2" w:rsidR="007E3665" w:rsidRPr="00590579" w:rsidRDefault="007E3665" w:rsidP="002013B2">
            <w:pPr>
              <w:numPr>
                <w:ilvl w:val="0"/>
                <w:numId w:val="19"/>
              </w:numPr>
              <w:rPr>
                <w:rFonts w:eastAsia="Times New Roman"/>
              </w:rPr>
            </w:pPr>
            <w:r w:rsidRPr="00590579">
              <w:rPr>
                <w:rFonts w:eastAsia="Times New Roman"/>
              </w:rPr>
              <w:t>The following Sections have been added</w:t>
            </w:r>
            <w:r w:rsidR="002013B2" w:rsidRPr="00590579">
              <w:rPr>
                <w:rFonts w:eastAsia="Times New Roman"/>
              </w:rPr>
              <w:t>:</w:t>
            </w:r>
          </w:p>
          <w:p w14:paraId="42B71309" w14:textId="77777777" w:rsidR="007E3665" w:rsidRPr="00590579" w:rsidRDefault="007E3665" w:rsidP="002013B2">
            <w:pPr>
              <w:pStyle w:val="NormalWeb"/>
              <w:spacing w:before="0" w:beforeAutospacing="0" w:after="0" w:afterAutospacing="0"/>
              <w:ind w:left="360"/>
              <w:rPr>
                <w:rFonts w:asciiTheme="minorHAnsi" w:hAnsiTheme="minorHAnsi"/>
                <w:sz w:val="22"/>
                <w:szCs w:val="22"/>
              </w:rPr>
            </w:pPr>
            <w:r w:rsidRPr="00590579">
              <w:rPr>
                <w:rFonts w:asciiTheme="minorHAnsi" w:hAnsiTheme="minorHAnsi"/>
                <w:sz w:val="22"/>
                <w:szCs w:val="22"/>
              </w:rPr>
              <w:t>II. Download and install MySQL5  </w:t>
            </w:r>
          </w:p>
          <w:p w14:paraId="7F29F23A" w14:textId="36C23818" w:rsidR="00441C5E" w:rsidRPr="00590579" w:rsidRDefault="007E3665" w:rsidP="00F80DFC">
            <w:pPr>
              <w:pStyle w:val="NormalWeb"/>
              <w:spacing w:before="0" w:beforeAutospacing="0" w:after="0" w:afterAutospacing="0"/>
              <w:ind w:left="360"/>
              <w:rPr>
                <w:rFonts w:asciiTheme="minorHAnsi" w:hAnsiTheme="minorHAnsi"/>
                <w:sz w:val="22"/>
                <w:szCs w:val="22"/>
              </w:rPr>
            </w:pPr>
            <w:r w:rsidRPr="00590579">
              <w:rPr>
                <w:rFonts w:asciiTheme="minorHAnsi" w:hAnsiTheme="minorHAnsi"/>
                <w:sz w:val="22"/>
                <w:szCs w:val="22"/>
              </w:rPr>
              <w:t>IV. Configure tomcat</w:t>
            </w:r>
          </w:p>
        </w:tc>
      </w:tr>
    </w:tbl>
    <w:p w14:paraId="0102A976" w14:textId="537BFC38" w:rsidR="00A9150F" w:rsidRDefault="00A9150F" w:rsidP="009E6C13">
      <w:pPr>
        <w:spacing w:after="0" w:line="240" w:lineRule="auto"/>
        <w:jc w:val="center"/>
        <w:rPr>
          <w:b/>
          <w:sz w:val="28"/>
          <w:szCs w:val="28"/>
        </w:rPr>
      </w:pPr>
    </w:p>
    <w:p w14:paraId="2A1AF5DE" w14:textId="5B2534D0"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268"/>
        <w:gridCol w:w="5182"/>
      </w:tblGrid>
      <w:tr w:rsidR="00C141F4" w:rsidRPr="0024144B" w14:paraId="45043E8A" w14:textId="77777777" w:rsidTr="00B33C9A">
        <w:trPr>
          <w:tblHeader/>
        </w:trPr>
        <w:tc>
          <w:tcPr>
            <w:tcW w:w="3595" w:type="dxa"/>
          </w:tcPr>
          <w:p w14:paraId="077263D4" w14:textId="77777777" w:rsidR="00C141F4" w:rsidRPr="00990721" w:rsidRDefault="00C141F4" w:rsidP="009E6C13">
            <w:pPr>
              <w:rPr>
                <w:b/>
              </w:rPr>
            </w:pPr>
            <w:r w:rsidRPr="00990721">
              <w:rPr>
                <w:b/>
              </w:rPr>
              <w:t>Test Case</w:t>
            </w:r>
          </w:p>
        </w:tc>
        <w:tc>
          <w:tcPr>
            <w:tcW w:w="4268" w:type="dxa"/>
          </w:tcPr>
          <w:p w14:paraId="4A6C726A" w14:textId="77777777" w:rsidR="00C141F4" w:rsidRPr="00990721" w:rsidRDefault="00C141F4" w:rsidP="009E6C13">
            <w:pPr>
              <w:rPr>
                <w:b/>
              </w:rPr>
            </w:pPr>
            <w:r w:rsidRPr="00990721">
              <w:rPr>
                <w:b/>
              </w:rPr>
              <w:t>Issue</w:t>
            </w:r>
          </w:p>
        </w:tc>
        <w:tc>
          <w:tcPr>
            <w:tcW w:w="5182" w:type="dxa"/>
          </w:tcPr>
          <w:p w14:paraId="3D6E2167" w14:textId="77777777" w:rsidR="00C141F4" w:rsidRPr="00990721" w:rsidRDefault="00C141F4" w:rsidP="009E6C13">
            <w:pPr>
              <w:rPr>
                <w:b/>
              </w:rPr>
            </w:pPr>
            <w:r w:rsidRPr="00990721">
              <w:rPr>
                <w:b/>
              </w:rPr>
              <w:t>Resolution</w:t>
            </w:r>
          </w:p>
        </w:tc>
      </w:tr>
      <w:tr w:rsidR="00C141F4" w:rsidRPr="0024144B" w14:paraId="65D56DCE" w14:textId="77777777" w:rsidTr="00B33C9A">
        <w:tc>
          <w:tcPr>
            <w:tcW w:w="3595" w:type="dxa"/>
          </w:tcPr>
          <w:p w14:paraId="1F9F9194" w14:textId="24331B90" w:rsidR="00C141F4" w:rsidRPr="0059356F" w:rsidRDefault="00A9150F" w:rsidP="009E6C13">
            <w:pPr>
              <w:pStyle w:val="PlainText"/>
              <w:rPr>
                <w:rFonts w:asciiTheme="minorHAnsi" w:hAnsiTheme="minorHAnsi"/>
                <w:sz w:val="22"/>
                <w:szCs w:val="22"/>
              </w:rPr>
            </w:pPr>
            <w:r>
              <w:rPr>
                <w:rFonts w:asciiTheme="minorHAnsi" w:hAnsiTheme="minorHAnsi"/>
                <w:sz w:val="22"/>
                <w:szCs w:val="22"/>
              </w:rPr>
              <w:t>None</w:t>
            </w:r>
          </w:p>
        </w:tc>
        <w:tc>
          <w:tcPr>
            <w:tcW w:w="4268" w:type="dxa"/>
          </w:tcPr>
          <w:p w14:paraId="47A08CBE" w14:textId="4FC62D51" w:rsidR="0059356F" w:rsidRPr="0059356F" w:rsidRDefault="0059356F" w:rsidP="009E6C13">
            <w:pPr>
              <w:pStyle w:val="NormalWeb"/>
              <w:spacing w:before="0" w:beforeAutospacing="0" w:after="0" w:afterAutospacing="0"/>
              <w:rPr>
                <w:rFonts w:ascii="Calibri" w:hAnsi="Calibri"/>
                <w:sz w:val="22"/>
                <w:szCs w:val="22"/>
              </w:rPr>
            </w:pPr>
          </w:p>
        </w:tc>
        <w:tc>
          <w:tcPr>
            <w:tcW w:w="5182" w:type="dxa"/>
            <w:shd w:val="clear" w:color="auto" w:fill="auto"/>
          </w:tcPr>
          <w:p w14:paraId="0E942ED6" w14:textId="7C1F171A" w:rsidR="00C141F4" w:rsidRPr="0059356F" w:rsidRDefault="00C141F4" w:rsidP="009E6C13">
            <w:pPr>
              <w:rPr>
                <w:shd w:val="clear" w:color="auto" w:fill="FFFFFF"/>
              </w:rPr>
            </w:pPr>
          </w:p>
        </w:tc>
      </w:tr>
    </w:tbl>
    <w:p w14:paraId="7F90BA86" w14:textId="77777777" w:rsidR="00C141F4" w:rsidRPr="00AC6135" w:rsidRDefault="00C141F4" w:rsidP="009E6C13">
      <w:pPr>
        <w:spacing w:after="0" w:line="240" w:lineRule="auto"/>
        <w:jc w:val="center"/>
        <w:rPr>
          <w:b/>
        </w:rPr>
      </w:pPr>
    </w:p>
    <w:p w14:paraId="77F99159" w14:textId="7E2F63D6" w:rsidR="00CD7F5B" w:rsidRPr="00CD7F5B" w:rsidRDefault="00CD7F5B" w:rsidP="009E6C13">
      <w:pPr>
        <w:spacing w:after="0" w:line="240" w:lineRule="auto"/>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CD7F5B" w:rsidRPr="00990721" w14:paraId="7BC76F59" w14:textId="77777777" w:rsidTr="00EA21F7">
        <w:trPr>
          <w:trHeight w:val="260"/>
        </w:trPr>
        <w:tc>
          <w:tcPr>
            <w:tcW w:w="13068" w:type="dxa"/>
          </w:tcPr>
          <w:p w14:paraId="3C49F1A1" w14:textId="20E3F7F7" w:rsidR="00CD7F5B" w:rsidRPr="00590579" w:rsidRDefault="009523E3" w:rsidP="009E6C13">
            <w:pPr>
              <w:pStyle w:val="NormalWeb"/>
              <w:shd w:val="clear" w:color="auto" w:fill="FFFFFF"/>
              <w:spacing w:before="0" w:beforeAutospacing="0" w:after="0" w:afterAutospacing="0"/>
              <w:rPr>
                <w:rFonts w:asciiTheme="minorHAnsi" w:hAnsiTheme="minorHAnsi"/>
                <w:sz w:val="22"/>
                <w:szCs w:val="20"/>
              </w:rPr>
            </w:pPr>
            <w:r w:rsidRPr="00590579">
              <w:rPr>
                <w:rFonts w:ascii="Calibri" w:hAnsi="Calibri"/>
                <w:sz w:val="22"/>
              </w:rPr>
              <w:t>The REST api has been updated. For details, please refer to the Swagger page accessible via the API Documentation section on the Documentation tab.</w:t>
            </w:r>
          </w:p>
        </w:tc>
      </w:tr>
    </w:tbl>
    <w:p w14:paraId="607715C8" w14:textId="77777777" w:rsidR="0056615E" w:rsidRPr="00AC6135" w:rsidRDefault="0056615E" w:rsidP="009E6C13">
      <w:pPr>
        <w:spacing w:after="0" w:line="240" w:lineRule="auto"/>
        <w:jc w:val="center"/>
        <w:rPr>
          <w:b/>
        </w:rPr>
      </w:pPr>
    </w:p>
    <w:p w14:paraId="180E74F8" w14:textId="77777777" w:rsidR="00513518" w:rsidRPr="00056813" w:rsidRDefault="00513518" w:rsidP="009E6C13">
      <w:pPr>
        <w:spacing w:after="0" w:line="240" w:lineRule="auto"/>
        <w:jc w:val="center"/>
        <w:rPr>
          <w:b/>
          <w:sz w:val="28"/>
          <w:szCs w:val="32"/>
        </w:rPr>
      </w:pPr>
      <w:r w:rsidRPr="00056813">
        <w:rPr>
          <w:b/>
          <w:sz w:val="28"/>
          <w:szCs w:val="32"/>
        </w:rPr>
        <w:t>Issues for a Future Release</w:t>
      </w:r>
    </w:p>
    <w:tbl>
      <w:tblPr>
        <w:tblStyle w:val="TableGrid"/>
        <w:tblW w:w="0" w:type="auto"/>
        <w:tblLook w:val="04A0" w:firstRow="1" w:lastRow="0" w:firstColumn="1" w:lastColumn="0" w:noHBand="0" w:noVBand="1"/>
      </w:tblPr>
      <w:tblGrid>
        <w:gridCol w:w="3147"/>
        <w:gridCol w:w="9803"/>
      </w:tblGrid>
      <w:tr w:rsidR="00513518" w14:paraId="5252EC30" w14:textId="77777777" w:rsidTr="0052426D">
        <w:trPr>
          <w:cantSplit/>
          <w:tblHeader/>
        </w:trPr>
        <w:tc>
          <w:tcPr>
            <w:tcW w:w="3168" w:type="dxa"/>
          </w:tcPr>
          <w:p w14:paraId="7DA9FF18" w14:textId="77777777" w:rsidR="00513518" w:rsidRPr="00412050" w:rsidRDefault="00513518" w:rsidP="009E6C13">
            <w:pPr>
              <w:rPr>
                <w:b/>
              </w:rPr>
            </w:pPr>
            <w:r>
              <w:rPr>
                <w:b/>
              </w:rPr>
              <w:t>Test Case/if Applicable</w:t>
            </w:r>
          </w:p>
        </w:tc>
        <w:tc>
          <w:tcPr>
            <w:tcW w:w="9900" w:type="dxa"/>
          </w:tcPr>
          <w:p w14:paraId="7DAC33FA" w14:textId="77777777" w:rsidR="00513518" w:rsidRPr="00412050" w:rsidRDefault="00513518" w:rsidP="009E6C13">
            <w:pPr>
              <w:rPr>
                <w:b/>
              </w:rPr>
            </w:pPr>
            <w:r>
              <w:rPr>
                <w:b/>
              </w:rPr>
              <w:t>Issue</w:t>
            </w:r>
          </w:p>
        </w:tc>
      </w:tr>
      <w:tr w:rsidR="00513518" w:rsidRPr="0024144B" w14:paraId="4C86BB59" w14:textId="77777777" w:rsidTr="0052426D">
        <w:trPr>
          <w:cantSplit/>
        </w:trPr>
        <w:tc>
          <w:tcPr>
            <w:tcW w:w="3168" w:type="dxa"/>
          </w:tcPr>
          <w:p w14:paraId="523BDCB5" w14:textId="77777777" w:rsidR="00513518" w:rsidRPr="0024144B" w:rsidRDefault="00513518" w:rsidP="009E6C13"/>
        </w:tc>
        <w:tc>
          <w:tcPr>
            <w:tcW w:w="9900" w:type="dxa"/>
          </w:tcPr>
          <w:p w14:paraId="5D8EDB7A" w14:textId="38B5D430" w:rsidR="00513518" w:rsidRPr="0024144B" w:rsidRDefault="00D973B6" w:rsidP="009E6C13">
            <w:r>
              <w:t>None</w:t>
            </w:r>
          </w:p>
        </w:tc>
      </w:tr>
    </w:tbl>
    <w:p w14:paraId="67CE31FA" w14:textId="77777777" w:rsidR="00513518" w:rsidRDefault="00513518" w:rsidP="00513518">
      <w:pPr>
        <w:rPr>
          <w:b/>
        </w:rPr>
      </w:pPr>
    </w:p>
    <w:sectPr w:rsidR="00513518" w:rsidSect="001769C2">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C3859" w14:textId="77777777" w:rsidR="00D4642D" w:rsidRDefault="00D4642D" w:rsidP="0052426D">
      <w:pPr>
        <w:spacing w:after="0" w:line="240" w:lineRule="auto"/>
      </w:pPr>
      <w:r>
        <w:separator/>
      </w:r>
    </w:p>
  </w:endnote>
  <w:endnote w:type="continuationSeparator" w:id="0">
    <w:p w14:paraId="2612CF6B" w14:textId="77777777" w:rsidR="00D4642D" w:rsidRDefault="00D4642D"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32385"/>
      <w:docPartObj>
        <w:docPartGallery w:val="Page Numbers (Bottom of Page)"/>
        <w:docPartUnique/>
      </w:docPartObj>
    </w:sdtPr>
    <w:sdtEndPr>
      <w:rPr>
        <w:noProof/>
      </w:rPr>
    </w:sdtEndPr>
    <w:sdtContent>
      <w:p w14:paraId="6CAB287C" w14:textId="15E10A49" w:rsidR="00990721" w:rsidRDefault="00990721">
        <w:pPr>
          <w:pStyle w:val="Footer"/>
          <w:jc w:val="right"/>
        </w:pPr>
        <w:r>
          <w:fldChar w:fldCharType="begin"/>
        </w:r>
        <w:r>
          <w:instrText xml:space="preserve"> PAGE   \* MERGEFORMAT </w:instrText>
        </w:r>
        <w:r>
          <w:fldChar w:fldCharType="separate"/>
        </w:r>
        <w:r w:rsidR="006E13DB">
          <w:rPr>
            <w:noProof/>
          </w:rPr>
          <w:t>1</w:t>
        </w:r>
        <w:r>
          <w:rPr>
            <w:noProof/>
          </w:rPr>
          <w:fldChar w:fldCharType="end"/>
        </w:r>
      </w:p>
    </w:sdtContent>
  </w:sdt>
  <w:p w14:paraId="7D3D1C6C" w14:textId="77777777" w:rsidR="00990721" w:rsidRDefault="0099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1BF24" w14:textId="77777777" w:rsidR="00D4642D" w:rsidRDefault="00D4642D" w:rsidP="0052426D">
      <w:pPr>
        <w:spacing w:after="0" w:line="240" w:lineRule="auto"/>
      </w:pPr>
      <w:r>
        <w:separator/>
      </w:r>
    </w:p>
  </w:footnote>
  <w:footnote w:type="continuationSeparator" w:id="0">
    <w:p w14:paraId="1D949EEF" w14:textId="77777777" w:rsidR="00D4642D" w:rsidRDefault="00D4642D"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CD2BF0"/>
    <w:multiLevelType w:val="hybridMultilevel"/>
    <w:tmpl w:val="C72EDA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4"/>
  </w:num>
  <w:num w:numId="5">
    <w:abstractNumId w:val="16"/>
  </w:num>
  <w:num w:numId="6">
    <w:abstractNumId w:val="7"/>
  </w:num>
  <w:num w:numId="7">
    <w:abstractNumId w:val="5"/>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4"/>
  </w:num>
  <w:num w:numId="11">
    <w:abstractNumId w:val="1"/>
  </w:num>
  <w:num w:numId="12">
    <w:abstractNumId w:val="6"/>
  </w:num>
  <w:num w:numId="13">
    <w:abstractNumId w:val="15"/>
  </w:num>
  <w:num w:numId="14">
    <w:abstractNumId w:val="12"/>
  </w:num>
  <w:num w:numId="15">
    <w:abstractNumId w:val="9"/>
  </w:num>
  <w:num w:numId="16">
    <w:abstractNumId w:val="3"/>
  </w:num>
  <w:num w:numId="17">
    <w:abstractNumId w:val="2"/>
  </w:num>
  <w:num w:numId="18">
    <w:abstractNumId w:val="8"/>
  </w:num>
  <w:num w:numId="19">
    <w:abstractNumId w:val="1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468"/>
    <w:rsid w:val="00002AD8"/>
    <w:rsid w:val="000122ED"/>
    <w:rsid w:val="000239C2"/>
    <w:rsid w:val="000242D1"/>
    <w:rsid w:val="000335DF"/>
    <w:rsid w:val="0003768E"/>
    <w:rsid w:val="000540C7"/>
    <w:rsid w:val="00056813"/>
    <w:rsid w:val="000652F0"/>
    <w:rsid w:val="00066A45"/>
    <w:rsid w:val="00072390"/>
    <w:rsid w:val="00081CB1"/>
    <w:rsid w:val="00083628"/>
    <w:rsid w:val="00083E54"/>
    <w:rsid w:val="00087378"/>
    <w:rsid w:val="000A4FCB"/>
    <w:rsid w:val="000A6147"/>
    <w:rsid w:val="000C0DF0"/>
    <w:rsid w:val="000C38DA"/>
    <w:rsid w:val="000C494C"/>
    <w:rsid w:val="000D419B"/>
    <w:rsid w:val="000E474D"/>
    <w:rsid w:val="000E75EF"/>
    <w:rsid w:val="000F4ABD"/>
    <w:rsid w:val="000F4EA3"/>
    <w:rsid w:val="00103E69"/>
    <w:rsid w:val="00103EF2"/>
    <w:rsid w:val="00107853"/>
    <w:rsid w:val="00110649"/>
    <w:rsid w:val="0011302B"/>
    <w:rsid w:val="00113599"/>
    <w:rsid w:val="001210E9"/>
    <w:rsid w:val="001325AB"/>
    <w:rsid w:val="00133430"/>
    <w:rsid w:val="0013466A"/>
    <w:rsid w:val="00136961"/>
    <w:rsid w:val="001424E9"/>
    <w:rsid w:val="001443E4"/>
    <w:rsid w:val="00145B42"/>
    <w:rsid w:val="00152200"/>
    <w:rsid w:val="00155512"/>
    <w:rsid w:val="001564B8"/>
    <w:rsid w:val="0017258F"/>
    <w:rsid w:val="00172DD9"/>
    <w:rsid w:val="001769C2"/>
    <w:rsid w:val="00180B00"/>
    <w:rsid w:val="00181E1E"/>
    <w:rsid w:val="00182B71"/>
    <w:rsid w:val="001901D9"/>
    <w:rsid w:val="001914A0"/>
    <w:rsid w:val="001A14E2"/>
    <w:rsid w:val="001A4066"/>
    <w:rsid w:val="001C5AD7"/>
    <w:rsid w:val="001C6099"/>
    <w:rsid w:val="001C6347"/>
    <w:rsid w:val="001C74BB"/>
    <w:rsid w:val="001D0184"/>
    <w:rsid w:val="001E434B"/>
    <w:rsid w:val="001E4C07"/>
    <w:rsid w:val="001E601F"/>
    <w:rsid w:val="001F2221"/>
    <w:rsid w:val="002013B2"/>
    <w:rsid w:val="00205A61"/>
    <w:rsid w:val="0021198E"/>
    <w:rsid w:val="002228FA"/>
    <w:rsid w:val="00223ACB"/>
    <w:rsid w:val="00237A35"/>
    <w:rsid w:val="00240095"/>
    <w:rsid w:val="0024144B"/>
    <w:rsid w:val="0025692D"/>
    <w:rsid w:val="00267CAA"/>
    <w:rsid w:val="002830DF"/>
    <w:rsid w:val="0028317E"/>
    <w:rsid w:val="00283DD6"/>
    <w:rsid w:val="002857E5"/>
    <w:rsid w:val="0029034D"/>
    <w:rsid w:val="002961A4"/>
    <w:rsid w:val="00296539"/>
    <w:rsid w:val="00297745"/>
    <w:rsid w:val="002E0387"/>
    <w:rsid w:val="002F0BAE"/>
    <w:rsid w:val="002F2F7D"/>
    <w:rsid w:val="002F3632"/>
    <w:rsid w:val="002F6BE3"/>
    <w:rsid w:val="00304A21"/>
    <w:rsid w:val="00307A0C"/>
    <w:rsid w:val="0031490F"/>
    <w:rsid w:val="00314C76"/>
    <w:rsid w:val="00315D34"/>
    <w:rsid w:val="0032162C"/>
    <w:rsid w:val="003447EE"/>
    <w:rsid w:val="003502D7"/>
    <w:rsid w:val="003517CD"/>
    <w:rsid w:val="00352067"/>
    <w:rsid w:val="003529D6"/>
    <w:rsid w:val="003565AB"/>
    <w:rsid w:val="003578BA"/>
    <w:rsid w:val="00365ABC"/>
    <w:rsid w:val="00366C4D"/>
    <w:rsid w:val="003748E1"/>
    <w:rsid w:val="00375185"/>
    <w:rsid w:val="00381142"/>
    <w:rsid w:val="003B0D03"/>
    <w:rsid w:val="003B5714"/>
    <w:rsid w:val="003B75CF"/>
    <w:rsid w:val="003C2EAA"/>
    <w:rsid w:val="003C7EF2"/>
    <w:rsid w:val="003D0654"/>
    <w:rsid w:val="003D0F90"/>
    <w:rsid w:val="003D6411"/>
    <w:rsid w:val="003D7E40"/>
    <w:rsid w:val="003D7E45"/>
    <w:rsid w:val="003E045D"/>
    <w:rsid w:val="003E1E90"/>
    <w:rsid w:val="003E6508"/>
    <w:rsid w:val="003E7225"/>
    <w:rsid w:val="003F4B58"/>
    <w:rsid w:val="003F73FF"/>
    <w:rsid w:val="00402B77"/>
    <w:rsid w:val="00407DAB"/>
    <w:rsid w:val="00412050"/>
    <w:rsid w:val="00420C09"/>
    <w:rsid w:val="00421D5C"/>
    <w:rsid w:val="00423A49"/>
    <w:rsid w:val="0042725B"/>
    <w:rsid w:val="00430AEB"/>
    <w:rsid w:val="004340C7"/>
    <w:rsid w:val="00436620"/>
    <w:rsid w:val="00440FB2"/>
    <w:rsid w:val="00441C5E"/>
    <w:rsid w:val="00444821"/>
    <w:rsid w:val="0044522E"/>
    <w:rsid w:val="00446501"/>
    <w:rsid w:val="0046236D"/>
    <w:rsid w:val="004703DC"/>
    <w:rsid w:val="00473634"/>
    <w:rsid w:val="0047576C"/>
    <w:rsid w:val="0048361B"/>
    <w:rsid w:val="00491293"/>
    <w:rsid w:val="004916FA"/>
    <w:rsid w:val="004A4D74"/>
    <w:rsid w:val="004C1B86"/>
    <w:rsid w:val="004C1E40"/>
    <w:rsid w:val="004C6FAF"/>
    <w:rsid w:val="004E1A4F"/>
    <w:rsid w:val="004E2D85"/>
    <w:rsid w:val="004F1848"/>
    <w:rsid w:val="004F3057"/>
    <w:rsid w:val="005013C1"/>
    <w:rsid w:val="00504913"/>
    <w:rsid w:val="00511023"/>
    <w:rsid w:val="0051113C"/>
    <w:rsid w:val="00513518"/>
    <w:rsid w:val="0052426D"/>
    <w:rsid w:val="00525C14"/>
    <w:rsid w:val="00532281"/>
    <w:rsid w:val="00540E7C"/>
    <w:rsid w:val="005568FF"/>
    <w:rsid w:val="00560541"/>
    <w:rsid w:val="0056615E"/>
    <w:rsid w:val="005674D9"/>
    <w:rsid w:val="00581F40"/>
    <w:rsid w:val="00590579"/>
    <w:rsid w:val="0059356F"/>
    <w:rsid w:val="005A0B92"/>
    <w:rsid w:val="005A3769"/>
    <w:rsid w:val="005A44AA"/>
    <w:rsid w:val="005C333E"/>
    <w:rsid w:val="005D09F5"/>
    <w:rsid w:val="005D3372"/>
    <w:rsid w:val="005D7A50"/>
    <w:rsid w:val="005E2379"/>
    <w:rsid w:val="005E71E7"/>
    <w:rsid w:val="0060442F"/>
    <w:rsid w:val="006170F0"/>
    <w:rsid w:val="0062158B"/>
    <w:rsid w:val="006222E6"/>
    <w:rsid w:val="00624284"/>
    <w:rsid w:val="006324F8"/>
    <w:rsid w:val="006415A8"/>
    <w:rsid w:val="006477DB"/>
    <w:rsid w:val="00650C7B"/>
    <w:rsid w:val="00653707"/>
    <w:rsid w:val="00660EFB"/>
    <w:rsid w:val="006610F4"/>
    <w:rsid w:val="00665490"/>
    <w:rsid w:val="00671FF0"/>
    <w:rsid w:val="00675BE9"/>
    <w:rsid w:val="00676228"/>
    <w:rsid w:val="00682836"/>
    <w:rsid w:val="00687888"/>
    <w:rsid w:val="00687C42"/>
    <w:rsid w:val="00690208"/>
    <w:rsid w:val="0069425D"/>
    <w:rsid w:val="00694C70"/>
    <w:rsid w:val="00694D18"/>
    <w:rsid w:val="006A22DD"/>
    <w:rsid w:val="006B0FFC"/>
    <w:rsid w:val="006B28CF"/>
    <w:rsid w:val="006B601B"/>
    <w:rsid w:val="006C0FAA"/>
    <w:rsid w:val="006C4D6F"/>
    <w:rsid w:val="006D2922"/>
    <w:rsid w:val="006D36BE"/>
    <w:rsid w:val="006E13DB"/>
    <w:rsid w:val="006E2297"/>
    <w:rsid w:val="006F2545"/>
    <w:rsid w:val="006F5E50"/>
    <w:rsid w:val="006F61B1"/>
    <w:rsid w:val="00703C18"/>
    <w:rsid w:val="00705E6F"/>
    <w:rsid w:val="0071206C"/>
    <w:rsid w:val="00713415"/>
    <w:rsid w:val="0071617A"/>
    <w:rsid w:val="00716636"/>
    <w:rsid w:val="00716FEB"/>
    <w:rsid w:val="00727B20"/>
    <w:rsid w:val="00731274"/>
    <w:rsid w:val="00741202"/>
    <w:rsid w:val="00741AE6"/>
    <w:rsid w:val="00743ED2"/>
    <w:rsid w:val="007461BD"/>
    <w:rsid w:val="00746F0F"/>
    <w:rsid w:val="007501C7"/>
    <w:rsid w:val="00752FDA"/>
    <w:rsid w:val="00775442"/>
    <w:rsid w:val="00775615"/>
    <w:rsid w:val="00781925"/>
    <w:rsid w:val="007902B5"/>
    <w:rsid w:val="007A0CFD"/>
    <w:rsid w:val="007A527A"/>
    <w:rsid w:val="007B2595"/>
    <w:rsid w:val="007B35CA"/>
    <w:rsid w:val="007B603C"/>
    <w:rsid w:val="007C017B"/>
    <w:rsid w:val="007C2E67"/>
    <w:rsid w:val="007C4AC1"/>
    <w:rsid w:val="007D23EA"/>
    <w:rsid w:val="007D3827"/>
    <w:rsid w:val="007D6B22"/>
    <w:rsid w:val="007E11A0"/>
    <w:rsid w:val="007E3512"/>
    <w:rsid w:val="007E3665"/>
    <w:rsid w:val="007E598C"/>
    <w:rsid w:val="007E75B6"/>
    <w:rsid w:val="007F1741"/>
    <w:rsid w:val="007F3A27"/>
    <w:rsid w:val="007F4F82"/>
    <w:rsid w:val="007F5F70"/>
    <w:rsid w:val="00800AB2"/>
    <w:rsid w:val="00811F56"/>
    <w:rsid w:val="00817F5B"/>
    <w:rsid w:val="00827CE9"/>
    <w:rsid w:val="00831BC3"/>
    <w:rsid w:val="00831CCE"/>
    <w:rsid w:val="008353FF"/>
    <w:rsid w:val="008358E3"/>
    <w:rsid w:val="00835983"/>
    <w:rsid w:val="008415D0"/>
    <w:rsid w:val="0084647E"/>
    <w:rsid w:val="00853CB2"/>
    <w:rsid w:val="0086026C"/>
    <w:rsid w:val="0087617D"/>
    <w:rsid w:val="008774DB"/>
    <w:rsid w:val="008854BF"/>
    <w:rsid w:val="0088594D"/>
    <w:rsid w:val="00887A91"/>
    <w:rsid w:val="008926A4"/>
    <w:rsid w:val="008A17B6"/>
    <w:rsid w:val="008A293B"/>
    <w:rsid w:val="008A59F8"/>
    <w:rsid w:val="008A7210"/>
    <w:rsid w:val="008B0126"/>
    <w:rsid w:val="008B2C07"/>
    <w:rsid w:val="008B3AFA"/>
    <w:rsid w:val="008C024F"/>
    <w:rsid w:val="008C692D"/>
    <w:rsid w:val="008E2BC0"/>
    <w:rsid w:val="008E6063"/>
    <w:rsid w:val="008F67E1"/>
    <w:rsid w:val="00904610"/>
    <w:rsid w:val="00912909"/>
    <w:rsid w:val="00914373"/>
    <w:rsid w:val="0092742D"/>
    <w:rsid w:val="0093347F"/>
    <w:rsid w:val="00935B83"/>
    <w:rsid w:val="009378F2"/>
    <w:rsid w:val="00943692"/>
    <w:rsid w:val="009462EF"/>
    <w:rsid w:val="009467E2"/>
    <w:rsid w:val="009523E3"/>
    <w:rsid w:val="00952415"/>
    <w:rsid w:val="00956205"/>
    <w:rsid w:val="0096699F"/>
    <w:rsid w:val="00970711"/>
    <w:rsid w:val="00970E3A"/>
    <w:rsid w:val="00971447"/>
    <w:rsid w:val="00972972"/>
    <w:rsid w:val="00973F9F"/>
    <w:rsid w:val="00982EF3"/>
    <w:rsid w:val="00987C70"/>
    <w:rsid w:val="00990721"/>
    <w:rsid w:val="009A1160"/>
    <w:rsid w:val="009A210F"/>
    <w:rsid w:val="009A5B26"/>
    <w:rsid w:val="009B4CB7"/>
    <w:rsid w:val="009B76B2"/>
    <w:rsid w:val="009D00E2"/>
    <w:rsid w:val="009D6046"/>
    <w:rsid w:val="009D70DE"/>
    <w:rsid w:val="009E0545"/>
    <w:rsid w:val="009E3097"/>
    <w:rsid w:val="009E36A0"/>
    <w:rsid w:val="009E6C13"/>
    <w:rsid w:val="00A03454"/>
    <w:rsid w:val="00A05EBA"/>
    <w:rsid w:val="00A1745C"/>
    <w:rsid w:val="00A25CE4"/>
    <w:rsid w:val="00A262AD"/>
    <w:rsid w:val="00A26A88"/>
    <w:rsid w:val="00A27D12"/>
    <w:rsid w:val="00A33741"/>
    <w:rsid w:val="00A405F1"/>
    <w:rsid w:val="00A41FB0"/>
    <w:rsid w:val="00A505D3"/>
    <w:rsid w:val="00A639E1"/>
    <w:rsid w:val="00A644E1"/>
    <w:rsid w:val="00A732B0"/>
    <w:rsid w:val="00A822E0"/>
    <w:rsid w:val="00A82912"/>
    <w:rsid w:val="00A9150F"/>
    <w:rsid w:val="00AA6D0A"/>
    <w:rsid w:val="00AB20F0"/>
    <w:rsid w:val="00AB2C17"/>
    <w:rsid w:val="00AB2DBE"/>
    <w:rsid w:val="00AB5EB7"/>
    <w:rsid w:val="00AC37E9"/>
    <w:rsid w:val="00AC3F72"/>
    <w:rsid w:val="00AC6135"/>
    <w:rsid w:val="00AD74D7"/>
    <w:rsid w:val="00AE6152"/>
    <w:rsid w:val="00AE73EE"/>
    <w:rsid w:val="00AF088B"/>
    <w:rsid w:val="00B0037B"/>
    <w:rsid w:val="00B015D8"/>
    <w:rsid w:val="00B06B6D"/>
    <w:rsid w:val="00B078F4"/>
    <w:rsid w:val="00B14F81"/>
    <w:rsid w:val="00B16F69"/>
    <w:rsid w:val="00B2114C"/>
    <w:rsid w:val="00B24458"/>
    <w:rsid w:val="00B25EB3"/>
    <w:rsid w:val="00B26824"/>
    <w:rsid w:val="00B2742A"/>
    <w:rsid w:val="00B34F47"/>
    <w:rsid w:val="00B355B5"/>
    <w:rsid w:val="00B40E6C"/>
    <w:rsid w:val="00B45B9E"/>
    <w:rsid w:val="00B54FBA"/>
    <w:rsid w:val="00B57221"/>
    <w:rsid w:val="00B6219A"/>
    <w:rsid w:val="00B62711"/>
    <w:rsid w:val="00B63BD5"/>
    <w:rsid w:val="00B649B7"/>
    <w:rsid w:val="00B738AE"/>
    <w:rsid w:val="00B7505D"/>
    <w:rsid w:val="00B754E5"/>
    <w:rsid w:val="00B75D4C"/>
    <w:rsid w:val="00B847A3"/>
    <w:rsid w:val="00B870BC"/>
    <w:rsid w:val="00B87897"/>
    <w:rsid w:val="00B93CE7"/>
    <w:rsid w:val="00BA2F05"/>
    <w:rsid w:val="00BA31AB"/>
    <w:rsid w:val="00BB0A89"/>
    <w:rsid w:val="00BB14FB"/>
    <w:rsid w:val="00BB1D01"/>
    <w:rsid w:val="00BB4B5C"/>
    <w:rsid w:val="00BC0858"/>
    <w:rsid w:val="00BC5D0A"/>
    <w:rsid w:val="00BD303D"/>
    <w:rsid w:val="00BE1963"/>
    <w:rsid w:val="00BF52D8"/>
    <w:rsid w:val="00BF754A"/>
    <w:rsid w:val="00C04E35"/>
    <w:rsid w:val="00C06F37"/>
    <w:rsid w:val="00C141F4"/>
    <w:rsid w:val="00C20ACC"/>
    <w:rsid w:val="00C24412"/>
    <w:rsid w:val="00C247EF"/>
    <w:rsid w:val="00C32D35"/>
    <w:rsid w:val="00C361F6"/>
    <w:rsid w:val="00C410A6"/>
    <w:rsid w:val="00C43BEC"/>
    <w:rsid w:val="00C46FBE"/>
    <w:rsid w:val="00C51E10"/>
    <w:rsid w:val="00C53491"/>
    <w:rsid w:val="00C65CB5"/>
    <w:rsid w:val="00C661FF"/>
    <w:rsid w:val="00C66BBD"/>
    <w:rsid w:val="00C758DB"/>
    <w:rsid w:val="00C75D72"/>
    <w:rsid w:val="00C765D4"/>
    <w:rsid w:val="00C81B60"/>
    <w:rsid w:val="00C958AB"/>
    <w:rsid w:val="00C96250"/>
    <w:rsid w:val="00CA1982"/>
    <w:rsid w:val="00CA65D7"/>
    <w:rsid w:val="00CB5224"/>
    <w:rsid w:val="00CB6B56"/>
    <w:rsid w:val="00CD0089"/>
    <w:rsid w:val="00CD58AF"/>
    <w:rsid w:val="00CD77F8"/>
    <w:rsid w:val="00CD7F5B"/>
    <w:rsid w:val="00CE22AE"/>
    <w:rsid w:val="00CE778B"/>
    <w:rsid w:val="00D00908"/>
    <w:rsid w:val="00D0772A"/>
    <w:rsid w:val="00D13734"/>
    <w:rsid w:val="00D15DE6"/>
    <w:rsid w:val="00D1685F"/>
    <w:rsid w:val="00D232F8"/>
    <w:rsid w:val="00D264AD"/>
    <w:rsid w:val="00D30DDD"/>
    <w:rsid w:val="00D31B6F"/>
    <w:rsid w:val="00D33F2A"/>
    <w:rsid w:val="00D3548A"/>
    <w:rsid w:val="00D37C0A"/>
    <w:rsid w:val="00D43762"/>
    <w:rsid w:val="00D4642D"/>
    <w:rsid w:val="00D5134D"/>
    <w:rsid w:val="00D57404"/>
    <w:rsid w:val="00D611A0"/>
    <w:rsid w:val="00D61890"/>
    <w:rsid w:val="00D61BE8"/>
    <w:rsid w:val="00D65A11"/>
    <w:rsid w:val="00D663AD"/>
    <w:rsid w:val="00D85507"/>
    <w:rsid w:val="00D87D51"/>
    <w:rsid w:val="00D90F00"/>
    <w:rsid w:val="00D96E90"/>
    <w:rsid w:val="00D973B6"/>
    <w:rsid w:val="00DA0190"/>
    <w:rsid w:val="00DA1775"/>
    <w:rsid w:val="00DA2EEC"/>
    <w:rsid w:val="00DA3E63"/>
    <w:rsid w:val="00DA7C66"/>
    <w:rsid w:val="00DB5AB5"/>
    <w:rsid w:val="00DC5E7E"/>
    <w:rsid w:val="00DD1BE2"/>
    <w:rsid w:val="00DD256B"/>
    <w:rsid w:val="00DD385D"/>
    <w:rsid w:val="00DF0531"/>
    <w:rsid w:val="00DF2FE2"/>
    <w:rsid w:val="00E03C4B"/>
    <w:rsid w:val="00E04617"/>
    <w:rsid w:val="00E04D57"/>
    <w:rsid w:val="00E14EB7"/>
    <w:rsid w:val="00E21335"/>
    <w:rsid w:val="00E2237D"/>
    <w:rsid w:val="00E22E3E"/>
    <w:rsid w:val="00E265A7"/>
    <w:rsid w:val="00E321EE"/>
    <w:rsid w:val="00E36E14"/>
    <w:rsid w:val="00E419D0"/>
    <w:rsid w:val="00E47154"/>
    <w:rsid w:val="00E52FC4"/>
    <w:rsid w:val="00E61A0B"/>
    <w:rsid w:val="00E673E7"/>
    <w:rsid w:val="00E72D77"/>
    <w:rsid w:val="00E751C0"/>
    <w:rsid w:val="00E84038"/>
    <w:rsid w:val="00E84522"/>
    <w:rsid w:val="00E85EB8"/>
    <w:rsid w:val="00E86246"/>
    <w:rsid w:val="00E86A0C"/>
    <w:rsid w:val="00E87657"/>
    <w:rsid w:val="00E95908"/>
    <w:rsid w:val="00EA21F7"/>
    <w:rsid w:val="00EA36CB"/>
    <w:rsid w:val="00EB195E"/>
    <w:rsid w:val="00ED630F"/>
    <w:rsid w:val="00EF5565"/>
    <w:rsid w:val="00F00477"/>
    <w:rsid w:val="00F04F30"/>
    <w:rsid w:val="00F07507"/>
    <w:rsid w:val="00F07B93"/>
    <w:rsid w:val="00F1053D"/>
    <w:rsid w:val="00F13A05"/>
    <w:rsid w:val="00F31959"/>
    <w:rsid w:val="00F37A82"/>
    <w:rsid w:val="00F4306C"/>
    <w:rsid w:val="00F456BB"/>
    <w:rsid w:val="00F466B4"/>
    <w:rsid w:val="00F5003F"/>
    <w:rsid w:val="00F526D8"/>
    <w:rsid w:val="00F62C4C"/>
    <w:rsid w:val="00F73019"/>
    <w:rsid w:val="00F80DFC"/>
    <w:rsid w:val="00F82AE0"/>
    <w:rsid w:val="00F9027A"/>
    <w:rsid w:val="00F91FCB"/>
    <w:rsid w:val="00F93EE2"/>
    <w:rsid w:val="00FA2AE9"/>
    <w:rsid w:val="00FA43CC"/>
    <w:rsid w:val="00FA5D0E"/>
    <w:rsid w:val="00FB0A80"/>
    <w:rsid w:val="00FB5EBD"/>
    <w:rsid w:val="00FD1AE9"/>
    <w:rsid w:val="00FD41FB"/>
    <w:rsid w:val="00FD59CD"/>
    <w:rsid w:val="00FE1C7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2017-02-08T15:01:00Z</cp:lastPrinted>
  <dcterms:created xsi:type="dcterms:W3CDTF">2017-07-13T17:02:00Z</dcterms:created>
  <dcterms:modified xsi:type="dcterms:W3CDTF">2017-07-13T17:02:00Z</dcterms:modified>
</cp:coreProperties>
</file>