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53F3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3E38EC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