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36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00"/>
          <w:sz w:val="34"/>
          <w:u w:val="none"/>
        </w:rPr>
        <w:t xml:space="preserve">Minimundo - Luderia Game of Boards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>
          <w:highlight w:val="none"/>
          <w:lang w:val="undefined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A </w:t>
      </w:r>
      <w:r>
        <w:rPr>
          <w:rFonts w:ascii="Arial" w:hAnsi="Arial" w:eastAsia="Arial" w:cs="Arial"/>
          <w:i/>
          <w:color w:val="000000"/>
          <w:sz w:val="22"/>
          <w:u w:val="none"/>
        </w:rPr>
        <w:t xml:space="preserve">Luderia Game of Boards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é uma loja física especializada na venda de jogos de tabuleiro e precisa de um sistema para gerenciar de forma eficiente o registro de produtos, clientes, transações de encomendas e vendas de produtos. Para isso, deve manter o catálogo de jogos, o control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e de vendas e o processo de encomendas.</w:t>
      </w:r>
      <w:r>
        <w:rPr>
          <w:lang w:val="undefined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>
          <w:sz w:val="24"/>
          <w:szCs w:val="24"/>
        </w:rPr>
      </w:pPr>
      <w:r>
        <w:rPr>
          <w:highlight w:val="none"/>
          <w:lang w:val="undefined"/>
        </w:rPr>
        <w:t xml:space="preserve">O banco de dados da empresa </w:t>
      </w:r>
      <w:r>
        <w:rPr>
          <w:highlight w:val="none"/>
          <w:lang w:val="undefined"/>
        </w:rPr>
        <w:t xml:space="preserve">é formado pelas seguintes relaç</w:t>
      </w:r>
      <w:r>
        <w:rPr>
          <w:highlight w:val="none"/>
          <w:lang w:val="undefined"/>
        </w:rPr>
        <w:t xml:space="preserve">ões e regras de neg</w:t>
      </w:r>
      <w:r>
        <w:rPr>
          <w:highlight w:val="none"/>
          <w:lang w:val="undefined"/>
        </w:rPr>
        <w:t xml:space="preserve">ócio</w:t>
      </w:r>
      <w:r>
        <w:rPr>
          <w:highlight w:val="none"/>
          <w:lang w:val="undefined"/>
        </w:rPr>
        <w:t xml:space="preserve">: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28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Os clientes podem realizar compras de nenhum jogo, ou vários jogos. Mas, ao realizar uma compra só é possível realizar a compra de um jogo por vez e não múltiplos jogos de diferentes títulos ao mesmo tempo. Ou seja, no registro da compra mesmo que o client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e compre vários jogos será registrado a compra individual de um jogo.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Al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ém disso, um cliente s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ó pode comprar um jogo se sua idade for maior ou igual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à idade indicativa na faixa et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ária de um jogo.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Cada compra realizada possui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o ID do jogo comprado, o CPF do cliente e 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data da compra. Cada cliente possui os seguintes atributos: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CPF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nome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e-mail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telefone</w:t>
      </w:r>
      <w:r>
        <w:rPr>
          <w:rFonts w:ascii="Arial" w:hAnsi="Arial" w:eastAsia="Arial" w:cs="Arial"/>
          <w:b/>
          <w:color w:val="000000"/>
          <w:sz w:val="22"/>
          <w:u w:val="none"/>
          <w:lang w:val="undefined"/>
        </w:rPr>
        <w:t xml:space="preserve">(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s</w:t>
      </w:r>
      <w:r>
        <w:rPr>
          <w:rFonts w:ascii="Arial" w:hAnsi="Arial" w:eastAsia="Arial" w:cs="Arial"/>
          <w:b/>
          <w:color w:val="000000"/>
          <w:sz w:val="22"/>
          <w:u w:val="none"/>
          <w:lang w:val="undefined"/>
        </w:rPr>
        <w:t xml:space="preserve">)</w:t>
      </w:r>
      <w:r>
        <w:rPr>
          <w:rFonts w:ascii="Arial" w:hAnsi="Arial" w:eastAsia="Arial" w:cs="Arial"/>
          <w:b/>
          <w:color w:val="000000"/>
          <w:sz w:val="22"/>
          <w:u w:val="none"/>
          <w:lang w:val="undefined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endereço</w:t>
      </w:r>
      <w:r>
        <w:rPr>
          <w:rFonts w:ascii="Arial" w:hAnsi="Arial" w:eastAsia="Arial" w:cs="Arial"/>
          <w:b/>
          <w:color w:val="000000"/>
          <w:sz w:val="22"/>
          <w:u w:val="none"/>
          <w:lang w:val="undefined"/>
        </w:rPr>
        <w:t xml:space="preserve"> e data de nascimento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Jogo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Cada jogo disponível no sistema possui os seguintes atributos: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Id_Jogo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NomeJogo, descrição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 valor de venda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desconto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faixa etária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 O valor de venda deve ser sempre maior que o valor de encomenda de um jogo. E a porcentagem de desconto não pode ser um valor acima de 20%. Os jogos podem ser comprados desde que estejam disponíveis em estoque na loja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 e que o cliente tenha a idade m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ínima indicada pela faixa et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ária do jogo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 Os jogos representados por essa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relaç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ão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são c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ó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pias individuais dos títulos de jogos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, o que permite existir mais de uma entidade de um mesmo t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ítulo de jogo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28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Funcionário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Cada funcionário possui CPF, nome, e-mail, telefone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(s),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endereço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e data de nascimento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 O funcionário pode </w:t>
      </w:r>
      <w:r>
        <w:rPr>
          <w:rFonts w:ascii="Arial" w:hAnsi="Arial" w:eastAsia="Arial" w:cs="Arial"/>
          <w:b w:val="0"/>
          <w:bCs w:val="0"/>
          <w:color w:val="000000"/>
          <w:sz w:val="22"/>
          <w:u w:val="none"/>
        </w:rPr>
        <w:t xml:space="preserve">r</w:t>
      </w:r>
      <w:r>
        <w:rPr>
          <w:rFonts w:ascii="Arial" w:hAnsi="Arial" w:eastAsia="Arial" w:cs="Arial"/>
          <w:b w:val="0"/>
          <w:bCs w:val="0"/>
          <w:color w:val="000000"/>
          <w:sz w:val="22"/>
          <w:u w:val="none"/>
        </w:rPr>
        <w:t xml:space="preserve">ealizar encomendas de jogos</w:t>
      </w:r>
      <w:r>
        <w:rPr>
          <w:rFonts w:ascii="Arial" w:hAnsi="Arial" w:eastAsia="Arial" w:cs="Arial"/>
          <w:b w:val="0"/>
          <w:bCs w:val="0"/>
          <w:color w:val="000000"/>
          <w:sz w:val="22"/>
          <w:u w:val="none"/>
        </w:rPr>
        <w:t xml:space="preserve">.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Uma encomenda é feita por apenas um funcionário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, e todo jogo cadastrado no banco de dados, necessariamente foi encomendado por um funcion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ário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 Cada encomenda possui os seguintes atributos: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Código da encomenda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 data da realização da encomenda e valor de encomenda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</w:t>
      </w:r>
      <w:r>
        <w:rPr>
          <w:rFonts w:ascii="Arial" w:hAnsi="Arial" w:eastAsia="Arial" w:cs="Arial"/>
          <w:color w:val="000000"/>
          <w:sz w:val="22"/>
          <w:highlight w:val="yellow"/>
          <w:u w:val="none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28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Distribuidora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2"/>
          <w:u w:val="none"/>
        </w:rPr>
        <w:t xml:space="preserve">Cada distribuidora cadastrada no sistema possui os seguintes dados: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CNPJ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Nome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endereço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 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telefone</w:t>
      </w:r>
      <w:r>
        <w:rPr>
          <w:rFonts w:ascii="Arial" w:hAnsi="Arial" w:eastAsia="Arial" w:cs="Arial"/>
          <w:b/>
          <w:color w:val="000000"/>
          <w:sz w:val="22"/>
          <w:u w:val="none"/>
          <w:lang w:val="undefined"/>
        </w:rPr>
        <w:t xml:space="preserve">(s)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 Uma distribuidora distribui vários jogos. Um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 t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ítulo de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jogo só pode ser distribuído por uma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única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 distribuidora. Cada distribuição possui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c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ódigo de encomenda, 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data de encomenda, 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data de entrega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, CPF do funcion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ário que fez a encomenda e o valor de encomenda do jogo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. 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Uma distribuiç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  <w:t xml:space="preserve">ão pode englobar mais de uma encomenda de jogo.</w:t>
      </w:r>
      <w:r>
        <w:rPr>
          <w:rFonts w:ascii="Arial" w:hAnsi="Arial" w:eastAsia="Arial" w:cs="Arial"/>
          <w:color w:val="000000"/>
          <w:sz w:val="22"/>
          <w:u w:val="none"/>
          <w:lang w:val="undefined"/>
        </w:rPr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2025-10-26T19:49:34Z</dcterms:modified>
</cp:coreProperties>
</file>