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GachaScene — Pozonegro™</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visual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Índice de secciones</w:t>
      </w:r>
    </w:p>
    <w:p>
      <w:pPr>
        <w:pStyle w:val="ListParagraph"/>
        <w:numPr>
          <w:ilvl w:val="0"/>
          <w:numId w:val="2"/>
        </w:numPr>
        <w:spacing w:before="40" w:after="40"/>
      </w:pPr>
      <w:r>
        <w:rPr>
          <w:rFonts w:ascii="Arial" w:cs="Arial" w:eastAsia="Arial" w:hAnsi="Arial"/>
          <w:sz w:val="22"/>
          <w:szCs w:val="22"/>
        </w:rPr>
        <w:t xml:space="preserve">Sección 0 — Mockup visual de referencia (página landscape)</w:t>
      </w:r>
    </w:p>
    <w:p>
      <w:pPr>
        <w:pStyle w:val="ListParagraph"/>
        <w:numPr>
          <w:ilvl w:val="0"/>
          <w:numId w:val="2"/>
        </w:numPr>
        <w:spacing w:before="40" w:after="40"/>
      </w:pPr>
      <w:r>
        <w:rPr>
          <w:rFonts w:ascii="Arial" w:cs="Arial" w:eastAsia="Arial" w:hAnsi="Arial"/>
          <w:sz w:val="22"/>
          <w:szCs w:val="22"/>
        </w:rPr>
        <w:t xml:space="preserve">Sección 1 — Ficha técnica de la Scene</w:t>
      </w:r>
    </w:p>
    <w:p>
      <w:pPr>
        <w:pStyle w:val="ListParagraph"/>
        <w:numPr>
          <w:ilvl w:val="0"/>
          <w:numId w:val="2"/>
        </w:numPr>
        <w:spacing w:before="40" w:after="40"/>
      </w:pPr>
      <w:r>
        <w:rPr>
          <w:rFonts w:ascii="Arial" w:cs="Arial" w:eastAsia="Arial" w:hAnsi="Arial"/>
          <w:sz w:val="22"/>
          <w:szCs w:val="22"/>
        </w:rPr>
        <w:t xml:space="preserve">Sección 2 — Especificación Figma</w:t>
      </w:r>
    </w:p>
    <w:p>
      <w:pPr>
        <w:pStyle w:val="ListParagraph"/>
        <w:numPr>
          <w:ilvl w:val="0"/>
          <w:numId w:val="2"/>
        </w:numPr>
        <w:spacing w:before="40" w:after="40"/>
      </w:pPr>
      <w:r>
        <w:rPr>
          <w:rFonts w:ascii="Arial" w:cs="Arial" w:eastAsia="Arial" w:hAnsi="Arial"/>
          <w:sz w:val="22"/>
          <w:szCs w:val="22"/>
        </w:rPr>
        <w:t xml:space="preserve">Sección 3 — Contenido formal completo</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GachaScene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Pozonegro™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de gestión — invocación de esbirros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MainMenuScene (estructura Pozonegro™) · ShopScene tab Premium (enlace directo al Ojo del Caos)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 (botón ← Bastión)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Landscape 16:9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 simplificado: avatar, Caosifera + botón +, Scrolls de invocación, chat, ajustes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Assets únicos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Sala de alquimia con fondo animado · Ojo flotante animado (iris pulsante) · Partículas del portal · Animaciones de revelación de carta · Frases del NPC MaestroVacío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lecturas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 read al entrar: estado de banners activos + pity actual del jugador por tipo de invocación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invocar: Cloud Function ProcessSummon (valida coste, ejecuta tirada server-side, devuelve resultado). 1 write al finalizar con resultado + actualización pity.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IAP relacionado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ShopScene gestiona la compra de Caosifera. GachaScene solo consume el saldo ya existente.</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 — Descripción exacta del mockup</w:t>
      </w:r>
    </w:p>
    <w:p>
      <w:pPr>
        <w:pBdr>
          <w:left w:val="single" w:color="2E4A7A" w:sz="6" w:space="6"/>
        </w:pBdr>
        <w:spacing w:before="80" w:after="80"/>
        <w:ind w:left="360"/>
      </w:pPr>
      <w:r>
        <w:rPr>
          <w:rFonts w:ascii="Arial" w:cs="Arial" w:eastAsia="Arial" w:hAnsi="Arial"/>
          <w:i/>
          <w:iCs/>
          <w:color w:val="2E4A7A"/>
          <w:sz w:val="20"/>
          <w:szCs w:val="20"/>
        </w:rPr>
        <w:t xml:space="preserve">El mockup muestra GachaScene con el banner de Evento activo (Circo Agonizante) y el Ojo del Evento seleccionado flotando sobre el portal. El jugador tiene pity 47/50.</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Zona</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w:t>
            </w:r>
          </w:p>
        </w:tc>
        <w:tc>
          <w:tcPr>
            <w:tcW w:type="dxa" w:w="4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y=10, h=58px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Versión simplificada: avatar, Caosifera destacada, Scrolls de invocación, chat, ajustes, back.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Scroll de banners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y=68, h=62px</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Cartas de banner deslizables horizontalmente. Banner activo destacado. Flechas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Sala de alquimia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completo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Columnas, velas, estanterías con pociones, suelo de baldosas, runas en el suelo.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Portal / agujero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~cx=640 cy=490</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Ellipses concéntricas creando profundidad de abismo. Luz púrpura pulsante interior.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Ojo flotante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Centro, cy≈340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ojo del tipo seleccionado flota sobre el portal con destellos y aura.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Botón ?</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Esquina superior derecha</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de información: pity, historial de invocaciones, tasas de rareza.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NPC MaestroVacío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Esquina inferior izquierda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Personaje pequeño con bocadillo de frase contextual.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de invocación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inferior, w=980px</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 tipos de invocación + botones x1/x10 integrados en un panel horizontal.</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2.2 HUD top bar — versión simplificada para GachaScene</w:t>
      </w:r>
    </w:p>
    <w:p>
      <w:pPr>
        <w:pStyle w:val="ListParagraph"/>
        <w:numPr>
          <w:ilvl w:val="0"/>
          <w:numId w:val="2"/>
        </w:numPr>
        <w:spacing w:before="40" w:after="40"/>
      </w:pPr>
      <w:r>
        <w:rPr>
          <w:rFonts w:ascii="Arial" w:cs="Arial" w:eastAsia="Arial" w:hAnsi="Arial"/>
          <w:sz w:val="22"/>
          <w:szCs w:val="22"/>
        </w:rPr>
        <w:t xml:space="preserve">El HUD de GachaScene omite las monedas de energía y oro negro — no son relevantes para la invocación. Solo muestra Caosifera (la moneda que se gasta) y el contador de Scrolls.</w:t>
      </w:r>
    </w:p>
    <w:p>
      <w:pPr>
        <w:pStyle w:val="ListParagraph"/>
        <w:numPr>
          <w:ilvl w:val="0"/>
          <w:numId w:val="2"/>
        </w:numPr>
        <w:spacing w:before="40" w:after="40"/>
      </w:pPr>
      <w:r>
        <w:rPr>
          <w:rFonts w:ascii="Arial" w:cs="Arial" w:eastAsia="Arial" w:hAnsi="Arial"/>
          <w:sz w:val="22"/>
          <w:szCs w:val="22"/>
        </w:rPr>
        <w:t xml:space="preserve">Caosifera: píldora 110×22px con borde 1.5px #22D3EE. Más prominente que en otras Scenes para que el jugador vea claramente su saldo.</w:t>
      </w:r>
    </w:p>
    <w:p>
      <w:pPr>
        <w:pStyle w:val="ListParagraph"/>
        <w:numPr>
          <w:ilvl w:val="0"/>
          <w:numId w:val="2"/>
        </w:numPr>
        <w:spacing w:before="40" w:after="40"/>
      </w:pPr>
      <w:r>
        <w:rPr>
          <w:rFonts w:ascii="Arial" w:cs="Arial" w:eastAsia="Arial" w:hAnsi="Arial"/>
          <w:sz w:val="22"/>
          <w:szCs w:val="22"/>
        </w:rPr>
        <w:t xml:space="preserve">Scrolls de invocación: píldora 120×22px con borde #D97706. Muestra el total de scrolls disponibles para el banner activo.</w:t>
      </w:r>
    </w:p>
    <w:p>
      <w:pPr>
        <w:pStyle w:val="ListParagraph"/>
        <w:numPr>
          <w:ilvl w:val="0"/>
          <w:numId w:val="2"/>
        </w:numPr>
        <w:spacing w:before="40" w:after="40"/>
      </w:pPr>
      <w:r>
        <w:rPr>
          <w:rFonts w:ascii="Arial" w:cs="Arial" w:eastAsia="Arial" w:hAnsi="Arial"/>
          <w:sz w:val="22"/>
          <w:szCs w:val="22"/>
        </w:rPr>
        <w:t xml:space="preserve">Botón ← Bastión: mismo estilo que en otras Scenes.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Scroll horizontal de banners</w:t>
      </w:r>
    </w:p>
    <w:p>
      <w:pPr>
        <w:spacing w:before="60" w:after="80"/>
      </w:pPr>
      <w:r>
        <w:rPr>
          <w:rFonts w:ascii="Arial" w:cs="Arial" w:eastAsia="Arial" w:hAnsi="Arial"/>
          <w:sz w:val="22"/>
          <w:szCs w:val="22"/>
        </w:rPr>
        <w:t xml:space="preserve">Cartas de banner deslizables en la parte superior, justo bajo el HUD. Altura 62px. El jugador desliza horizontalmente para ver todos los banners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carta de banner</w:t>
            </w:r>
          </w:p>
        </w:tc>
        <w:tc>
          <w:tcPr>
            <w:tcW w:type="dxa" w:w="3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Apariencia</w:t>
            </w:r>
          </w:p>
        </w:tc>
        <w:tc>
          <w:tcPr>
            <w:tcW w:type="dxa" w:w="3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Contenido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Activo (seleccionado)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2px #FACC15. Fondo #1E1535. Más alto (62px vs 54px).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Emoji del banner + nombre del evento + nombre del héroe featured + badge de countdown rojo.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Inactivo disponible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1px #374151. Fondo #14101E.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Emoji + nombre + descripción breve.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Parcialmente visible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Opacidad 0.6. Sin borde.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Solo el emoji es legible. Indica que hay más con scroll.</w:t>
            </w:r>
          </w:p>
        </w:tc>
      </w:tr>
    </w:tbl>
    <w:p>
      <w:pPr>
        <w:pStyle w:val="ListParagraph"/>
        <w:numPr>
          <w:ilvl w:val="0"/>
          <w:numId w:val="2"/>
        </w:numPr>
        <w:spacing w:before="40" w:after="40"/>
      </w:pPr>
      <w:r>
        <w:rPr>
          <w:rFonts w:ascii="Arial" w:cs="Arial" w:eastAsia="Arial" w:hAnsi="Arial"/>
          <w:sz w:val="22"/>
          <w:szCs w:val="22"/>
        </w:rPr>
        <w:t xml:space="preserve">Flechas de scroll: círculos 28px fondo #1A1020 con ◄ ► a los extremos del área de banners.</w:t>
      </w:r>
    </w:p>
    <w:p>
      <w:pPr>
        <w:pStyle w:val="ListParagraph"/>
        <w:numPr>
          <w:ilvl w:val="0"/>
          <w:numId w:val="2"/>
        </w:numPr>
        <w:spacing w:before="40" w:after="40"/>
      </w:pPr>
      <w:r>
        <w:rPr>
          <w:rFonts w:ascii="Arial" w:cs="Arial" w:eastAsia="Arial" w:hAnsi="Arial"/>
          <w:sz w:val="22"/>
          <w:szCs w:val="22"/>
        </w:rPr>
        <w:t xml:space="preserve">Al seleccionar un banner diferente, el ojo flotante central cambia de tipo y apariencia, y el panel inferior actualiza el tipo de ojo activo.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2.4 Sala de alquimia — fondo</w:t>
      </w:r>
    </w:p>
    <w:p>
      <w:pPr>
        <w:pStyle w:val="Heading3"/>
        <w:spacing w:before="200" w:after="80"/>
      </w:pPr>
      <w:r>
        <w:rPr>
          <w:rFonts w:ascii="Arial" w:cs="Arial" w:eastAsia="Arial" w:hAnsi="Arial"/>
          <w:b/>
          <w:bCs/>
          <w:color w:val="3A5A9A"/>
          <w:sz w:val="24"/>
          <w:szCs w:val="24"/>
        </w:rPr>
        <w:t xml:space="preserve">Columnas y arquitectura</w:t>
      </w:r>
    </w:p>
    <w:p>
      <w:pPr>
        <w:pStyle w:val="ListParagraph"/>
        <w:numPr>
          <w:ilvl w:val="0"/>
          <w:numId w:val="2"/>
        </w:numPr>
        <w:spacing w:before="40" w:after="40"/>
      </w:pPr>
      <w:r>
        <w:rPr>
          <w:rFonts w:ascii="Arial" w:cs="Arial" w:eastAsia="Arial" w:hAnsi="Arial"/>
          <w:sz w:val="22"/>
          <w:szCs w:val="22"/>
        </w:rPr>
        <w:t xml:space="preserve">2 columnas principales a cada lado (x≈30 y x≈1202), altura ~500px, ancho ~48px rx=6. Fondo #120E1C borde #2D1A3D.</w:t>
      </w:r>
    </w:p>
    <w:p>
      <w:pPr>
        <w:pStyle w:val="ListParagraph"/>
        <w:numPr>
          <w:ilvl w:val="0"/>
          <w:numId w:val="2"/>
        </w:numPr>
        <w:spacing w:before="40" w:after="40"/>
      </w:pPr>
      <w:r>
        <w:rPr>
          <w:rFonts w:ascii="Arial" w:cs="Arial" w:eastAsia="Arial" w:hAnsi="Arial"/>
          <w:sz w:val="22"/>
          <w:szCs w:val="22"/>
        </w:rPr>
        <w:t xml:space="preserve">2 columnas secundarias más estrechas (x≈160 y x≈1082), altura ~440px, ancho ~38px.</w:t>
      </w:r>
    </w:p>
    <w:p>
      <w:pPr>
        <w:pStyle w:val="ListParagraph"/>
        <w:numPr>
          <w:ilvl w:val="0"/>
          <w:numId w:val="2"/>
        </w:numPr>
        <w:spacing w:before="40" w:after="40"/>
      </w:pPr>
      <w:r>
        <w:rPr>
          <w:rFonts w:ascii="Arial" w:cs="Arial" w:eastAsia="Arial" w:hAnsi="Arial"/>
          <w:sz w:val="22"/>
          <w:szCs w:val="22"/>
        </w:rPr>
        <w:t xml:space="preserve">Capiteles de columna: rect de 64×20px rx=4 fondo #1A1028 en la parte superior e inferior de cada columna principal.</w:t>
      </w:r>
    </w:p>
    <w:p>
      <w:pPr>
        <w:pStyle w:val="Heading3"/>
        <w:spacing w:before="200" w:after="80"/>
      </w:pPr>
      <w:r>
        <w:rPr>
          <w:rFonts w:ascii="Arial" w:cs="Arial" w:eastAsia="Arial" w:hAnsi="Arial"/>
          <w:b/>
          <w:bCs/>
          <w:color w:val="3A5A9A"/>
          <w:sz w:val="24"/>
          <w:szCs w:val="24"/>
        </w:rPr>
        <w:t xml:space="preserve">Velas</w:t>
      </w:r>
    </w:p>
    <w:p>
      <w:pPr>
        <w:pStyle w:val="ListParagraph"/>
        <w:numPr>
          <w:ilvl w:val="0"/>
          <w:numId w:val="2"/>
        </w:numPr>
        <w:spacing w:before="40" w:after="40"/>
      </w:pPr>
      <w:r>
        <w:rPr>
          <w:rFonts w:ascii="Arial" w:cs="Arial" w:eastAsia="Arial" w:hAnsi="Arial"/>
          <w:sz w:val="22"/>
          <w:szCs w:val="22"/>
        </w:rPr>
        <w:t xml:space="preserve">4 velas distribuidas (2 grandes en las columnas principales, 2 pequeñas en las secundarias). Cuerpo blanco semitransparente, llama en ellipse con relleno #FACC15/#FDE68A. Halo de luz circular con fondo #FACC15 opacidad 0.10–0.12.</w:t>
      </w:r>
    </w:p>
    <w:p>
      <w:pPr>
        <w:pStyle w:val="Heading3"/>
        <w:spacing w:before="200" w:after="80"/>
      </w:pPr>
      <w:r>
        <w:rPr>
          <w:rFonts w:ascii="Arial" w:cs="Arial" w:eastAsia="Arial" w:hAnsi="Arial"/>
          <w:b/>
          <w:bCs/>
          <w:color w:val="3A5A9A"/>
          <w:sz w:val="24"/>
          <w:szCs w:val="24"/>
        </w:rPr>
        <w:t xml:space="preserve">Estanterías con pociones</w:t>
      </w:r>
    </w:p>
    <w:p>
      <w:pPr>
        <w:pStyle w:val="ListParagraph"/>
        <w:numPr>
          <w:ilvl w:val="0"/>
          <w:numId w:val="2"/>
        </w:numPr>
        <w:spacing w:before="40" w:after="40"/>
      </w:pPr>
      <w:r>
        <w:rPr>
          <w:rFonts w:ascii="Arial" w:cs="Arial" w:eastAsia="Arial" w:hAnsi="Arial"/>
          <w:sz w:val="22"/>
          <w:szCs w:val="22"/>
        </w:rPr>
        <w:t xml:space="preserve">Una estantería a cada lado (x≈30 y x≈1150), 100×160px. Fondo #0E0C16 borde #1A1828. Dos estantes horizontales. 3 pociones por estantería: ellipses de distintos tamaños con colores #4C1D95 / #166534 / #7F1D1D / #0C4A6E opacidad 0.7.</w:t>
      </w:r>
    </w:p>
    <w:p>
      <w:pPr>
        <w:pStyle w:val="Heading3"/>
        <w:spacing w:before="200" w:after="80"/>
      </w:pPr>
      <w:r>
        <w:rPr>
          <w:rFonts w:ascii="Arial" w:cs="Arial" w:eastAsia="Arial" w:hAnsi="Arial"/>
          <w:b/>
          <w:bCs/>
          <w:color w:val="3A5A9A"/>
          <w:sz w:val="24"/>
          <w:szCs w:val="24"/>
        </w:rPr>
        <w:t xml:space="preserve">Suelo y runas</w:t>
      </w:r>
    </w:p>
    <w:p>
      <w:pPr>
        <w:pStyle w:val="ListParagraph"/>
        <w:numPr>
          <w:ilvl w:val="0"/>
          <w:numId w:val="2"/>
        </w:numPr>
        <w:spacing w:before="40" w:after="40"/>
      </w:pPr>
      <w:r>
        <w:rPr>
          <w:rFonts w:ascii="Arial" w:cs="Arial" w:eastAsia="Arial" w:hAnsi="Arial"/>
          <w:sz w:val="22"/>
          <w:szCs w:val="22"/>
        </w:rPr>
        <w:t xml:space="preserve">Suelo: rect #0E0C18 desde y=560. Cuadrícula de líneas horizontales y verticales 0.8px #1A1828.</w:t>
      </w:r>
    </w:p>
    <w:p>
      <w:pPr>
        <w:pStyle w:val="ListParagraph"/>
        <w:numPr>
          <w:ilvl w:val="0"/>
          <w:numId w:val="2"/>
        </w:numPr>
        <w:spacing w:before="40" w:after="40"/>
      </w:pPr>
      <w:r>
        <w:rPr>
          <w:rFonts w:ascii="Arial" w:cs="Arial" w:eastAsia="Arial" w:hAnsi="Arial"/>
          <w:sz w:val="22"/>
          <w:szCs w:val="22"/>
        </w:rPr>
        <w:t xml:space="preserve">Círculo de runas: dos círculos centrados en el portal (r=180 y r=152) con stroke #2D1A3D / #3B1A55 stroke-dasharray y trazo fino. Símbolos rúnicos (caracteres futhark) a lo largo del círculo en 14px #4C1D95 opacidad 0.6.</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2.5 Portal — agujero en el suelo</w:t>
      </w:r>
    </w:p>
    <w:p>
      <w:pPr>
        <w:spacing w:before="60" w:after="80"/>
      </w:pPr>
      <w:r>
        <w:rPr>
          <w:rFonts w:ascii="Arial" w:cs="Arial" w:eastAsia="Arial" w:hAnsi="Arial"/>
          <w:sz w:val="22"/>
          <w:szCs w:val="22"/>
        </w:rPr>
        <w:t xml:space="preserve">El portal es la pieza central de la Scene. Se construye con ellipses concéntricas decrecientes que crean sensación de profundidad.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Capa</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rx × ry</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Fondo</w:t>
            </w:r>
          </w:p>
        </w:tc>
        <w:tc>
          <w:tcPr>
            <w:tcW w:type="dxa" w:w="2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Borde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Sombra exterior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190×58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#000000 opacidad 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borde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exterior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174×52</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#0A0418</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2.5px #4C1D95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Capa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154×45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#080212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1.5px #6D28D9</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Capa 3</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128×37</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#06010E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1px #7C3AED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interior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100×28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#04000A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borde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Brillo suave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72×20</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#1A0035 opacidad 0.8</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Sin borde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Brillo medio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44×13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#3B0764 opacidad 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borde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Brillo intenso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22×7</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#6D28D9 opacidad 0.7</w:t>
            </w:r>
          </w:p>
        </w:tc>
        <w:tc>
          <w:tcPr>
            <w:tcW w:type="dxa" w:w="2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Sin borde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Núcleo pulsante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#A855F7 opacidad 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borde</w:t>
            </w:r>
          </w:p>
        </w:tc>
      </w:tr>
    </w:tbl>
    <w:p>
      <w:pPr>
        <w:pStyle w:val="ListParagraph"/>
        <w:numPr>
          <w:ilvl w:val="0"/>
          <w:numId w:val="2"/>
        </w:numPr>
        <w:spacing w:before="40" w:after="40"/>
      </w:pPr>
      <w:r>
        <w:rPr>
          <w:rFonts w:ascii="Arial" w:cs="Arial" w:eastAsia="Arial" w:hAnsi="Arial"/>
          <w:sz w:val="22"/>
          <w:szCs w:val="22"/>
        </w:rPr>
        <w:t xml:space="preserve">Partículas emergentes: 6 círculos de r=2–3px con fondo #7C3AED / #A855F7 / #C084FC distribuidos aleatoriamente sobre el borde del portal, opacidad 0.5–0.7. Animados para flotar hacia arriba en loop.</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2.6 Ojo flotante sobre el portal</w:t>
      </w:r>
    </w:p>
    <w:p>
      <w:pPr>
        <w:spacing w:before="60" w:after="80"/>
      </w:pPr>
      <w:r>
        <w:rPr>
          <w:rFonts w:ascii="Arial" w:cs="Arial" w:eastAsia="Arial" w:hAnsi="Arial"/>
          <w:sz w:val="22"/>
          <w:szCs w:val="22"/>
        </w:rPr>
        <w:t xml:space="preserve">El ojo del tipo de invocación seleccionado flota sobre el portal, centrado horizontalmente, con animación suave de levitación (bob up/down ~±8px, 2s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Capa del ojo</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Aura exterior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círculos concéntricos con stroke del color del tipo (ej: #FACC15 para Evento), opacidad 0.3–0.4. Radio 88px y 72px.</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Relleno difuso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r=56px fondo #1A0D35 opacidad 0.6, crea base oscura para el ojo.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Esclerótica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Ellipse rx=56 ry=44 fondo #F5F0E8. La parte blanca del ojo.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Iris exterior</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Ellipse r=36 fondo #8B2BE2 (varía por tipo).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Iris medio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Ellipse r=28 fondo #6D28D9.</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Iris interior</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Ellipse r=20 fondo #4C1D95.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Pupila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Ellipse rx=12 ry=16 fondo #0A0418. Vertical para dar expresividad.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Reflejos de luz</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r=6 white opacidad 0.85 + círculo r=3 white opacidad 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Venas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paths SVG finos stroke #DC2626 opacidad 0.4 saliendo desde los bordes del iris.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Destellos</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 líneas de luz del color del tipo (1.5–2px) saliendo en distintas direcciones. Animados en pulso.</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Variaciones del ojo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2000"/>
        <w:gridCol w:w="2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iris</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aura</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destellos</w:t>
            </w:r>
          </w:p>
        </w:tc>
        <w:tc>
          <w:tcPr>
            <w:tcW w:type="dxa" w:w="2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Pupila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Ojo del Evento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#8B2BE2 → #4C1D95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#FACC15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#FACC15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Vertical #0A0418</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Ojo Místico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#1D4ED8 → #1E3A5F</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#60A5FA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#A5F3FC</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Circular #04080E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Ojo Profano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#4C1D95 → #2D1A3D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#A855F7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#C084FC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Vertical elongada #0A0418</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Ojo del Caos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#6D28D9 → #4C1D95</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#A855F7</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#E9D5FF</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Espiral #0A0418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Fragmentos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 — no es un ojo, es un icono de puzzle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#D97706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#FCD34D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2.7 Botón ? — panel de información</w:t>
      </w:r>
    </w:p>
    <w:p>
      <w:pPr>
        <w:pStyle w:val="ListParagraph"/>
        <w:numPr>
          <w:ilvl w:val="0"/>
          <w:numId w:val="2"/>
        </w:numPr>
        <w:spacing w:before="40" w:after="40"/>
      </w:pPr>
      <w:r>
        <w:rPr>
          <w:rFonts w:ascii="Arial" w:cs="Arial" w:eastAsia="Arial" w:hAnsi="Arial"/>
          <w:sz w:val="22"/>
          <w:szCs w:val="22"/>
        </w:rPr>
        <w:t xml:space="preserve">Círculo r=26px, fondo #1A1020, borde 1.5px #7C3AED. Texto '?' 22px #A855F7 bold. Etiqueta 'Info' 7px #6B7280 debajo.</w:t>
      </w:r>
    </w:p>
    <w:p>
      <w:pPr>
        <w:pStyle w:val="ListParagraph"/>
        <w:numPr>
          <w:ilvl w:val="0"/>
          <w:numId w:val="2"/>
        </w:numPr>
        <w:spacing w:before="40" w:after="40"/>
      </w:pPr>
      <w:r>
        <w:rPr>
          <w:rFonts w:ascii="Arial" w:cs="Arial" w:eastAsia="Arial" w:hAnsi="Arial"/>
          <w:sz w:val="22"/>
          <w:szCs w:val="22"/>
        </w:rPr>
        <w:t xml:space="preserve">Al pulsar: abre un panel overlay deslizante desde la derecha (mismo estilo que el chat panel, 40% ancho). Contiene: tasas de rareza del banner activo, barra de pity con contador, historial de últimas 20 invocaciones, probabilidad del próximo 6★.</w:t>
      </w:r>
    </w:p>
    <w:p>
      <w:pPr>
        <w:pStyle w:val="ListParagraph"/>
        <w:numPr>
          <w:ilvl w:val="0"/>
          <w:numId w:val="2"/>
        </w:numPr>
        <w:spacing w:before="40" w:after="40"/>
      </w:pPr>
      <w:r>
        <w:rPr>
          <w:rFonts w:ascii="Arial" w:cs="Arial" w:eastAsia="Arial" w:hAnsi="Arial"/>
          <w:sz w:val="22"/>
          <w:szCs w:val="22"/>
        </w:rPr>
        <w:t xml:space="preserve">El panel ? se cierra pulsando fuera o pulsando el botón ? de nuevo.</w:t>
      </w:r>
    </w:p>
    <w:p>
      <w:pPr>
        <w:pBdr>
          <w:left w:val="single" w:color="2E4A7A" w:sz="6" w:space="6"/>
        </w:pBdr>
        <w:spacing w:before="80" w:after="80"/>
        <w:ind w:left="360"/>
      </w:pPr>
      <w:r>
        <w:rPr>
          <w:rFonts w:ascii="Arial" w:cs="Arial" w:eastAsia="Arial" w:hAnsi="Arial"/>
          <w:i/>
          <w:iCs/>
          <w:color w:val="2E4A7A"/>
          <w:sz w:val="20"/>
          <w:szCs w:val="20"/>
        </w:rPr>
        <w:t xml:space="preserve">Toda la información de pity e historial está en el panel ?, no en la pantalla principal. Esto mantiene la pantalla principal limpia y centrada en la invocación.</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2.8 NPC MaestroVacío</w:t>
      </w:r>
    </w:p>
    <w:p>
      <w:pPr>
        <w:pStyle w:val="ListParagraph"/>
        <w:numPr>
          <w:ilvl w:val="0"/>
          <w:numId w:val="2"/>
        </w:numPr>
        <w:spacing w:before="40" w:after="40"/>
      </w:pPr>
      <w:r>
        <w:rPr>
          <w:rFonts w:ascii="Arial" w:cs="Arial" w:eastAsia="Arial" w:hAnsi="Arial"/>
          <w:sz w:val="22"/>
          <w:szCs w:val="22"/>
        </w:rPr>
        <w:t xml:space="preserve">Emoji de personaje (~80–100px font-size) en la esquina inferior izquierda (x≈50, y≈585 desde el top).</w:t>
      </w:r>
    </w:p>
    <w:p>
      <w:pPr>
        <w:pStyle w:val="ListParagraph"/>
        <w:numPr>
          <w:ilvl w:val="0"/>
          <w:numId w:val="2"/>
        </w:numPr>
        <w:spacing w:before="40" w:after="40"/>
      </w:pPr>
      <w:r>
        <w:rPr>
          <w:rFonts w:ascii="Arial" w:cs="Arial" w:eastAsia="Arial" w:hAnsi="Arial"/>
          <w:sz w:val="22"/>
          <w:szCs w:val="22"/>
        </w:rPr>
        <w:t xml:space="preserve">Bocadillo: rect ~210×48px rx=8 fondo #14101E borde #374151. Triángulo pequeño apuntando hacia abajo-izquierda hacia el NPC.</w:t>
      </w:r>
    </w:p>
    <w:p>
      <w:pPr>
        <w:pStyle w:val="ListParagraph"/>
        <w:numPr>
          <w:ilvl w:val="0"/>
          <w:numId w:val="2"/>
        </w:numPr>
        <w:spacing w:before="40" w:after="40"/>
      </w:pPr>
      <w:r>
        <w:rPr>
          <w:rFonts w:ascii="Arial" w:cs="Arial" w:eastAsia="Arial" w:hAnsi="Arial"/>
          <w:sz w:val="22"/>
          <w:szCs w:val="22"/>
        </w:rPr>
        <w:t xml:space="preserve">Texto en cursiva 9px #9CA3AF. El NPC dice frases contextuales según el estado: pity bajo → comentario sarcástico, pity alto → nervioso, tras invocación de 6★ → celebración exagerada.</w:t>
      </w:r>
    </w:p>
    <w:p>
      <w:pPr>
        <w:pStyle w:val="ListParagraph"/>
        <w:numPr>
          <w:ilvl w:val="0"/>
          <w:numId w:val="2"/>
        </w:numPr>
        <w:spacing w:before="40" w:after="40"/>
      </w:pPr>
      <w:r>
        <w:rPr>
          <w:rFonts w:ascii="Arial" w:cs="Arial" w:eastAsia="Arial" w:hAnsi="Arial"/>
          <w:sz w:val="22"/>
          <w:szCs w:val="22"/>
        </w:rPr>
        <w:t xml:space="preserve">Bajo el NPC: badge con su nombre 'MaestroVacío' en rect pequeño fondo #1A1020.</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2.9 Panel de invocación — barra inferior</w:t>
      </w:r>
    </w:p>
    <w:p>
      <w:pPr>
        <w:spacing w:before="60" w:after="80"/>
      </w:pPr>
      <w:r>
        <w:rPr>
          <w:rFonts w:ascii="Arial" w:cs="Arial" w:eastAsia="Arial" w:hAnsi="Arial"/>
          <w:sz w:val="22"/>
          <w:szCs w:val="22"/>
        </w:rPr>
        <w:t xml:space="preserve">Panel horizontal que ocupa el ancho completo de la zona inferior (x=300, w=980px, h=116px). Fondo #0D0D1A opacidad 0.94.</w:t>
      </w:r>
    </w:p>
    <w:p>
      <w:pPr>
        <w:pStyle w:val="Heading3"/>
        <w:spacing w:before="200" w:after="80"/>
      </w:pPr>
      <w:r>
        <w:rPr>
          <w:rFonts w:ascii="Arial" w:cs="Arial" w:eastAsia="Arial" w:hAnsi="Arial"/>
          <w:b/>
          <w:bCs/>
          <w:color w:val="3A5A9A"/>
          <w:sz w:val="24"/>
          <w:szCs w:val="24"/>
        </w:rPr>
        <w:t xml:space="preserve">5 slots de tipo de invocación</w:t>
      </w:r>
    </w:p>
    <w:p>
      <w:pPr>
        <w:spacing w:before="60" w:after="80"/>
      </w:pPr>
      <w:r>
        <w:rPr>
          <w:rFonts w:ascii="Arial" w:cs="Arial" w:eastAsia="Arial" w:hAnsi="Arial"/>
          <w:sz w:val="22"/>
          <w:szCs w:val="22"/>
        </w:rPr>
        <w:t xml:space="preserve">Cada slot: 124×96px rx=8. El activo tiene borde del color del tipo. Los inactivos tienen borde #374151.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400"/>
        <w:gridCol w:w="1800"/>
        <w:gridCol w:w="3160"/>
      </w:tblGrid>
      <w:tr>
        <w:trPr>
          <w:tblHeader/>
        </w:trPr>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Icono</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Borde activo</w:t>
            </w:r>
          </w:p>
        </w:tc>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Coste x1</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Coste x10</w:t>
            </w:r>
          </w:p>
        </w:tc>
        <w:tc>
          <w:tcPr>
            <w:tcW w:type="dxa" w:w="3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Garantía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Ojo del Evento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(iris color evento)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#FACC15 2px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160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1.440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garantizado en x10. Pity duro: héroe featured a los 50 pulls.</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Ojo Místico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(iris azul)</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#60A5FA 1.5px</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1 Scroll</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10 Scrolls</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Mayor % nat3. Sin garantía de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Ojo Profano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(iris púrpura)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#A855F7 1.5px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1.800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Mayor % esbirros Profanos del banner de Reino activo.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Ojo del Caos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(iris caos)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#A855F7 1.5px</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400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3.600</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Mínimo nat4 garantizado en CADA invocación.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(no es ojo)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#D97706 1px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frags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Invocación directa de un esbirro específico al acumular 100 fragmentos de ese esbirro.</w:t>
            </w:r>
          </w:p>
        </w:tc>
      </w:tr>
    </w:tbl>
    <w:p>
      <w:pPr>
        <w:pStyle w:val="ListParagraph"/>
        <w:numPr>
          <w:ilvl w:val="0"/>
          <w:numId w:val="2"/>
        </w:numPr>
        <w:spacing w:before="40" w:after="40"/>
      </w:pPr>
      <w:r>
        <w:rPr>
          <w:rFonts w:ascii="Arial" w:cs="Arial" w:eastAsia="Arial" w:hAnsi="Arial"/>
          <w:sz w:val="22"/>
          <w:szCs w:val="22"/>
        </w:rPr>
        <w:t xml:space="preserve">Badge 'ACTIVO' sobre el slot seleccionado: rect 60×12px rx=4 del color del tipo, texto 7px #1A0800 o similar.</w:t>
      </w:r>
    </w:p>
    <w:p>
      <w:pPr>
        <w:pStyle w:val="Heading3"/>
        <w:spacing w:before="200" w:after="80"/>
      </w:pPr>
      <w:r>
        <w:rPr>
          <w:rFonts w:ascii="Arial" w:cs="Arial" w:eastAsia="Arial" w:hAnsi="Arial"/>
          <w:b/>
          <w:bCs/>
          <w:color w:val="3A5A9A"/>
          <w:sz w:val="24"/>
          <w:szCs w:val="24"/>
        </w:rPr>
        <w:t xml:space="preserve">Botones Invocar x1 / x10</w:t>
      </w:r>
    </w:p>
    <w:p>
      <w:pPr>
        <w:pStyle w:val="ListParagraph"/>
        <w:numPr>
          <w:ilvl w:val="0"/>
          <w:numId w:val="2"/>
        </w:numPr>
        <w:spacing w:before="40" w:after="40"/>
      </w:pPr>
      <w:r>
        <w:rPr>
          <w:rFonts w:ascii="Arial" w:cs="Arial" w:eastAsia="Arial" w:hAnsi="Arial"/>
          <w:sz w:val="22"/>
          <w:szCs w:val="22"/>
        </w:rPr>
        <w:t xml:space="preserve">Posición: columna derecha del panel, a continuación del slot de Fragmentos.</w:t>
      </w:r>
    </w:p>
    <w:p>
      <w:pPr>
        <w:pStyle w:val="ListParagraph"/>
        <w:numPr>
          <w:ilvl w:val="0"/>
          <w:numId w:val="2"/>
        </w:numPr>
        <w:spacing w:before="40" w:after="40"/>
      </w:pPr>
      <w:r>
        <w:rPr>
          <w:rFonts w:ascii="Arial" w:cs="Arial" w:eastAsia="Arial" w:hAnsi="Arial"/>
          <w:sz w:val="22"/>
          <w:szCs w:val="22"/>
        </w:rPr>
        <w:t xml:space="preserve">Botón x1: 148×44px rx=8. Fondo #1A1020 borde #7C3AED. Texto 10px #E9D5FF bold + coste 8px #22D3EE.</w:t>
      </w:r>
    </w:p>
    <w:p>
      <w:pPr>
        <w:pStyle w:val="ListParagraph"/>
        <w:numPr>
          <w:ilvl w:val="0"/>
          <w:numId w:val="2"/>
        </w:numPr>
        <w:spacing w:before="40" w:after="40"/>
      </w:pPr>
      <w:r>
        <w:rPr>
          <w:rFonts w:ascii="Arial" w:cs="Arial" w:eastAsia="Arial" w:hAnsi="Arial"/>
          <w:sz w:val="22"/>
          <w:szCs w:val="22"/>
        </w:rPr>
        <w:t xml:space="preserve">Botón x10: 148×44px rx=8. Fondo #4C1D95 borde 2.5px #A855F7. Más grande y prominente. Texto 11px #E9D5FF bold + coste + garantía 8px #22D3EE.</w:t>
      </w:r>
    </w:p>
    <w:p>
      <w:pPr>
        <w:pStyle w:val="ListParagraph"/>
        <w:numPr>
          <w:ilvl w:val="0"/>
          <w:numId w:val="2"/>
        </w:numPr>
        <w:spacing w:before="40" w:after="40"/>
      </w:pPr>
      <w:r>
        <w:rPr>
          <w:rFonts w:ascii="Arial" w:cs="Arial" w:eastAsia="Arial" w:hAnsi="Arial"/>
          <w:sz w:val="22"/>
          <w:szCs w:val="22"/>
        </w:rPr>
        <w:t xml:space="preserve">El botón se desactiva (opacidad 0.4, no interactuable) si el jugador no tiene Caosifera/Scrolls suficientes.</w:t>
      </w:r>
    </w:p>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Definición completa de GachaScene</w:t>
      </w:r>
    </w:p>
    <w:p>
      <w:pPr>
        <w:pStyle w:val="Heading2"/>
        <w:spacing w:before="260" w:after="120"/>
      </w:pPr>
      <w:r>
        <w:rPr>
          <w:rFonts w:ascii="Arial" w:cs="Arial" w:eastAsia="Arial" w:hAnsi="Arial"/>
          <w:b/>
          <w:bCs/>
          <w:color w:val="2E4A7A"/>
          <w:sz w:val="28"/>
          <w:szCs w:val="28"/>
        </w:rPr>
        <w:t xml:space="preserve">3.1 Los 5 tipos de invocación</w:t>
      </w:r>
    </w:p>
    <w:p>
      <w:pPr>
        <w:pStyle w:val="Heading3"/>
        <w:spacing w:before="200" w:after="80"/>
      </w:pPr>
      <w:r>
        <w:rPr>
          <w:rFonts w:ascii="Arial" w:cs="Arial" w:eastAsia="Arial" w:hAnsi="Arial"/>
          <w:b/>
          <w:bCs/>
          <w:color w:val="3A5A9A"/>
          <w:sz w:val="24"/>
          <w:szCs w:val="24"/>
        </w:rPr>
        <w:t xml:space="preserve">Ojo Místico — invocación estándar</w:t>
      </w:r>
    </w:p>
    <w:p>
      <w:pPr>
        <w:spacing w:before="60" w:after="80"/>
      </w:pPr>
      <w:r>
        <w:rPr>
          <w:rFonts w:ascii="Arial" w:cs="Arial" w:eastAsia="Arial" w:hAnsi="Arial"/>
          <w:sz w:val="22"/>
          <w:szCs w:val="22"/>
        </w:rPr>
        <w:t xml:space="preserve">El banco de invocación accesible para todos los jugadores. Se usa con Scrolls de Invocación obtenidos en misiones, eventos y combate. Contiene todos los esbirros del pool general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Moneda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Scroll de Invocación (1 por invocación, 10 por x10)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Pool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Todos los esbirros del juego excepto exclusivos de evento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Tasa nat3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~71.5% — mayor que otros tipos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Tasa nat4 (4★)</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Tasa nat5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Tasa nat6 (6★)</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Pity blando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las 50 invocaciones sin 5★+, la siguiente es garantizada 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Pity duro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aplicable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Garantía x10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menos 1× nat3+ por x10 (siempre se cumple por las tasas)</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Ojo Profano — invocación por reino</w:t>
      </w:r>
    </w:p>
    <w:p>
      <w:pPr>
        <w:spacing w:before="60" w:after="80"/>
      </w:pPr>
      <w:r>
        <w:rPr>
          <w:rFonts w:ascii="Arial" w:cs="Arial" w:eastAsia="Arial" w:hAnsi="Arial"/>
          <w:sz w:val="22"/>
          <w:szCs w:val="22"/>
        </w:rPr>
        <w:t xml:space="preserve">Banner rotatorio mensual que aumenta las probabilidades de obtener esbirros de un reino específico. Ideal para jugadores que quieren construir equipos temáticos.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Moneda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200 Caosifera (x1) · 🧬 1.800 (x10)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Pool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Pool general con mayor probabilidad de esbirros del reino en rotación. El reino activo rota mensualmente.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Bonus de reino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 probabilidad relativa de esbirros del reino activo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Rotación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Calendario fijo de reinos anual. Se anuncia con 1 semana de antelación.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Pity blando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las 40 invocaciones sin 5★+ del reino, la siguiente lo garantiza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Duración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 mes natural</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Ojo del Evento — banner de temporada</w:t>
      </w:r>
    </w:p>
    <w:p>
      <w:pPr>
        <w:spacing w:before="60" w:after="80"/>
      </w:pPr>
      <w:r>
        <w:rPr>
          <w:rFonts w:ascii="Arial" w:cs="Arial" w:eastAsia="Arial" w:hAnsi="Arial"/>
          <w:sz w:val="22"/>
          <w:szCs w:val="22"/>
        </w:rPr>
        <w:t xml:space="preserve">Banner temporal ligado a un evento del juego. Presenta uno o varios héroes nuevos o exclusivos con una historia narrativa asociada. Es el banner más relevante para jugadores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Moneda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160 Caosifera (x1) · 🧬 1.440 (x10)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Pool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Pool del evento: héroe featured (6★) + 2–3 esbirros del evento (4★–5★) + pool general reducido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Tasa héroe featured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(featured) sobre la tasa base de 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Garantía x10</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menos 1× nat4+ por cada x10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Pity blando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las 30 invocaciones sin 5★+, la siguiente es 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Pity duro (featured)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 las 50 invocaciones sin el héroe featured, la 50ª es el featured garantizado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Duración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Variable según el evento. Típicamente 2–4 semanas.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Acumulación pity</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pity se acumula entre distintos banners de evento si el jugador no lo agota</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Ojo del Caos — invocación premium</w:t>
      </w:r>
    </w:p>
    <w:p>
      <w:pPr>
        <w:spacing w:before="60" w:after="80"/>
      </w:pPr>
      <w:r>
        <w:rPr>
          <w:rFonts w:ascii="Arial" w:cs="Arial" w:eastAsia="Arial" w:hAnsi="Arial"/>
          <w:sz w:val="22"/>
          <w:szCs w:val="22"/>
        </w:rPr>
        <w:t xml:space="preserve">El tipo de invocación más exclusivo. Garantiza calidad mínima en cada tirada, orientado a jugadores dispuestos a invertir más. Es el equivalente al Crystal Summon de Summoners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Moneda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400 Caosifera (x1) · 🧬 3.600 (x10)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Garantía mínima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CADA invocación es nat4+ mínimo. No hay nat3.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Pool premium: todos los esbirros de 4★ o superior. Sin nat3.</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Tasa nat4 (4★)</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Tasa nat5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Tasa nat6 (6★)</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Pity blando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las 20 invocaciones sin 6★, la siguiente es 6★</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Pity duro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hay featured en este banner — pool general de alta rareza</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Fragmentos — invocación dirigida</w:t>
      </w:r>
    </w:p>
    <w:p>
      <w:pPr>
        <w:spacing w:before="60" w:after="80"/>
      </w:pPr>
      <w:r>
        <w:rPr>
          <w:rFonts w:ascii="Arial" w:cs="Arial" w:eastAsia="Arial" w:hAnsi="Arial"/>
          <w:sz w:val="22"/>
          <w:szCs w:val="22"/>
        </w:rPr>
        <w:t xml:space="preserve">No es una invocación aleatoria. El jugador acumula fragmentos de un esbirro específico hasta alcanzar el umbral de 100, momento en que puede invocar directamente ese esbirro. Los fragmentos se obtienen como drop de combate, misiones especiales y tiendas de clan.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Fragmentos necesarios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fragmentos del esbirro específico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Cómo obtener fragmentos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Drop en encuentros de campaña · Recompensas de misiones · Tienda de Clan (Maldición del Clan) · ShopScene tab Clan · Cofres de evento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Límite de invocación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Puede repetirse tantas veces como el jugador acumule fragmentos. Sin límite.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Aleatoriedad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Ninguna — el esbirro obtenido es siempre el específico del fragmento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Esbirros disponibles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Esbirros de 3★ a 5★ base. Los 6★ no tienen sistema de fragmentos (solo se obtienen por gacha).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UI en GachaScene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El slot de Fragmentos abre un sub-panel con la lista de esbirros que tienen fragmentos disponibles y el progreso actual.</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3.2 Sistema de pity</w:t>
      </w:r>
    </w:p>
    <w:p>
      <w:pPr>
        <w:spacing w:before="60" w:after="80"/>
      </w:pPr>
      <w:r>
        <w:rPr>
          <w:rFonts w:ascii="Arial" w:cs="Arial" w:eastAsia="Arial" w:hAnsi="Arial"/>
          <w:sz w:val="22"/>
          <w:szCs w:val="22"/>
        </w:rPr>
        <w:t xml:space="preserve">El pity garantiza que los jugadores nunca se queden sin obtener esbirros de alta rareza indefinidamente. Hay dos tipos: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de pity</w:t>
            </w:r>
          </w:p>
        </w:tc>
        <w:tc>
          <w:tcPr>
            <w:tcW w:type="dxa" w:w="4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2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Visible para el jugador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Pity blando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partir de N invocaciones sin obtener rareza X, la probabilidad aumenta progresivamente hasta garantizarla.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 barra de progreso en el panel ? con el contador actual y el umbral.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Pity duro</w:t>
            </w:r>
          </w:p>
        </w:tc>
        <w:tc>
          <w:tcPr>
            <w:tcW w:type="dxa" w:w="4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 exactamente N invocaciones sin el héroe featured, la siguiente invocación es ese héroe de forma garantizada.</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 contador específico de 'N tiradas para garantía del featured'.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Acumulación entre banners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 pity blando se acumula entre banners del mismo tipo (ej: el pity del Ojo del Evento se conserva al cambiar de evento).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 — el panel ? indica el pity acumulado de cada tipo.</w:t>
            </w:r>
          </w:p>
        </w:tc>
      </w:tr>
    </w:tbl>
    <w:p>
      <w:pPr>
        <w:pBdr>
          <w:left w:val="single" w:color="B45309" w:sz="6" w:space="6"/>
        </w:pBdr>
        <w:spacing w:before="80" w:after="80"/>
        <w:ind w:left="360"/>
      </w:pPr>
      <w:r>
        <w:rPr>
          <w:rFonts w:ascii="Arial" w:cs="Arial" w:eastAsia="Arial" w:hAnsi="Arial"/>
          <w:i/>
          <w:iCs/>
          <w:color w:val="B45309"/>
          <w:sz w:val="20"/>
          <w:szCs w:val="20"/>
        </w:rPr>
        <w:t xml:space="preserve">⚠  Obligación legal de transparencia: según normativa de varios países (China, Belgica, etc.), las tasas de probabilidad y el sistema de pity deben ser visibles y comprensibles para el jugador antes de invocar. El botón ? de GachaScene cumple este requisito.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3.3 Pantalla de revelación — resultado de la invocación</w:t>
      </w:r>
    </w:p>
    <w:p>
      <w:pPr>
        <w:spacing w:before="60" w:after="80"/>
      </w:pPr>
      <w:r>
        <w:rPr>
          <w:rFonts w:ascii="Arial" w:cs="Arial" w:eastAsia="Arial" w:hAnsi="Arial"/>
          <w:sz w:val="22"/>
          <w:szCs w:val="22"/>
        </w:rPr>
        <w:t xml:space="preserve">Al pulsar Invocar, la Scene transiciona a la pantalla completa de revelación. GachaScene permanece como base — la revelación se renderiza encima como un Canvas de Unity.</w:t>
      </w:r>
    </w:p>
    <w:p>
      <w:pPr>
        <w:pStyle w:val="Heading3"/>
        <w:spacing w:before="200" w:after="80"/>
      </w:pPr>
      <w:r>
        <w:rPr>
          <w:rFonts w:ascii="Arial" w:cs="Arial" w:eastAsia="Arial" w:hAnsi="Arial"/>
          <w:b/>
          <w:bCs/>
          <w:color w:val="3A5A9A"/>
          <w:sz w:val="24"/>
          <w:szCs w:val="24"/>
        </w:rPr>
        <w:t xml:space="preserve">Invocación x1</w:t>
      </w:r>
    </w:p>
    <w:p>
      <w:pPr>
        <w:pStyle w:val="ListParagraph"/>
        <w:numPr>
          <w:ilvl w:val="0"/>
          <w:numId w:val="2"/>
        </w:numPr>
        <w:spacing w:before="40" w:after="40"/>
      </w:pPr>
      <w:r>
        <w:rPr>
          <w:rFonts w:ascii="Arial" w:cs="Arial" w:eastAsia="Arial" w:hAnsi="Arial"/>
          <w:sz w:val="22"/>
          <w:szCs w:val="22"/>
        </w:rPr>
        <w:t xml:space="preserve">La pantalla se oscurece con fade negro. Una carta aparece en el centro boca abajo (reverso oscuro con diseño de runas).</w:t>
      </w:r>
    </w:p>
    <w:p>
      <w:pPr>
        <w:pStyle w:val="ListParagraph"/>
        <w:numPr>
          <w:ilvl w:val="0"/>
          <w:numId w:val="2"/>
        </w:numPr>
        <w:spacing w:before="40" w:after="40"/>
      </w:pPr>
      <w:r>
        <w:rPr>
          <w:rFonts w:ascii="Arial" w:cs="Arial" w:eastAsia="Arial" w:hAnsi="Arial"/>
          <w:sz w:val="22"/>
          <w:szCs w:val="22"/>
        </w:rPr>
        <w:t xml:space="preserve">La carta gira con animación de flip horizontal (200ms). Al revelar: aparece el arte del esbirro obtenido, con el color del borde según su rareza.</w:t>
      </w:r>
    </w:p>
    <w:p>
      <w:pPr>
        <w:pStyle w:val="ListParagraph"/>
        <w:numPr>
          <w:ilvl w:val="0"/>
          <w:numId w:val="2"/>
        </w:numPr>
        <w:spacing w:before="40" w:after="40"/>
      </w:pPr>
      <w:r>
        <w:rPr>
          <w:rFonts w:ascii="Arial" w:cs="Arial" w:eastAsia="Arial" w:hAnsi="Arial"/>
          <w:sz w:val="22"/>
          <w:szCs w:val="22"/>
        </w:rPr>
        <w:t xml:space="preserve">Partículas de color según rareza salen disparadas al revelar. Sonido y vibración del dispositivo calibrado por rareza.</w:t>
      </w:r>
    </w:p>
    <w:p>
      <w:pPr>
        <w:pStyle w:val="ListParagraph"/>
        <w:numPr>
          <w:ilvl w:val="0"/>
          <w:numId w:val="2"/>
        </w:numPr>
        <w:spacing w:before="40" w:after="40"/>
      </w:pPr>
      <w:r>
        <w:rPr>
          <w:rFonts w:ascii="Arial" w:cs="Arial" w:eastAsia="Arial" w:hAnsi="Arial"/>
          <w:sz w:val="22"/>
          <w:szCs w:val="22"/>
        </w:rPr>
        <w:t xml:space="preserve">Si es un 6★: animación extra de rayos y luz dorada antes de revelar. Duración total ~3s.</w:t>
      </w:r>
    </w:p>
    <w:p>
      <w:pPr>
        <w:pStyle w:val="ListParagraph"/>
        <w:numPr>
          <w:ilvl w:val="0"/>
          <w:numId w:val="2"/>
        </w:numPr>
        <w:spacing w:before="40" w:after="40"/>
      </w:pPr>
      <w:r>
        <w:rPr>
          <w:rFonts w:ascii="Arial" w:cs="Arial" w:eastAsia="Arial" w:hAnsi="Arial"/>
          <w:sz w:val="22"/>
          <w:szCs w:val="22"/>
        </w:rPr>
        <w:t xml:space="preserve">Botones: 'Aceptar' (vuelve a GachaScene) · 'Ver esbirro' (va a HeroScene con el esbirro resaltado).</w:t>
      </w:r>
    </w:p>
    <w:p>
      <w:pPr>
        <w:pStyle w:val="Heading3"/>
        <w:spacing w:before="200" w:after="80"/>
      </w:pPr>
      <w:r>
        <w:rPr>
          <w:rFonts w:ascii="Arial" w:cs="Arial" w:eastAsia="Arial" w:hAnsi="Arial"/>
          <w:b/>
          <w:bCs/>
          <w:color w:val="3A5A9A"/>
          <w:sz w:val="24"/>
          <w:szCs w:val="24"/>
        </w:rPr>
        <w:t xml:space="preserve">Invocación x10</w:t>
      </w:r>
    </w:p>
    <w:p>
      <w:pPr>
        <w:pStyle w:val="ListParagraph"/>
        <w:numPr>
          <w:ilvl w:val="0"/>
          <w:numId w:val="2"/>
        </w:numPr>
        <w:spacing w:before="40" w:after="40"/>
      </w:pPr>
      <w:r>
        <w:rPr>
          <w:rFonts w:ascii="Arial" w:cs="Arial" w:eastAsia="Arial" w:hAnsi="Arial"/>
          <w:sz w:val="22"/>
          <w:szCs w:val="22"/>
        </w:rPr>
        <w:t xml:space="preserve">10 cartas boca abajo aparecen en 2 filas de 5 con animación de caída en cascada (stagger 80ms entre cartas).</w:t>
      </w:r>
    </w:p>
    <w:p>
      <w:pPr>
        <w:pStyle w:val="ListParagraph"/>
        <w:numPr>
          <w:ilvl w:val="0"/>
          <w:numId w:val="2"/>
        </w:numPr>
        <w:spacing w:before="40" w:after="40"/>
      </w:pPr>
      <w:r>
        <w:rPr>
          <w:rFonts w:ascii="Arial" w:cs="Arial" w:eastAsia="Arial" w:hAnsi="Arial"/>
          <w:sz w:val="22"/>
          <w:szCs w:val="22"/>
        </w:rPr>
        <w:t xml:space="preserve">Las cartas se giran una a una de izquierda a derecha (flip 150ms cada una, con 100ms de espera entre revelaciones).</w:t>
      </w:r>
    </w:p>
    <w:p>
      <w:pPr>
        <w:pStyle w:val="ListParagraph"/>
        <w:numPr>
          <w:ilvl w:val="0"/>
          <w:numId w:val="2"/>
        </w:numPr>
        <w:spacing w:before="40" w:after="40"/>
      </w:pPr>
      <w:r>
        <w:rPr>
          <w:rFonts w:ascii="Arial" w:cs="Arial" w:eastAsia="Arial" w:hAnsi="Arial"/>
          <w:sz w:val="22"/>
          <w:szCs w:val="22"/>
        </w:rPr>
        <w:t xml:space="preserve">Las cartas de rareza alta (5★, 6★) tienen un efecto especial al girar: pausa de 300ms antes del flip, luego animación más espectacular.</w:t>
      </w:r>
    </w:p>
    <w:p>
      <w:pPr>
        <w:pStyle w:val="ListParagraph"/>
        <w:numPr>
          <w:ilvl w:val="0"/>
          <w:numId w:val="2"/>
        </w:numPr>
        <w:spacing w:before="40" w:after="40"/>
      </w:pPr>
      <w:r>
        <w:rPr>
          <w:rFonts w:ascii="Arial" w:cs="Arial" w:eastAsia="Arial" w:hAnsi="Arial"/>
          <w:sz w:val="22"/>
          <w:szCs w:val="22"/>
        </w:rPr>
        <w:t xml:space="preserve">Al final de las 10 revelaciones: resumen de lo obtenido con rareza de cada esbirro. Botones: 'Repetir x10' (si tiene recursos) · 'Aceptar' · 'Ver colección'.</w:t>
      </w:r>
    </w:p>
    <w:p>
      <w:pPr>
        <w:pStyle w:val="Heading3"/>
        <w:spacing w:before="200" w:after="80"/>
      </w:pPr>
      <w:r>
        <w:rPr>
          <w:rFonts w:ascii="Arial" w:cs="Arial" w:eastAsia="Arial" w:hAnsi="Arial"/>
          <w:b/>
          <w:bCs/>
          <w:color w:val="3A5A9A"/>
          <w:sz w:val="24"/>
          <w:szCs w:val="24"/>
        </w:rPr>
        <w:t xml:space="preserve">Colores de rareza en las cartas reveladas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41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Rareza</w:t>
            </w:r>
          </w:p>
        </w:tc>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borde carta</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Fondo carte</w:t>
            </w:r>
          </w:p>
        </w:tc>
        <w:tc>
          <w:tcPr>
            <w:tcW w:type="dxa" w:w="4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Efecto especial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Básico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#374151 gris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#1A1020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Ninguno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Retorcido 4★</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#1D4ED8 azul</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#1E1A2A</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Partículas azules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Grotesco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#7C3AED púrpura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#1E1535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Partículas púrpuras + flash</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Caótico Supremo 6★</w:t>
            </w:r>
          </w:p>
        </w:tc>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#FACC15 dorado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#2D1A00</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Rayos dorados + pausa dramática + vibración</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3.4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gacha.pity.mystic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Contador de pity del Ojo Místico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Tras cada invocación (ProcessSummon)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gacha.pity.profane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Contador de pity del Ojo Profano</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Tras cada invocación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gacha.pity.event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Contador de pity del Ojo del Evento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Tras cada invocación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gacha.pity.chaos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Contador de pity del Ojo del Caos</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Tras cada invocación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gacha.pity.eventFeatured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Contador de pity duro del héroe featured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Tras cada invocación en banner de Evento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gacha.history[]</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Array de últimas 20 invocaciones (heroId, rarity, timestamp)</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Tras cada invocación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Esbirros obtenidos añadidos a la colección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ProcessSummon server-side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currencies.caosifera</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 descuenta el coste al invocar</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ProcessSummon server-side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inventory.scrolls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 descuenta 1 o 10 scrolls al invocar con Ojo Místico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ProcessSummon server-side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fragments[heroId]</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Contador de fragmentos por esbirro</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obtener fragmentos (drops, misiones)</w:t>
            </w:r>
          </w:p>
        </w:tc>
      </w:tr>
    </w:tbl>
    <w:p>
      <w:pPr>
        <w:pBdr>
          <w:left w:val="single" w:color="2E4A7A" w:sz="6" w:space="6"/>
        </w:pBdr>
        <w:spacing w:before="80" w:after="80"/>
        <w:ind w:left="360"/>
      </w:pPr>
      <w:r>
        <w:rPr>
          <w:rFonts w:ascii="Arial" w:cs="Arial" w:eastAsia="Arial" w:hAnsi="Arial"/>
          <w:i/>
          <w:iCs/>
          <w:color w:val="2E4A7A"/>
          <w:sz w:val="20"/>
          <w:szCs w:val="20"/>
        </w:rPr>
        <w:t xml:space="preserve">COSTE FIRESTORE: La invocación siempre se procesa en la Cloud Function ProcessSummon server-side. El cliente NUNCA ejecuta la lógica de RNG — envía el tipo de invocación y cantidad, el servidor devuelve el resultado. Esto previene manipulación y garantiza integridad. 1 read al entrar (estado de pity) + 1 write por invocación (resultado completo).</w:t>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GachaScene con el banner de Evento activo (Circo Agonizante). El Ojo del Evento flota sobre el portal del Pozonegro™ en la sala de alquimia. El jugador tiene pity 47/50 y MaestroVacío lo comenta con sarcasmo. El panel inferior muestra los 5 tipos de invocación con el Ojo del Evento seleccionado.</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GachaScene · Pozonegro™ · Sala de alquimia · Ojo del Evento flotante · 1280×720px · Landscape 16:9</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812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en el mockup</w:t>
            </w:r>
          </w:p>
        </w:tc>
        <w:tc>
          <w:tcPr>
            <w:tcW w:type="dxa" w:w="81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simplificado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superior 58px</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Avatar · Caosifera prominente · Scrolls (12) · Chat · Ajustes · ← Bastión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Scroll de banners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y=68, h=62px</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Banner Evento activo (borde #FACC15, countdown rojo '2d 14h'). Banner Estándar y Especial visibles inactivos. Flechas ◄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Columnas de la sala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Bordes izquierdo y derecho</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columnas oscuras con capiteles. Estanterías con pociones de colores.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Velas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Flanqueando las columnas</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Cuerpo blanco, llama amarilla, halo de luz circular sutil.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Suelo de baldosas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inferior</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Cuadrícula de líneas #1A1828. Suelo #0E0C18.</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de runas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Alrededor del portal</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 círculos concéntricos con trazo fino + caracteres futhark distribuidos.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Portal / agujero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Centro, cx=640 cy≈490</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ellipses concéntricas de fondo #0A0418 a #A855F7, creando la profundidad del abismo.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Ojo del Evento flotante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cy≈340</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Ojo completo con esclerótica blanca, iris púrpura, pupila vertical, venas rojas, destellos dorados, aura circular.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bajo el ojo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cy≈410</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Rect oscuro con texto '👁 Ojo del Evento' en #FACC15.</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Botón ?</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Esquina superior derecha</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r=26 con '?' #A855F7. Abre panel de pity e historial.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NPC MaestroVacío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Esquina inferior izquierda</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Emoji de mago ~100px. Bocadillo: '«47 intentos... tan cerca y tan lejos, mortal.»'</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de invocación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inferior, w=980px</w:t>
            </w:r>
          </w:p>
        </w:tc>
        <w:tc>
          <w:tcPr>
            <w:tcW w:type="dxa" w:w="81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 slots: Ojo del Evento (activo/dorado) · Ojo Corriente (scrolls) · Ojo Profano · Ojo del Caos · Fragmentos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Botones x1 / x10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 der del panel</w:t>
            </w:r>
          </w:p>
        </w:tc>
        <w:tc>
          <w:tcPr>
            <w:tcW w:type="dxa" w:w="8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x1 (borde #7C3AED) · x10 destacado (fondo #4C1D95, borde brillante)</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GachaScene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GachaScene · Pozonegro™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GachaScene · Pozonegro™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8d76d112080d046e7c22342d767e45643674d6af.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2026-03-25T00:25:25.369Z</dcterms:created>
  <dcterms:modified xsi:type="dcterms:W3CDTF">2026-03-25T00:25:25.370Z</dcterms:modified>
</cp:coreProperties>
</file>

<file path=docProps/custom.xml><?xml version="1.0" encoding="utf-8"?>
<Properties xmlns="http://schemas.openxmlformats.org/officeDocument/2006/custom-properties" xmlns:vt="http://schemas.openxmlformats.org/officeDocument/2006/docPropsVTypes"/>
</file>