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Calibri" w:hAnsi="Calibri"/>
          <w:b/>
          <w:color w:val="B0872A"/>
          <w:sz w:val="22"/>
        </w:rPr>
        <w:t>MERIDIAN FAMILY OFFICE  ·  COPILOT v10</w:t>
      </w:r>
    </w:p>
    <w:p>
      <w:pPr>
        <w:jc w:val="center"/>
      </w:pPr>
      <w:r>
        <w:rPr>
          <w:rFonts w:ascii="Calibri" w:hAnsi="Calibri"/>
          <w:b/>
          <w:color w:val="1E2A56"/>
          <w:sz w:val="48"/>
        </w:rPr>
        <w:t>AI Copilot — Test Suite &amp; Results</w:t>
      </w:r>
    </w:p>
    <w:p>
      <w:pPr>
        <w:jc w:val="center"/>
      </w:pPr>
      <w:r>
        <w:rPr>
          <w:rFonts w:ascii="Calibri" w:hAnsi="Calibri"/>
          <w:b w:val="0"/>
          <w:color w:val="47517A"/>
          <w:sz w:val="22"/>
        </w:rPr>
        <w:t>Verification of the deterministic engine, the deliverable layer, and the end-to-end app</w:t>
      </w:r>
    </w:p>
    <w:p>
      <w:pPr>
        <w:jc w:val="center"/>
      </w:pPr>
      <w:r>
        <w:rPr>
          <w:rFonts w:ascii="Calibri" w:hAnsi="Calibri"/>
          <w:b/>
          <w:color w:val="2E7D52"/>
          <w:sz w:val="24"/>
        </w:rPr>
        <w:t>135/135 tests passed  ·  16 July 2026</w:t>
      </w:r>
    </w:p>
    <w:p>
      <w:pPr>
        <w:jc w:val="center"/>
      </w:pPr>
      <w:r>
        <w:rPr>
          <w:rFonts w:ascii="Calibri" w:hAnsi="Calibri"/>
          <w:b w:val="0"/>
          <w:i/>
          <w:color w:val="47517A"/>
          <w:sz w:val="19"/>
        </w:rPr>
        <w:t>Runs fully offline in DEMO_MODE — no API key, no network, no billing.</w:t>
      </w:r>
    </w:p>
    <w:p>
      <w:r>
        <w:br w:type="page"/>
      </w:r>
    </w:p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Summary</w:t>
      </w:r>
    </w:p>
    <w:p>
      <w:r>
        <w:rPr>
          <w:rFonts w:ascii="Calibri" w:hAnsi="Calibri"/>
          <w:sz w:val="21"/>
        </w:rPr>
        <w:t xml:space="preserve">The suite verifies one central invariant: </w:t>
      </w:r>
      <w:r>
        <w:rPr>
          <w:rFonts w:ascii="Calibri" w:hAnsi="Calibri"/>
          <w:b/>
          <w:color w:val="1E2A56"/>
          <w:sz w:val="21"/>
        </w:rPr>
        <w:t>every number is computed deterministically; documents and instructions are advisory context that shape prose, never figures.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What it proves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Parsing, reconciliation, suitability policy, grounded Q&amp;A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Deliverable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Document ingestion, portable prompt, narrative, deck render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App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The Streamlit app end-to-end across every view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Business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Client macro views (rates, war, tax) shape prose, not the numbers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63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Statement ingestion  ·  9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Parse the three custodian formats, reconcile against each statement's own total, convert FX to USD, and keep a PII-free continuity key. Every downstream number rides here.</w:t>
      </w:r>
    </w:p>
    <w:p>
      <w:r>
        <w:rPr>
          <w:rFonts w:ascii="Consolas" w:hAnsi="Consolas"/>
          <w:b w:val="0"/>
          <w:color w:val="47517A"/>
          <w:sz w:val="17"/>
        </w:rPr>
        <w:t>file: tests/test_statement_parser.py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Parse custodian A (USD, per-share CSV) into valued positions.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Semicolon CSV, European decimals, EUR/CHF → converted to a USD base.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JSON custodian carries illiquid alternatives + a Lombard loan (a liability).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One sample deliberately fails its checksum by ~$436 — it must be flagged, not silently trusted.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~$436 break on custodian B reconciles under a generous tolerance but fails under a tight one — proving the checksum knob actually gates the flag.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Continuity key is deterministic across re-parses and carries no PII.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Continuity check compares month-to-month keys.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Consolidate all three custodians into one holdings list.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gross − debt = net, and gross is the sum of position base values.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Suitability &amp; policy  ·  12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The deterministic policy checks. The mandate decides what a breach MEANS; plus concentration, liquidity, unhedged-FX, hard regulatory blocks and instruction-diff.</w:t>
      </w:r>
    </w:p>
    <w:p>
      <w:r>
        <w:rPr>
          <w:rFonts w:ascii="Consolas" w:hAnsi="Consolas"/>
          <w:b w:val="0"/>
          <w:color w:val="47517A"/>
          <w:sz w:val="17"/>
        </w:rPr>
        <w:t>file: tests/test_suitability.py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 overweight equity book, evaluated under each mandate, yields the mandate-appropriate enforcement on the band breach.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balanced book inside every band produces no actionable breach.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 stock above the 10% single-security cap is caught; a diversified fund of the same weight is not.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Parked liquidity (money-market) is exempt from the single-position cap.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Below the min-liquid floor (here mostly illiquid alternatives) is flagged.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Economic FX exposure above the max-unhedged cap is flagged.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Sanctioned instrument hard blocks even execution only.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Complex product appropriateness blocks when not allowed.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Client asked for a treasury sleeve; the proposal holds a corporate-credit bond fund of the wrong duration → a deviation flag.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10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Instruction diff satisfied when matched.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Worst enforcement ranking.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three-custodian sample book, under its advisory profile, lands on a 'flag' gate (bands breached, nothing hard-blocked).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Conversational Q&amp;A  ·  9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Routing picks the right deterministic tool from the phrasing; answers stay grounded in computed facts; the router never crashes on odd input.</w:t>
      </w:r>
    </w:p>
    <w:p>
      <w:r>
        <w:rPr>
          <w:rFonts w:ascii="Consolas" w:hAnsi="Consolas"/>
          <w:b w:val="0"/>
          <w:color w:val="47517A"/>
          <w:sz w:val="17"/>
        </w:rPr>
        <w:t>file: tests/test_portfolio_qa.py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'Net worth' routes to the totals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FX / currency question routes to the currency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suitability / mandate question routes to the suitability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'largest position' question routes to the concentration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liquidity question routes to the liquidity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reconciliation question routes to the data-quality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Every answer carries facts tied to the computed book.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deterministic briefing fact-sheet spans every domain.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router must always resolve to SOME tool — never crash on odd input.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Document ingestion  ·  7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The research / other uploaders read text deterministically so content can be folded into the prompt as advisory context — never a source of figures.</w:t>
      </w:r>
    </w:p>
    <w:p>
      <w:r>
        <w:rPr>
          <w:rFonts w:ascii="Consolas" w:hAnsi="Consolas"/>
          <w:b w:val="0"/>
          <w:color w:val="47517A"/>
          <w:sz w:val="17"/>
        </w:rPr>
        <w:t>file: tests/test_doc_extract.py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Plain text and Markdown read cleanly.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HTML is stripped to readable text (tags removed).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.eml email body is extracted.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CSV and JSON pass through as text.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unsupported file type fails gracefully (no crash).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Very large documents are truncated (MAX_CHARS) and marked, never dropped.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extraction result always has the same shape.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Prompt &amp; narrative  ·  10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The portable prompt bundles every input; the keyless commentary REFLECTS the documents (the v10 fix) while only ever quoting the computed numbers.</w:t>
      </w:r>
    </w:p>
    <w:p>
      <w:r>
        <w:rPr>
          <w:rFonts w:ascii="Consolas" w:hAnsi="Consolas"/>
          <w:b w:val="0"/>
          <w:color w:val="47517A"/>
          <w:sz w:val="17"/>
        </w:rPr>
        <w:t>file: tests/test_narrative.py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prompt carries every block (FACTS, intake, holdings, docs, tactical).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Document text is embedded verbatim in the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Without documents, that content is absent from the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FACTS block is valid JSON and holds the numbers.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v10 fix: documents change the deterministic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quotes short excerpts of the tactical text and docs.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keyless summary must use the model's own numbers verbatim and never invent a figure that isn't already somewhere in the computed model.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carries the 'not investment advice' disclaimer.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prompt that generates the commentary slide must NOT ask the model to build a deck / produce files — otherwise the model returns the slide-by-slide spec, which leaks onto the commentary slide.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10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portable whole-deck prompt (a separate artifact) still asks for the full deck — that behaviour is intentional and must stay distinct from the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Proposal deck render  ·  6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HTML / PPTX / PDF renderers agree, figures are copied from the model, and documents change every exported format.</w:t>
      </w:r>
    </w:p>
    <w:p>
      <w:r>
        <w:rPr>
          <w:rFonts w:ascii="Consolas" w:hAnsi="Consolas"/>
          <w:b w:val="0"/>
          <w:color w:val="47517A"/>
          <w:sz w:val="17"/>
        </w:rPr>
        <w:t>file: tests/test_generate_proposal.py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All three renderers (HTML/PPTX/PDF) produce valid output.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deck shows the computed net-worth &amp; gross figures.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slide appears only when a narrative is set.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v10 fix: documents change the HTML, PPTX and PDF exports.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With documents, the deck surfaces the client's liquidity event.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deck carries the 'not independently verified' disclaimer.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End-to-end app  ·  19 tests</w:t>
      </w:r>
    </w:p>
    <w:p>
      <w:r>
        <w:rPr>
          <w:rFonts w:ascii="Calibri" w:hAnsi="Calibri"/>
          <w:b/>
          <w:color w:val="B0872A"/>
          <w:sz w:val="17"/>
        </w:rPr>
        <w:t xml:space="preserve">App   </w:t>
      </w:r>
      <w:r>
        <w:rPr>
          <w:rFonts w:ascii="Calibri" w:hAnsi="Calibri"/>
          <w:b w:val="0"/>
          <w:i/>
          <w:color w:val="47517A"/>
          <w:sz w:val="19"/>
        </w:rPr>
        <w:t>Drive the real Streamlit app across the views a banker walks through: load samples, review each view, change the mandate &amp; tactical instructions — and never error.</w:t>
      </w:r>
    </w:p>
    <w:p>
      <w:r>
        <w:rPr>
          <w:rFonts w:ascii="Consolas" w:hAnsi="Consolas"/>
          <w:b w:val="0"/>
          <w:color w:val="47517A"/>
          <w:sz w:val="17"/>
        </w:rPr>
        <w:t>file: tests/test_app_scenarios.py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app boots with no book loaded.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Each sample statement loads into the Overview view.  (3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Overview / Holdings / Suitability / Proposal all render.  (4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Proposal does not auto generate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Generate button produces commentary on click.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No overlay → no tilt banner on the proposal.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Selecting a macro overlay tilts the target the rebalance chases, and the Proposal view says so — the up-sleeve's target rises and the down-sleeve's falls.  (2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Proposal view shows the assembled prompt and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Tactical instructions flow into the on-screen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10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Under discretionary, band breaches HARD-BLOCK; under advisory they only flag. The same book therefore reads differently on the Suitability view.  (2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single-custodian book still produces a proposal.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Proposal view with no book degrades gracefully.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Business scenarios  ·  39 tests</w:t>
      </w:r>
    </w:p>
    <w:p>
      <w:r>
        <w:rPr>
          <w:rFonts w:ascii="Calibri" w:hAnsi="Calibri"/>
          <w:b/>
          <w:color w:val="B0872A"/>
          <w:sz w:val="17"/>
        </w:rPr>
        <w:t xml:space="preserve">Business   </w:t>
      </w:r>
      <w:r>
        <w:rPr>
          <w:rFonts w:ascii="Calibri" w:hAnsi="Calibri"/>
          <w:b w:val="0"/>
          <w:i/>
          <w:color w:val="47517A"/>
          <w:sz w:val="19"/>
        </w:rPr>
        <w:t>What happens to the output on a client macro view — a rate hike/cut, a war (or its end) prompting alternatives, a tax rise/cut: it reaches the AI, shapes the commentary, and never moves the grounded figures.</w:t>
      </w:r>
    </w:p>
    <w:p>
      <w:r>
        <w:rPr>
          <w:rFonts w:ascii="Consolas" w:hAnsi="Consolas"/>
          <w:b w:val="0"/>
          <w:color w:val="47517A"/>
          <w:sz w:val="17"/>
        </w:rPr>
        <w:t>file: tests/test_business_scenarios.py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client macro view (rate/war/tax) reaches the AI verbatim.  (12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macro view shapes the advisory commentary.  (12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macro opinion shapes prose, never figures: the FACTS block (every number the deck shows) is byte-for-byte identical with and without the scenario.  (12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'What if rates are hiked?' → the deterministic tool states the fixed-income exposure but refuses to estimate a +100bp impact it cannot source.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rate-move question routes to the rate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scenario moves the deck's prose, not its tables.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Macro overlays  ·  24 tests</w:t>
      </w:r>
    </w:p>
    <w:p>
      <w:r>
        <w:rPr>
          <w:rFonts w:ascii="Calibri" w:hAnsi="Calibri"/>
          <w:b/>
          <w:color w:val="B0872A"/>
          <w:sz w:val="17"/>
        </w:rPr>
        <w:t xml:space="preserve">Business   </w:t>
      </w:r>
      <w:r>
        <w:rPr>
          <w:rFonts w:ascii="Calibri" w:hAnsi="Calibri"/>
          <w:b w:val="0"/>
          <w:i/>
          <w:color w:val="47517A"/>
          <w:sz w:val="19"/>
        </w:rPr>
        <w:t>A client macro view MOVES the recommendation: each overlay is a fixed, bounded, provenanced tilt of the target allocation — the rebalancer chases it, so trades shift in the scenario's direction while every figure stays deterministic.</w:t>
      </w:r>
    </w:p>
    <w:p>
      <w:r>
        <w:rPr>
          <w:rFonts w:ascii="Consolas" w:hAnsi="Consolas"/>
          <w:b w:val="0"/>
          <w:color w:val="47517A"/>
          <w:sz w:val="17"/>
        </w:rPr>
        <w:t>file: tests/test_macro_overlay.py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Each overlay moves the target sleeves in the documented direction.  (5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tilt sums to zero — the book stays fully invested.  (5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No sleeve is driven negative by a tilt.  (5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'No overlay' changes nothing.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unknown overlay falls back to a no-op.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Reported changes name only moved sleeves; the summary is provenanced.  (5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Tilts are modest: no sleeve moves more than 8pp from its strategic target, so a tilt never breaches a normal ±15% suitability band on its own.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If a tilt would drive a sleeve negative, it clamps at 0 and renormalises so the total is preserved (no phantom allocation).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How to run</w:t>
      </w:r>
    </w:p>
    <w:p>
      <w:r>
        <w:rPr>
          <w:rFonts w:ascii="Consolas" w:hAnsi="Consolas"/>
          <w:b w:val="0"/>
          <w:color w:val="16203C"/>
          <w:sz w:val="19"/>
        </w:rPr>
        <w:t>python3 -m pytest                      # whole suite</w:t>
      </w:r>
    </w:p>
    <w:p>
      <w:r>
        <w:rPr>
          <w:rFonts w:ascii="Consolas" w:hAnsi="Consolas"/>
          <w:b w:val="0"/>
          <w:color w:val="16203C"/>
          <w:sz w:val="19"/>
        </w:rPr>
        <w:t>python3 -m pytest tests/test_suitability.py -v</w:t>
      </w:r>
    </w:p>
    <w:p>
      <w:r>
        <w:rPr>
          <w:rFonts w:ascii="Consolas" w:hAnsi="Consolas"/>
          <w:b w:val="0"/>
          <w:color w:val="16203C"/>
          <w:sz w:val="19"/>
        </w:rPr>
        <w:t>python3 -m pytest -o addopts='' -v      # per-test PASS lines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0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