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/>
          <w:b/>
          <w:color w:val="B0872A"/>
          <w:sz w:val="22"/>
        </w:rPr>
        <w:t>MERIDIAN FAMILY OFFICE  ·  COPILOT v10</w:t>
      </w:r>
    </w:p>
    <w:p>
      <w:pPr>
        <w:jc w:val="center"/>
      </w:pPr>
      <w:r>
        <w:rPr>
          <w:rFonts w:ascii="Calibri" w:hAnsi="Calibri"/>
          <w:b/>
          <w:color w:val="1E2A56"/>
          <w:sz w:val="48"/>
        </w:rPr>
        <w:t>AI Copilot — Test Suite &amp; Results</w:t>
      </w:r>
    </w:p>
    <w:p>
      <w:pPr>
        <w:jc w:val="center"/>
      </w:pPr>
      <w:r>
        <w:rPr>
          <w:rFonts w:ascii="Calibri" w:hAnsi="Calibri"/>
          <w:b w:val="0"/>
          <w:color w:val="47517A"/>
          <w:sz w:val="22"/>
        </w:rPr>
        <w:t>Verification of the deterministic engine, the deliverable layer, and the end-to-end app</w:t>
      </w:r>
    </w:p>
    <w:p>
      <w:pPr>
        <w:jc w:val="center"/>
      </w:pPr>
      <w:r>
        <w:rPr>
          <w:rFonts w:ascii="Calibri" w:hAnsi="Calibri"/>
          <w:b/>
          <w:color w:val="2E7D52"/>
          <w:sz w:val="24"/>
        </w:rPr>
        <w:t>69/69 tests passed  ·  15 July 2026</w:t>
      </w:r>
    </w:p>
    <w:p>
      <w:pPr>
        <w:jc w:val="center"/>
      </w:pPr>
      <w:r>
        <w:rPr>
          <w:rFonts w:ascii="Calibri" w:hAnsi="Calibri"/>
          <w:b w:val="0"/>
          <w:i/>
          <w:color w:val="47517A"/>
          <w:sz w:val="19"/>
        </w:rPr>
        <w:t>Runs fully offline in DEMO_MODE — no API key, no network, no billing.</w:t>
      </w:r>
    </w:p>
    <w:p>
      <w:r>
        <w:br w:type="page"/>
      </w:r>
    </w:p>
    <w:p>
      <w:pPr>
        <w:pBdr>
          <w:bottom w:val="single" w:sz="6" w:space="2" w:color="B0872A"/>
        </w:pBdr>
      </w:pPr>
      <w:r>
        <w:rPr>
          <w:rFonts w:ascii="Calibri" w:hAnsi="Calibri"/>
          <w:b/>
          <w:color w:val="1E2A56"/>
          <w:sz w:val="30"/>
        </w:rPr>
        <w:t>Summary</w:t>
      </w:r>
    </w:p>
    <w:p>
      <w:r>
        <w:rPr>
          <w:rFonts w:ascii="Calibri" w:hAnsi="Calibri"/>
          <w:sz w:val="21"/>
        </w:rPr>
        <w:t xml:space="preserve">The suite verifies one central invariant: </w:t>
      </w:r>
      <w:r>
        <w:rPr>
          <w:rFonts w:ascii="Calibri" w:hAnsi="Calibri"/>
          <w:b/>
          <w:color w:val="1E2A56"/>
          <w:sz w:val="21"/>
        </w:rPr>
        <w:t>every number is computed deterministically; documents and instructions are advisory context that shape prose, never figures.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it proves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Tests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E2A56"/>
                <w:sz w:val="20"/>
              </w:rPr>
              <w:t>Engine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Parsing, reconciliation, suitability policy, grounded Q&amp;A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E2A56"/>
                <w:sz w:val="20"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Document ingestion, portable prompt, narrative, deck render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20"/>
              </w:rPr>
              <w:t>23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/>
                <w:color w:val="1E2A56"/>
                <w:sz w:val="20"/>
              </w:rPr>
              <w:t>App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The Streamlit app end-to-end across every view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20"/>
              </w:rPr>
              <w:t>16</w:t>
            </w:r>
          </w:p>
        </w:tc>
      </w:tr>
    </w:tbl>
    <w:p>
      <w:pPr>
        <w:pBdr>
          <w:bottom w:val="single" w:sz="6" w:space="2" w:color="B0872A"/>
        </w:pBdr>
      </w:pPr>
      <w:r>
        <w:rPr>
          <w:rFonts w:ascii="Calibri" w:hAnsi="Calibri"/>
          <w:b/>
          <w:color w:val="1E2A56"/>
          <w:sz w:val="30"/>
        </w:rPr>
        <w:t>Statement ingestion  ·  9 tests</w:t>
      </w:r>
    </w:p>
    <w:p>
      <w:r>
        <w:rPr>
          <w:rFonts w:ascii="Calibri" w:hAnsi="Calibri"/>
          <w:b/>
          <w:color w:val="B0872A"/>
          <w:sz w:val="17"/>
        </w:rPr>
        <w:t xml:space="preserve">Engine   </w:t>
      </w:r>
      <w:r>
        <w:rPr>
          <w:rFonts w:ascii="Calibri" w:hAnsi="Calibri"/>
          <w:b w:val="0"/>
          <w:i/>
          <w:color w:val="47517A"/>
          <w:sz w:val="19"/>
        </w:rPr>
        <w:t>Parse the three custodian formats, reconcile against each statement's own total, convert FX to USD, and keep a PII-free continuity key. Every downstream number rides here.</w:t>
      </w:r>
    </w:p>
    <w:p>
      <w:r>
        <w:rPr>
          <w:rFonts w:ascii="Consolas" w:hAnsi="Consolas"/>
          <w:b w:val="0"/>
          <w:color w:val="47517A"/>
          <w:sz w:val="17"/>
        </w:rPr>
        <w:t>file: tests/test_statement_parser.py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2"/>
        <w:gridCol w:w="7776"/>
        <w:gridCol w:w="1152"/>
      </w:tblGrid>
      <w:tr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Scenario verified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Parse custodian A (USD, per-share CSV) into valued positions.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2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Semicolon CSV, European decimals, EUR/CHF → converted to a USD base.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JSON custodian carries illiquid alternatives + a Lombard loan (a liability).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4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One sample deliberately fails its checksum by ~$436 — it must be flagged, not silently trusted.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~$436 break on custodian B reconciles under a generous tolerance but fails under a tight one — proving the checksum knob actually gates the flag.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6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Continuity key is deterministic across re-parses and carries no PII.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7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Continuity check compares month-to-month keys.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8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Consolidate all three custodians into one holdings list.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9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gross − debt = net, and gross is the sum of position base values.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</w:tbl>
    <w:p>
      <w:pPr>
        <w:pBdr>
          <w:bottom w:val="single" w:sz="6" w:space="2" w:color="B0872A"/>
        </w:pBdr>
      </w:pPr>
      <w:r>
        <w:rPr>
          <w:rFonts w:ascii="Calibri" w:hAnsi="Calibri"/>
          <w:b/>
          <w:color w:val="1E2A56"/>
          <w:sz w:val="30"/>
        </w:rPr>
        <w:t>Suitability &amp; policy  ·  12 tests</w:t>
      </w:r>
    </w:p>
    <w:p>
      <w:r>
        <w:rPr>
          <w:rFonts w:ascii="Calibri" w:hAnsi="Calibri"/>
          <w:b/>
          <w:color w:val="B0872A"/>
          <w:sz w:val="17"/>
        </w:rPr>
        <w:t xml:space="preserve">Engine   </w:t>
      </w:r>
      <w:r>
        <w:rPr>
          <w:rFonts w:ascii="Calibri" w:hAnsi="Calibri"/>
          <w:b w:val="0"/>
          <w:i/>
          <w:color w:val="47517A"/>
          <w:sz w:val="19"/>
        </w:rPr>
        <w:t>The deterministic policy checks. The mandate decides what a breach MEANS; plus concentration, liquidity, unhedged-FX, hard regulatory blocks and instruction-diff.</w:t>
      </w:r>
    </w:p>
    <w:p>
      <w:r>
        <w:rPr>
          <w:rFonts w:ascii="Consolas" w:hAnsi="Consolas"/>
          <w:b w:val="0"/>
          <w:color w:val="47517A"/>
          <w:sz w:val="17"/>
        </w:rPr>
        <w:t>file: tests/test_suitability.py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2"/>
        <w:gridCol w:w="7776"/>
        <w:gridCol w:w="1152"/>
      </w:tblGrid>
      <w:tr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Scenario verified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A single overweight equity book, evaluated under each mandate, yields the mandate-appropriate enforcement on the band breach.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2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A balanced book inside every band produces no actionable breach.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A single stock above the 10% single-security cap is caught; a diversified fund of the same weight is not.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4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Parked liquidity (money-market) is exempt from the single-position cap.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Below the min-liquid floor (here mostly illiquid alternatives) is flagged.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6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Economic FX exposure above the max-unhedged cap is flagged.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7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Sanctioned instrument hard blocks even execution only.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8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Complex product appropriateness blocks when not allowed.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9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Client asked for a treasury sleeve; the proposal holds a corporate-credit bond fund of the wrong duration → a deviation flag.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10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Instruction diff satisfied when matched.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11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Worst enforcement ranking.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12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three-custodian sample book, under its advisory profile, lands on a 'flag' gate (bands breached, nothing hard-blocked).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</w:tbl>
    <w:p>
      <w:pPr>
        <w:pBdr>
          <w:bottom w:val="single" w:sz="6" w:space="2" w:color="B0872A"/>
        </w:pBdr>
      </w:pPr>
      <w:r>
        <w:rPr>
          <w:rFonts w:ascii="Calibri" w:hAnsi="Calibri"/>
          <w:b/>
          <w:color w:val="1E2A56"/>
          <w:sz w:val="30"/>
        </w:rPr>
        <w:t>Conversational Q&amp;A  ·  9 tests</w:t>
      </w:r>
    </w:p>
    <w:p>
      <w:r>
        <w:rPr>
          <w:rFonts w:ascii="Calibri" w:hAnsi="Calibri"/>
          <w:b/>
          <w:color w:val="B0872A"/>
          <w:sz w:val="17"/>
        </w:rPr>
        <w:t xml:space="preserve">Engine   </w:t>
      </w:r>
      <w:r>
        <w:rPr>
          <w:rFonts w:ascii="Calibri" w:hAnsi="Calibri"/>
          <w:b w:val="0"/>
          <w:i/>
          <w:color w:val="47517A"/>
          <w:sz w:val="19"/>
        </w:rPr>
        <w:t>Routing picks the right deterministic tool from the phrasing; answers stay grounded in computed facts; the router never crashes on odd input.</w:t>
      </w:r>
    </w:p>
    <w:p>
      <w:r>
        <w:rPr>
          <w:rFonts w:ascii="Consolas" w:hAnsi="Consolas"/>
          <w:b w:val="0"/>
          <w:color w:val="47517A"/>
          <w:sz w:val="17"/>
        </w:rPr>
        <w:t>file: tests/test_portfolio_qa.py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2"/>
        <w:gridCol w:w="7776"/>
        <w:gridCol w:w="1152"/>
      </w:tblGrid>
      <w:tr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Scenario verified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'Net worth' routes to the totals tool.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2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An FX / currency question routes to the currency tool.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A suitability / mandate question routes to the suitability tool.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4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A 'largest position' question routes to the concentration tool.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A liquidity question routes to the liquidity tool.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6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A reconciliation question routes to the data-quality tool.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7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Every answer carries facts tied to the computed book.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8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deterministic briefing fact-sheet spans every domain.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9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router must always resolve to SOME tool — never crash on odd input.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</w:tbl>
    <w:p>
      <w:pPr>
        <w:pBdr>
          <w:bottom w:val="single" w:sz="6" w:space="2" w:color="B0872A"/>
        </w:pBdr>
      </w:pPr>
      <w:r>
        <w:rPr>
          <w:rFonts w:ascii="Calibri" w:hAnsi="Calibri"/>
          <w:b/>
          <w:color w:val="1E2A56"/>
          <w:sz w:val="30"/>
        </w:rPr>
        <w:t>Document ingestion  ·  7 tests</w:t>
      </w:r>
    </w:p>
    <w:p>
      <w:r>
        <w:rPr>
          <w:rFonts w:ascii="Calibri" w:hAnsi="Calibri"/>
          <w:b/>
          <w:color w:val="B0872A"/>
          <w:sz w:val="17"/>
        </w:rPr>
        <w:t xml:space="preserve">Deliverable   </w:t>
      </w:r>
      <w:r>
        <w:rPr>
          <w:rFonts w:ascii="Calibri" w:hAnsi="Calibri"/>
          <w:b w:val="0"/>
          <w:i/>
          <w:color w:val="47517A"/>
          <w:sz w:val="19"/>
        </w:rPr>
        <w:t>The research / other uploaders read text deterministically so content can be folded into the prompt as advisory context — never a source of figures.</w:t>
      </w:r>
    </w:p>
    <w:p>
      <w:r>
        <w:rPr>
          <w:rFonts w:ascii="Consolas" w:hAnsi="Consolas"/>
          <w:b w:val="0"/>
          <w:color w:val="47517A"/>
          <w:sz w:val="17"/>
        </w:rPr>
        <w:t>file: tests/test_doc_extract.py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2"/>
        <w:gridCol w:w="7776"/>
        <w:gridCol w:w="1152"/>
      </w:tblGrid>
      <w:tr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Scenario verified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Plain text and Markdown read cleanly.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2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HTML is stripped to readable text (tags removed).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An .eml email body is extracted.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4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CSV and JSON pass through as text.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An unsupported file type fails gracefully (no crash).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6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Very large documents are truncated (MAX_CHARS) and marked, never dropped.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7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extraction result always has the same shape.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</w:tbl>
    <w:p>
      <w:pPr>
        <w:pBdr>
          <w:bottom w:val="single" w:sz="6" w:space="2" w:color="B0872A"/>
        </w:pBdr>
      </w:pPr>
      <w:r>
        <w:rPr>
          <w:rFonts w:ascii="Calibri" w:hAnsi="Calibri"/>
          <w:b/>
          <w:color w:val="1E2A56"/>
          <w:sz w:val="30"/>
        </w:rPr>
        <w:t>Prompt &amp; narrative  ·  10 tests</w:t>
      </w:r>
    </w:p>
    <w:p>
      <w:r>
        <w:rPr>
          <w:rFonts w:ascii="Calibri" w:hAnsi="Calibri"/>
          <w:b/>
          <w:color w:val="B0872A"/>
          <w:sz w:val="17"/>
        </w:rPr>
        <w:t xml:space="preserve">Deliverable   </w:t>
      </w:r>
      <w:r>
        <w:rPr>
          <w:rFonts w:ascii="Calibri" w:hAnsi="Calibri"/>
          <w:b w:val="0"/>
          <w:i/>
          <w:color w:val="47517A"/>
          <w:sz w:val="19"/>
        </w:rPr>
        <w:t>The portable prompt bundles every input; the keyless commentary REFLECTS the documents (the v10 fix) while only ever quoting the computed numbers.</w:t>
      </w:r>
    </w:p>
    <w:p>
      <w:r>
        <w:rPr>
          <w:rFonts w:ascii="Consolas" w:hAnsi="Consolas"/>
          <w:b w:val="0"/>
          <w:color w:val="47517A"/>
          <w:sz w:val="17"/>
        </w:rPr>
        <w:t>file: tests/test_narrative.py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2"/>
        <w:gridCol w:w="7776"/>
        <w:gridCol w:w="1152"/>
      </w:tblGrid>
      <w:tr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Scenario verified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prompt carries every block (FACTS, intake, holdings, docs, tactical).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2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Document text is embedded verbatim in the prompt.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Without documents, that content is absent from the prompt.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4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FACTS block is valid JSON and holds the numbers.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v10 fix: documents change the deterministic commentary.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6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commentary quotes short excerpts of the tactical text and docs.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7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keyless summary must use the model's own numbers verbatim and never invent a figure that isn't already somewhere in the computed model.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8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commentary carries the 'not investment advice' disclaimer.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9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prompt that generates the commentary slide must NOT ask the model to build a deck / produce files — otherwise the model returns the slide-by-slide spec, which leaks onto the commentary slide.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10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portable whole-deck prompt (a separate artifact) still asks for the full deck — that behaviour is intentional and must stay distinct from the commentary.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</w:tbl>
    <w:p>
      <w:pPr>
        <w:pBdr>
          <w:bottom w:val="single" w:sz="6" w:space="2" w:color="B0872A"/>
        </w:pBdr>
      </w:pPr>
      <w:r>
        <w:rPr>
          <w:rFonts w:ascii="Calibri" w:hAnsi="Calibri"/>
          <w:b/>
          <w:color w:val="1E2A56"/>
          <w:sz w:val="30"/>
        </w:rPr>
        <w:t>Proposal deck render  ·  6 tests</w:t>
      </w:r>
    </w:p>
    <w:p>
      <w:r>
        <w:rPr>
          <w:rFonts w:ascii="Calibri" w:hAnsi="Calibri"/>
          <w:b/>
          <w:color w:val="B0872A"/>
          <w:sz w:val="17"/>
        </w:rPr>
        <w:t xml:space="preserve">Deliverable   </w:t>
      </w:r>
      <w:r>
        <w:rPr>
          <w:rFonts w:ascii="Calibri" w:hAnsi="Calibri"/>
          <w:b w:val="0"/>
          <w:i/>
          <w:color w:val="47517A"/>
          <w:sz w:val="19"/>
        </w:rPr>
        <w:t>HTML / PPTX / PDF renderers agree, figures are copied from the model, and documents change every exported format.</w:t>
      </w:r>
    </w:p>
    <w:p>
      <w:r>
        <w:rPr>
          <w:rFonts w:ascii="Consolas" w:hAnsi="Consolas"/>
          <w:b w:val="0"/>
          <w:color w:val="47517A"/>
          <w:sz w:val="17"/>
        </w:rPr>
        <w:t>file: tests/test_generate_proposal.py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2"/>
        <w:gridCol w:w="7776"/>
        <w:gridCol w:w="1152"/>
      </w:tblGrid>
      <w:tr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Scenario verified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All three renderers (HTML/PPTX/PDF) produce valid output.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2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deck shows the computed net-worth &amp; gross figures.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commentary slide appears only when a narrative is set.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4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v10 fix: documents change the HTML, PPTX and PDF exports.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With documents, the deck surfaces the client's liquidity event.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6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deck carries the 'not independently verified' disclaimer.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</w:tbl>
    <w:p>
      <w:pPr>
        <w:pBdr>
          <w:bottom w:val="single" w:sz="6" w:space="2" w:color="B0872A"/>
        </w:pBdr>
      </w:pPr>
      <w:r>
        <w:rPr>
          <w:rFonts w:ascii="Calibri" w:hAnsi="Calibri"/>
          <w:b/>
          <w:color w:val="1E2A56"/>
          <w:sz w:val="30"/>
        </w:rPr>
        <w:t>End-to-end app  ·  16 tests</w:t>
      </w:r>
    </w:p>
    <w:p>
      <w:r>
        <w:rPr>
          <w:rFonts w:ascii="Calibri" w:hAnsi="Calibri"/>
          <w:b/>
          <w:color w:val="B0872A"/>
          <w:sz w:val="17"/>
        </w:rPr>
        <w:t xml:space="preserve">App   </w:t>
      </w:r>
      <w:r>
        <w:rPr>
          <w:rFonts w:ascii="Calibri" w:hAnsi="Calibri"/>
          <w:b w:val="0"/>
          <w:i/>
          <w:color w:val="47517A"/>
          <w:sz w:val="19"/>
        </w:rPr>
        <w:t>Drive the real Streamlit app across the views a banker walks through: load samples, review each view, change the mandate &amp; tactical instructions — and never error.</w:t>
      </w:r>
    </w:p>
    <w:p>
      <w:r>
        <w:rPr>
          <w:rFonts w:ascii="Consolas" w:hAnsi="Consolas"/>
          <w:b w:val="0"/>
          <w:color w:val="47517A"/>
          <w:sz w:val="17"/>
        </w:rPr>
        <w:t>file: tests/test_app_scenarios.py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2"/>
        <w:gridCol w:w="7776"/>
        <w:gridCol w:w="1152"/>
      </w:tblGrid>
      <w:tr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Scenario verified</w:t>
            </w:r>
          </w:p>
        </w:tc>
        <w:tc>
          <w:tcPr>
            <w:tcW w:type="dxa" w:w="2880"/>
            <w:shd w:fill="1E2A5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1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app boots with no book loaded.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2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Each sample statement loads into the Overview view.  (3 variants)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3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Overview / Holdings / Suitability / Proposal all render.  (4 variants)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4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Proposal does not auto generate commentary.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5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Generate button produces commentary on click.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6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Proposal view shows the assembled prompt and commentary.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7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Tactical instructions flow into the on-screen prompt.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8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Under discretionary, band breaches HARD-BLOCK; under advisory they only flag. The same book therefore reads differently on the Suitability view.  (2 variants)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9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A single-custodian book still produces a proposal.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  <w:tr>
        <w:tc>
          <w:tcPr>
            <w:tcW w:type="dxa" w:w="792"/>
          </w:tcPr>
          <w:p>
            <w:pPr>
              <w:jc w:val="center"/>
            </w:pPr>
            <w:r>
              <w:rPr>
                <w:rFonts w:ascii="Calibri" w:hAnsi="Calibri"/>
                <w:b/>
                <w:color w:val="47517A"/>
                <w:sz w:val="18"/>
              </w:rPr>
              <w:t>10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19"/>
              </w:rPr>
              <w:t>The Proposal view with no book degrades gracefully.</w:t>
            </w:r>
          </w:p>
        </w:tc>
        <w:tc>
          <w:tcPr>
            <w:tcW w:type="dxa" w:w="1152"/>
            <w:shd w:fill="EAF3EC"/>
          </w:tcPr>
          <w:p>
            <w:pPr>
              <w:jc w:val="center"/>
            </w:pPr>
            <w:r>
              <w:rPr>
                <w:rFonts w:ascii="Calibri" w:hAnsi="Calibri"/>
                <w:b/>
                <w:color w:val="2E7D52"/>
                <w:sz w:val="18"/>
              </w:rPr>
              <w:t>PASS</w:t>
            </w:r>
          </w:p>
        </w:tc>
      </w:tr>
    </w:tbl>
    <w:p>
      <w:pPr>
        <w:pBdr>
          <w:bottom w:val="single" w:sz="6" w:space="2" w:color="B0872A"/>
        </w:pBdr>
      </w:pPr>
      <w:r>
        <w:rPr>
          <w:rFonts w:ascii="Calibri" w:hAnsi="Calibri"/>
          <w:b/>
          <w:color w:val="1E2A56"/>
          <w:sz w:val="30"/>
        </w:rPr>
        <w:t>How to run</w:t>
      </w:r>
    </w:p>
    <w:p>
      <w:r>
        <w:rPr>
          <w:rFonts w:ascii="Consolas" w:hAnsi="Consolas"/>
          <w:b w:val="0"/>
          <w:color w:val="16203C"/>
          <w:sz w:val="19"/>
        </w:rPr>
        <w:t>python3 -m pytest                      # whole suite</w:t>
      </w:r>
    </w:p>
    <w:p>
      <w:r>
        <w:rPr>
          <w:rFonts w:ascii="Consolas" w:hAnsi="Consolas"/>
          <w:b w:val="0"/>
          <w:color w:val="16203C"/>
          <w:sz w:val="19"/>
        </w:rPr>
        <w:t>python3 -m pytest tests/test_suitability.py -v</w:t>
      </w:r>
    </w:p>
    <w:p>
      <w:r>
        <w:rPr>
          <w:rFonts w:ascii="Consolas" w:hAnsi="Consolas"/>
          <w:b w:val="0"/>
          <w:color w:val="16203C"/>
          <w:sz w:val="19"/>
        </w:rPr>
        <w:t>python3 -m pytest -o addopts='' -v      # per-test PASS lines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2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