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EBB70" w14:textId="77777777" w:rsidR="002A00B7" w:rsidRDefault="002A00B7">
      <w:pPr>
        <w:spacing w:before="1050"/>
      </w:pPr>
    </w:p>
    <w:p w14:paraId="52498340" w14:textId="77777777" w:rsidR="002A00B7" w:rsidRDefault="005453ED">
      <w:pPr>
        <w:spacing w:after="110"/>
        <w:jc w:val="center"/>
      </w:pPr>
      <w:r>
        <w:rPr>
          <w:b/>
          <w:bCs/>
          <w:color w:val="1A5C2A"/>
          <w:spacing w:val="16"/>
          <w:sz w:val="38"/>
          <w:szCs w:val="38"/>
        </w:rPr>
        <w:t>PROJECT FORENSICS</w:t>
      </w:r>
    </w:p>
    <w:p w14:paraId="693D2263" w14:textId="77777777" w:rsidR="002A00B7" w:rsidRDefault="005453ED">
      <w:pPr>
        <w:spacing w:after="110"/>
        <w:jc w:val="center"/>
      </w:pPr>
      <w:r>
        <w:rPr>
          <w:b/>
          <w:bCs/>
          <w:color w:val="1A5C2A"/>
          <w:spacing w:val="16"/>
          <w:sz w:val="38"/>
          <w:szCs w:val="38"/>
        </w:rPr>
        <w:t>BODY OF KNOWLEDGE</w:t>
      </w:r>
    </w:p>
    <w:p w14:paraId="695D1EA2" w14:textId="77777777" w:rsidR="002A00B7" w:rsidRDefault="005453ED">
      <w:pPr>
        <w:pBdr>
          <w:top w:val="single" w:sz="12" w:space="6" w:color="C47B0B"/>
          <w:bottom w:val="single" w:sz="12" w:space="6" w:color="C47B0B"/>
        </w:pBdr>
        <w:spacing w:before="180" w:after="120"/>
        <w:jc w:val="center"/>
      </w:pPr>
      <w:r>
        <w:rPr>
          <w:b/>
          <w:bCs/>
          <w:i/>
          <w:iCs/>
          <w:sz w:val="30"/>
          <w:szCs w:val="30"/>
        </w:rPr>
        <w:t>A Framework</w:t>
      </w:r>
    </w:p>
    <w:p w14:paraId="346D118E" w14:textId="77777777" w:rsidR="002A00B7" w:rsidRDefault="002A00B7">
      <w:pPr>
        <w:spacing w:before="320"/>
      </w:pPr>
    </w:p>
    <w:p w14:paraId="57475338" w14:textId="77777777" w:rsidR="002A00B7" w:rsidRDefault="005453ED">
      <w:pPr>
        <w:spacing w:after="40"/>
        <w:jc w:val="center"/>
      </w:pPr>
      <w:r>
        <w:rPr>
          <w:i/>
          <w:iCs/>
          <w:color w:val="4D4D4D"/>
          <w:sz w:val="22"/>
          <w:szCs w:val="22"/>
        </w:rPr>
        <w:t>Establishing the truth of project failure and dispute in African conditions</w:t>
      </w:r>
    </w:p>
    <w:p w14:paraId="665074FE" w14:textId="77777777" w:rsidR="002A00B7" w:rsidRDefault="005453ED">
      <w:pPr>
        <w:jc w:val="center"/>
      </w:pPr>
      <w:r>
        <w:rPr>
          <w:color w:val="4D4D4D"/>
          <w:sz w:val="19"/>
          <w:szCs w:val="19"/>
        </w:rPr>
        <w:t>The reference framework underpinning the Certified Project Forensic Examiner (CPFE)</w:t>
      </w:r>
    </w:p>
    <w:p w14:paraId="37A51276" w14:textId="77777777" w:rsidR="002A00B7" w:rsidRDefault="002A00B7">
      <w:pPr>
        <w:spacing w:before="1050"/>
      </w:pPr>
    </w:p>
    <w:p w14:paraId="52C1F8B5" w14:textId="77777777" w:rsidR="002A00B7" w:rsidRDefault="005453ED">
      <w:pPr>
        <w:spacing w:after="40"/>
        <w:jc w:val="center"/>
      </w:pPr>
      <w:r>
        <w:rPr>
          <w:b/>
          <w:bCs/>
          <w:color w:val="1A5C2A"/>
          <w:sz w:val="20"/>
          <w:szCs w:val="20"/>
        </w:rPr>
        <w:t>African Institute of Project Assurance and Forensics</w:t>
      </w:r>
    </w:p>
    <w:p w14:paraId="766F084C" w14:textId="77777777" w:rsidR="002A00B7" w:rsidRDefault="005453ED">
      <w:pPr>
        <w:jc w:val="center"/>
      </w:pPr>
      <w:r>
        <w:rPr>
          <w:color w:val="4D4D4D"/>
          <w:sz w:val="19"/>
          <w:szCs w:val="19"/>
        </w:rPr>
        <w:t>Edition 2026</w:t>
      </w:r>
    </w:p>
    <w:p w14:paraId="1C9E55EE" w14:textId="77777777" w:rsidR="002A00B7" w:rsidRDefault="005453ED">
      <w:r>
        <w:br w:type="page"/>
      </w:r>
    </w:p>
    <w:p w14:paraId="01534AEE" w14:textId="77777777" w:rsidR="002A00B7" w:rsidRDefault="005453ED">
      <w:pPr>
        <w:pStyle w:val="Heading1"/>
        <w:spacing w:before="300" w:after="150"/>
      </w:pPr>
      <w:r>
        <w:lastRenderedPageBreak/>
        <w:t>Contents</w:t>
      </w:r>
    </w:p>
    <w:p w14:paraId="736E3A2A" w14:textId="77777777" w:rsidR="002A00B7" w:rsidRDefault="005453ED">
      <w:pPr>
        <w:spacing w:before="120" w:after="20"/>
      </w:pPr>
      <w:r>
        <w:rPr>
          <w:b/>
          <w:bCs/>
          <w:color w:val="1A5C2A"/>
        </w:rPr>
        <w:t>Foreword</w:t>
      </w:r>
      <w:r>
        <w:rPr>
          <w:b/>
          <w:bCs/>
          <w:color w:val="1A5C2A"/>
        </w:rPr>
        <w:ptab w:relativeTo="margin" w:alignment="right" w:leader="dot"/>
      </w:r>
      <w:r>
        <w:rPr>
          <w:b/>
          <w:bCs/>
          <w:color w:val="1A5C2A"/>
        </w:rPr>
        <w:t>3</w:t>
      </w:r>
    </w:p>
    <w:p w14:paraId="66BA55D1" w14:textId="77777777" w:rsidR="002A00B7" w:rsidRDefault="005453ED">
      <w:pPr>
        <w:spacing w:before="120" w:after="20"/>
      </w:pPr>
      <w:r>
        <w:rPr>
          <w:b/>
          <w:bCs/>
          <w:color w:val="1A5C2A"/>
        </w:rPr>
        <w:t>Part One  |  Foundations</w:t>
      </w:r>
      <w:r>
        <w:rPr>
          <w:b/>
          <w:bCs/>
          <w:color w:val="1A5C2A"/>
        </w:rPr>
        <w:ptab w:relativeTo="margin" w:alignment="right" w:leader="dot"/>
      </w:r>
      <w:r>
        <w:rPr>
          <w:b/>
          <w:bCs/>
          <w:color w:val="1A5C2A"/>
        </w:rPr>
        <w:t>4</w:t>
      </w:r>
    </w:p>
    <w:p w14:paraId="157B2259" w14:textId="77777777" w:rsidR="002A00B7" w:rsidRDefault="005453ED">
      <w:pPr>
        <w:spacing w:after="18" w:line="262" w:lineRule="auto"/>
        <w:ind w:left="300"/>
      </w:pPr>
      <w:r>
        <w:rPr>
          <w:color w:val="4D4D4D"/>
          <w:sz w:val="20"/>
          <w:szCs w:val="20"/>
        </w:rPr>
        <w:t>1.1  Why a forensic body of knowledge</w:t>
      </w:r>
      <w:r>
        <w:rPr>
          <w:color w:val="4D4D4D"/>
          <w:sz w:val="20"/>
          <w:szCs w:val="20"/>
        </w:rPr>
        <w:ptab w:relativeTo="margin" w:alignment="right" w:leader="dot"/>
      </w:r>
      <w:r>
        <w:rPr>
          <w:color w:val="4D4D4D"/>
          <w:sz w:val="20"/>
          <w:szCs w:val="20"/>
        </w:rPr>
        <w:t>4</w:t>
      </w:r>
    </w:p>
    <w:p w14:paraId="2FE167A1" w14:textId="77777777" w:rsidR="002A00B7" w:rsidRDefault="005453ED">
      <w:pPr>
        <w:spacing w:after="18" w:line="262" w:lineRule="auto"/>
        <w:ind w:left="300"/>
      </w:pPr>
      <w:r>
        <w:rPr>
          <w:color w:val="4D4D4D"/>
          <w:sz w:val="20"/>
          <w:szCs w:val="20"/>
        </w:rPr>
        <w:t>1.2  What this framework is, and is not</w:t>
      </w:r>
      <w:r>
        <w:rPr>
          <w:color w:val="4D4D4D"/>
          <w:sz w:val="20"/>
          <w:szCs w:val="20"/>
        </w:rPr>
        <w:ptab w:relativeTo="margin" w:alignment="right" w:leader="dot"/>
      </w:r>
      <w:r>
        <w:rPr>
          <w:color w:val="4D4D4D"/>
          <w:sz w:val="20"/>
          <w:szCs w:val="20"/>
        </w:rPr>
        <w:t>4</w:t>
      </w:r>
    </w:p>
    <w:p w14:paraId="75516746" w14:textId="77777777" w:rsidR="002A00B7" w:rsidRDefault="005453ED">
      <w:pPr>
        <w:spacing w:after="18" w:line="262" w:lineRule="auto"/>
        <w:ind w:left="300"/>
      </w:pPr>
      <w:r>
        <w:rPr>
          <w:color w:val="4D4D4D"/>
          <w:sz w:val="20"/>
          <w:szCs w:val="20"/>
        </w:rPr>
        <w:t>1.3  How the framework is structured</w:t>
      </w:r>
      <w:r>
        <w:rPr>
          <w:color w:val="4D4D4D"/>
          <w:sz w:val="20"/>
          <w:szCs w:val="20"/>
        </w:rPr>
        <w:ptab w:relativeTo="margin" w:alignment="right" w:leader="dot"/>
      </w:r>
      <w:r>
        <w:rPr>
          <w:color w:val="4D4D4D"/>
          <w:sz w:val="20"/>
          <w:szCs w:val="20"/>
        </w:rPr>
        <w:t>4</w:t>
      </w:r>
    </w:p>
    <w:p w14:paraId="4EF3D5D3" w14:textId="77777777" w:rsidR="002A00B7" w:rsidRDefault="005453ED">
      <w:pPr>
        <w:spacing w:after="18" w:line="262" w:lineRule="auto"/>
        <w:ind w:left="300"/>
      </w:pPr>
      <w:r>
        <w:rPr>
          <w:color w:val="4D4D4D"/>
          <w:sz w:val="20"/>
          <w:szCs w:val="20"/>
        </w:rPr>
        <w:t>1.4  The forensic standard</w:t>
      </w:r>
      <w:r>
        <w:rPr>
          <w:color w:val="4D4D4D"/>
          <w:sz w:val="20"/>
          <w:szCs w:val="20"/>
        </w:rPr>
        <w:ptab w:relativeTo="margin" w:alignment="right" w:leader="dot"/>
      </w:r>
      <w:r>
        <w:rPr>
          <w:color w:val="4D4D4D"/>
          <w:sz w:val="20"/>
          <w:szCs w:val="20"/>
        </w:rPr>
        <w:t>5</w:t>
      </w:r>
    </w:p>
    <w:p w14:paraId="7B5EE0FB" w14:textId="77777777" w:rsidR="002A00B7" w:rsidRDefault="005453ED">
      <w:pPr>
        <w:spacing w:before="120" w:after="20"/>
      </w:pPr>
      <w:r>
        <w:rPr>
          <w:b/>
          <w:bCs/>
          <w:color w:val="1A5C2A"/>
        </w:rPr>
        <w:t>Part Two  |  The Contextual Foundation</w:t>
      </w:r>
      <w:r>
        <w:rPr>
          <w:b/>
          <w:bCs/>
          <w:color w:val="1A5C2A"/>
        </w:rPr>
        <w:ptab w:relativeTo="margin" w:alignment="right" w:leader="dot"/>
      </w:r>
      <w:r>
        <w:rPr>
          <w:b/>
          <w:bCs/>
          <w:color w:val="1A5C2A"/>
        </w:rPr>
        <w:t>6</w:t>
      </w:r>
    </w:p>
    <w:p w14:paraId="01E9FB84" w14:textId="77777777" w:rsidR="002A00B7" w:rsidRDefault="005453ED">
      <w:pPr>
        <w:spacing w:after="18" w:line="262" w:lineRule="auto"/>
        <w:ind w:left="300"/>
      </w:pPr>
      <w:r>
        <w:rPr>
          <w:color w:val="4D4D4D"/>
          <w:sz w:val="20"/>
          <w:szCs w:val="20"/>
        </w:rPr>
        <w:t>2.1  Financing and funding</w:t>
      </w:r>
      <w:r>
        <w:rPr>
          <w:color w:val="4D4D4D"/>
          <w:sz w:val="20"/>
          <w:szCs w:val="20"/>
        </w:rPr>
        <w:ptab w:relativeTo="margin" w:alignment="right" w:leader="dot"/>
      </w:r>
      <w:r>
        <w:rPr>
          <w:color w:val="4D4D4D"/>
          <w:sz w:val="20"/>
          <w:szCs w:val="20"/>
        </w:rPr>
        <w:t>6</w:t>
      </w:r>
    </w:p>
    <w:p w14:paraId="0862B406" w14:textId="77777777" w:rsidR="002A00B7" w:rsidRDefault="005453ED">
      <w:pPr>
        <w:spacing w:after="18" w:line="262" w:lineRule="auto"/>
        <w:ind w:left="300"/>
      </w:pPr>
      <w:r>
        <w:rPr>
          <w:color w:val="4D4D4D"/>
          <w:sz w:val="20"/>
          <w:szCs w:val="20"/>
        </w:rPr>
        <w:t>2.2  Procurement and contracting</w:t>
      </w:r>
      <w:r>
        <w:rPr>
          <w:color w:val="4D4D4D"/>
          <w:sz w:val="20"/>
          <w:szCs w:val="20"/>
        </w:rPr>
        <w:ptab w:relativeTo="margin" w:alignment="right" w:leader="dot"/>
      </w:r>
      <w:r>
        <w:rPr>
          <w:color w:val="4D4D4D"/>
          <w:sz w:val="20"/>
          <w:szCs w:val="20"/>
        </w:rPr>
        <w:t>6</w:t>
      </w:r>
    </w:p>
    <w:p w14:paraId="4DA0FF15" w14:textId="77777777" w:rsidR="002A00B7" w:rsidRDefault="005453ED">
      <w:pPr>
        <w:spacing w:after="18" w:line="262" w:lineRule="auto"/>
        <w:ind w:left="300"/>
      </w:pPr>
      <w:r>
        <w:rPr>
          <w:color w:val="4D4D4D"/>
          <w:sz w:val="20"/>
          <w:szCs w:val="20"/>
        </w:rPr>
        <w:t>2.3  Institutions and governance</w:t>
      </w:r>
      <w:r>
        <w:rPr>
          <w:color w:val="4D4D4D"/>
          <w:sz w:val="20"/>
          <w:szCs w:val="20"/>
        </w:rPr>
        <w:ptab w:relativeTo="margin" w:alignment="right" w:leader="dot"/>
      </w:r>
      <w:r>
        <w:rPr>
          <w:color w:val="4D4D4D"/>
          <w:sz w:val="20"/>
          <w:szCs w:val="20"/>
        </w:rPr>
        <w:t>6</w:t>
      </w:r>
    </w:p>
    <w:p w14:paraId="34669C3E" w14:textId="77777777" w:rsidR="002A00B7" w:rsidRDefault="005453ED">
      <w:pPr>
        <w:spacing w:after="18" w:line="262" w:lineRule="auto"/>
        <w:ind w:left="300"/>
      </w:pPr>
      <w:r>
        <w:rPr>
          <w:color w:val="4D4D4D"/>
          <w:sz w:val="20"/>
          <w:szCs w:val="20"/>
        </w:rPr>
        <w:t>2.4  Society, community, and culture</w:t>
      </w:r>
      <w:r>
        <w:rPr>
          <w:color w:val="4D4D4D"/>
          <w:sz w:val="20"/>
          <w:szCs w:val="20"/>
        </w:rPr>
        <w:ptab w:relativeTo="margin" w:alignment="right" w:leader="dot"/>
      </w:r>
      <w:r>
        <w:rPr>
          <w:color w:val="4D4D4D"/>
          <w:sz w:val="20"/>
          <w:szCs w:val="20"/>
        </w:rPr>
        <w:t>7</w:t>
      </w:r>
    </w:p>
    <w:p w14:paraId="5F84B5FC" w14:textId="77777777" w:rsidR="002A00B7" w:rsidRDefault="005453ED">
      <w:pPr>
        <w:spacing w:after="18" w:line="262" w:lineRule="auto"/>
        <w:ind w:left="300"/>
      </w:pPr>
      <w:r>
        <w:rPr>
          <w:color w:val="4D4D4D"/>
          <w:sz w:val="20"/>
          <w:szCs w:val="20"/>
        </w:rPr>
        <w:t>2.5  The delivery environment</w:t>
      </w:r>
      <w:r>
        <w:rPr>
          <w:color w:val="4D4D4D"/>
          <w:sz w:val="20"/>
          <w:szCs w:val="20"/>
        </w:rPr>
        <w:ptab w:relativeTo="margin" w:alignment="right" w:leader="dot"/>
      </w:r>
      <w:r>
        <w:rPr>
          <w:color w:val="4D4D4D"/>
          <w:sz w:val="20"/>
          <w:szCs w:val="20"/>
        </w:rPr>
        <w:t>7</w:t>
      </w:r>
    </w:p>
    <w:p w14:paraId="01467EFC" w14:textId="77777777" w:rsidR="002A00B7" w:rsidRDefault="005453ED">
      <w:pPr>
        <w:spacing w:after="18" w:line="262" w:lineRule="auto"/>
        <w:ind w:left="300"/>
      </w:pPr>
      <w:r>
        <w:rPr>
          <w:color w:val="4D4D4D"/>
          <w:sz w:val="20"/>
          <w:szCs w:val="20"/>
        </w:rPr>
        <w:t>2.6  Sustainability, climate, and resilience</w:t>
      </w:r>
      <w:r>
        <w:rPr>
          <w:color w:val="4D4D4D"/>
          <w:sz w:val="20"/>
          <w:szCs w:val="20"/>
        </w:rPr>
        <w:ptab w:relativeTo="margin" w:alignment="right" w:leader="dot"/>
      </w:r>
      <w:r>
        <w:rPr>
          <w:color w:val="4D4D4D"/>
          <w:sz w:val="20"/>
          <w:szCs w:val="20"/>
        </w:rPr>
        <w:t>7</w:t>
      </w:r>
    </w:p>
    <w:p w14:paraId="08823562" w14:textId="77777777" w:rsidR="002A00B7" w:rsidRDefault="005453ED">
      <w:pPr>
        <w:spacing w:before="120" w:after="20"/>
      </w:pPr>
      <w:r>
        <w:rPr>
          <w:b/>
          <w:bCs/>
          <w:color w:val="1A5C2A"/>
        </w:rPr>
        <w:t>Part Three  |  The Knowledge Domains</w:t>
      </w:r>
      <w:r>
        <w:rPr>
          <w:b/>
          <w:bCs/>
          <w:color w:val="1A5C2A"/>
        </w:rPr>
        <w:ptab w:relativeTo="margin" w:alignment="right" w:leader="dot"/>
      </w:r>
      <w:r>
        <w:rPr>
          <w:b/>
          <w:bCs/>
          <w:color w:val="1A5C2A"/>
        </w:rPr>
        <w:t>8</w:t>
      </w:r>
    </w:p>
    <w:p w14:paraId="0646AE0C" w14:textId="77777777" w:rsidR="002A00B7" w:rsidRDefault="005453ED">
      <w:pPr>
        <w:spacing w:after="18" w:line="262" w:lineRule="auto"/>
        <w:ind w:left="300"/>
      </w:pPr>
      <w:r>
        <w:rPr>
          <w:color w:val="4D4D4D"/>
          <w:sz w:val="20"/>
          <w:szCs w:val="20"/>
        </w:rPr>
        <w:t>3.1  Foundations</w:t>
      </w:r>
      <w:r>
        <w:rPr>
          <w:color w:val="4D4D4D"/>
          <w:sz w:val="20"/>
          <w:szCs w:val="20"/>
        </w:rPr>
        <w:ptab w:relativeTo="margin" w:alignment="right" w:leader="dot"/>
      </w:r>
      <w:r>
        <w:rPr>
          <w:color w:val="4D4D4D"/>
          <w:sz w:val="20"/>
          <w:szCs w:val="20"/>
        </w:rPr>
        <w:t>8</w:t>
      </w:r>
    </w:p>
    <w:p w14:paraId="608FBF3D" w14:textId="77777777" w:rsidR="002A00B7" w:rsidRDefault="005453ED">
      <w:pPr>
        <w:spacing w:after="18" w:line="262" w:lineRule="auto"/>
        <w:ind w:left="300"/>
      </w:pPr>
      <w:r>
        <w:rPr>
          <w:color w:val="4D4D4D"/>
          <w:sz w:val="20"/>
          <w:szCs w:val="20"/>
        </w:rPr>
        <w:t>3.2  Investigation and cause</w:t>
      </w:r>
      <w:r>
        <w:rPr>
          <w:color w:val="4D4D4D"/>
          <w:sz w:val="20"/>
          <w:szCs w:val="20"/>
        </w:rPr>
        <w:ptab w:relativeTo="margin" w:alignment="right" w:leader="dot"/>
      </w:r>
      <w:r>
        <w:rPr>
          <w:color w:val="4D4D4D"/>
          <w:sz w:val="20"/>
          <w:szCs w:val="20"/>
        </w:rPr>
        <w:t>9</w:t>
      </w:r>
    </w:p>
    <w:p w14:paraId="05A86430" w14:textId="77777777" w:rsidR="002A00B7" w:rsidRDefault="005453ED">
      <w:pPr>
        <w:spacing w:after="18" w:line="262" w:lineRule="auto"/>
        <w:ind w:left="300"/>
      </w:pPr>
      <w:r>
        <w:rPr>
          <w:color w:val="4D4D4D"/>
          <w:sz w:val="20"/>
          <w:szCs w:val="20"/>
        </w:rPr>
        <w:t>3.3  Analysis</w:t>
      </w:r>
      <w:r>
        <w:rPr>
          <w:color w:val="4D4D4D"/>
          <w:sz w:val="20"/>
          <w:szCs w:val="20"/>
        </w:rPr>
        <w:ptab w:relativeTo="margin" w:alignment="right" w:leader="dot"/>
      </w:r>
      <w:r>
        <w:rPr>
          <w:color w:val="4D4D4D"/>
          <w:sz w:val="20"/>
          <w:szCs w:val="20"/>
        </w:rPr>
        <w:t>9</w:t>
      </w:r>
    </w:p>
    <w:p w14:paraId="28183924" w14:textId="77777777" w:rsidR="002A00B7" w:rsidRDefault="005453ED">
      <w:pPr>
        <w:spacing w:after="18" w:line="262" w:lineRule="auto"/>
        <w:ind w:left="300"/>
      </w:pPr>
      <w:r>
        <w:rPr>
          <w:color w:val="4D4D4D"/>
          <w:sz w:val="20"/>
          <w:szCs w:val="20"/>
        </w:rPr>
        <w:t>3.4  Evidence and testimony</w:t>
      </w:r>
      <w:r>
        <w:rPr>
          <w:color w:val="4D4D4D"/>
          <w:sz w:val="20"/>
          <w:szCs w:val="20"/>
        </w:rPr>
        <w:ptab w:relativeTo="margin" w:alignment="right" w:leader="dot"/>
      </w:r>
      <w:r>
        <w:rPr>
          <w:color w:val="4D4D4D"/>
          <w:sz w:val="20"/>
          <w:szCs w:val="20"/>
        </w:rPr>
        <w:t>9</w:t>
      </w:r>
    </w:p>
    <w:p w14:paraId="4454DA4B" w14:textId="77777777" w:rsidR="002A00B7" w:rsidRDefault="005453ED">
      <w:pPr>
        <w:spacing w:before="120" w:after="20"/>
      </w:pPr>
      <w:r>
        <w:rPr>
          <w:b/>
          <w:bCs/>
          <w:color w:val="1A5C2A"/>
        </w:rPr>
        <w:t>Part Four  |  The Forensic Engagement</w:t>
      </w:r>
      <w:r>
        <w:rPr>
          <w:b/>
          <w:bCs/>
          <w:color w:val="1A5C2A"/>
        </w:rPr>
        <w:ptab w:relativeTo="margin" w:alignment="right" w:leader="dot"/>
      </w:r>
      <w:r>
        <w:rPr>
          <w:b/>
          <w:bCs/>
          <w:color w:val="1A5C2A"/>
        </w:rPr>
        <w:t>11</w:t>
      </w:r>
    </w:p>
    <w:p w14:paraId="06473C47" w14:textId="77777777" w:rsidR="002A00B7" w:rsidRDefault="005453ED">
      <w:pPr>
        <w:spacing w:before="120" w:after="20"/>
      </w:pPr>
      <w:r>
        <w:rPr>
          <w:b/>
          <w:bCs/>
          <w:color w:val="1A5C2A"/>
        </w:rPr>
        <w:t>Part Five  |  Professional Competence</w:t>
      </w:r>
      <w:r>
        <w:rPr>
          <w:b/>
          <w:bCs/>
          <w:color w:val="1A5C2A"/>
        </w:rPr>
        <w:ptab w:relativeTo="margin" w:alignment="right" w:leader="dot"/>
      </w:r>
      <w:r>
        <w:rPr>
          <w:b/>
          <w:bCs/>
          <w:color w:val="1A5C2A"/>
        </w:rPr>
        <w:t>12</w:t>
      </w:r>
    </w:p>
    <w:p w14:paraId="75E018C7" w14:textId="77777777" w:rsidR="002A00B7" w:rsidRDefault="005453ED">
      <w:pPr>
        <w:spacing w:before="120" w:after="20"/>
      </w:pPr>
      <w:r>
        <w:rPr>
          <w:b/>
          <w:bCs/>
          <w:color w:val="1A5C2A"/>
        </w:rPr>
        <w:t>Part Six  |  Applying and Tailoring the Framework</w:t>
      </w:r>
      <w:r>
        <w:rPr>
          <w:b/>
          <w:bCs/>
          <w:color w:val="1A5C2A"/>
        </w:rPr>
        <w:ptab w:relativeTo="margin" w:alignment="right" w:leader="dot"/>
      </w:r>
      <w:r>
        <w:rPr>
          <w:b/>
          <w:bCs/>
          <w:color w:val="1A5C2A"/>
        </w:rPr>
        <w:t>13</w:t>
      </w:r>
    </w:p>
    <w:p w14:paraId="312371D8" w14:textId="77777777" w:rsidR="002A00B7" w:rsidRDefault="005453ED">
      <w:pPr>
        <w:spacing w:before="120" w:after="20"/>
      </w:pPr>
      <w:r>
        <w:rPr>
          <w:b/>
          <w:bCs/>
          <w:color w:val="1A5C2A"/>
        </w:rPr>
        <w:t>The Truth a Project Leaves Behind</w:t>
      </w:r>
      <w:r>
        <w:rPr>
          <w:b/>
          <w:bCs/>
          <w:color w:val="1A5C2A"/>
        </w:rPr>
        <w:ptab w:relativeTo="margin" w:alignment="right" w:leader="dot"/>
      </w:r>
      <w:r>
        <w:rPr>
          <w:b/>
          <w:bCs/>
          <w:color w:val="1A5C2A"/>
        </w:rPr>
        <w:t>14</w:t>
      </w:r>
    </w:p>
    <w:p w14:paraId="37D34682" w14:textId="77777777" w:rsidR="002A00B7" w:rsidRDefault="005453ED">
      <w:r>
        <w:br w:type="page"/>
      </w:r>
    </w:p>
    <w:p w14:paraId="3F44B74D" w14:textId="77777777" w:rsidR="002A00B7" w:rsidRDefault="005453ED">
      <w:pPr>
        <w:pStyle w:val="Heading1"/>
        <w:spacing w:before="300" w:after="150"/>
      </w:pPr>
      <w:r>
        <w:lastRenderedPageBreak/>
        <w:t>Foreword</w:t>
      </w:r>
    </w:p>
    <w:p w14:paraId="4A38E927" w14:textId="77777777" w:rsidR="002A00B7" w:rsidRDefault="002A00B7">
      <w:pPr>
        <w:pBdr>
          <w:bottom w:val="single" w:sz="8" w:space="1" w:color="C47B0B"/>
        </w:pBdr>
        <w:spacing w:before="60" w:after="160"/>
      </w:pPr>
    </w:p>
    <w:p w14:paraId="04555164" w14:textId="77777777" w:rsidR="002A00B7" w:rsidRDefault="005453ED">
      <w:pPr>
        <w:spacing w:after="160" w:line="348" w:lineRule="auto"/>
        <w:jc w:val="both"/>
      </w:pPr>
      <w:r>
        <w:t xml:space="preserve">Forensic investigation establishes, after the fact and to a standard that will withstand scrutiny, what happened to a project that failed, stalled, was abandoned, overran, or fell into dispute: what happened, why, who bears responsibility, and what the avoidable loss amounts to. It is a demanding discipline, and across Africa it is </w:t>
      </w:r>
      <w:proofErr w:type="spellStart"/>
      <w:r>
        <w:t>practised</w:t>
      </w:r>
      <w:proofErr w:type="spellEnd"/>
      <w:r>
        <w:t xml:space="preserve">, where it is </w:t>
      </w:r>
      <w:proofErr w:type="spellStart"/>
      <w:r>
        <w:t>practised</w:t>
      </w:r>
      <w:proofErr w:type="spellEnd"/>
      <w:r>
        <w:t xml:space="preserve"> at all, without a shared standard. This framework provides one.</w:t>
      </w:r>
    </w:p>
    <w:p w14:paraId="58202319" w14:textId="77777777" w:rsidR="002A00B7" w:rsidRDefault="005453ED">
      <w:pPr>
        <w:spacing w:after="160" w:line="348" w:lineRule="auto"/>
        <w:jc w:val="both"/>
      </w:pPr>
      <w:r>
        <w:t xml:space="preserve">It keeps the established methods of investigation, delay analysis, and quantum, and sets them within the conditions African forensic work </w:t>
      </w:r>
      <w:proofErr w:type="gramStart"/>
      <w:r>
        <w:t>actually meets</w:t>
      </w:r>
      <w:proofErr w:type="gramEnd"/>
      <w:r>
        <w:t>: records that are incomplete, informal, or disputed, interests that are contested, and disputes resolved across a range of domestic and international forums. It underpins the Certified Project Forensic Examiner, and it exists so that the establishment of truth about a failed project rests on method and evidence rather than on whoever argues the loudest.</w:t>
      </w:r>
    </w:p>
    <w:p w14:paraId="63EF51A4" w14:textId="77777777" w:rsidR="002A00B7" w:rsidRDefault="005453ED">
      <w:r>
        <w:br w:type="page"/>
      </w:r>
    </w:p>
    <w:p w14:paraId="6F1BFF6E" w14:textId="77777777" w:rsidR="002A00B7" w:rsidRDefault="005453ED">
      <w:pPr>
        <w:pStyle w:val="Heading1"/>
        <w:spacing w:before="300" w:after="150"/>
      </w:pPr>
      <w:r>
        <w:lastRenderedPageBreak/>
        <w:t>Part One  |  Foundations</w:t>
      </w:r>
    </w:p>
    <w:p w14:paraId="20230CA9" w14:textId="77777777" w:rsidR="002A00B7" w:rsidRDefault="002A00B7">
      <w:pPr>
        <w:pBdr>
          <w:bottom w:val="single" w:sz="8" w:space="1" w:color="C47B0B"/>
        </w:pBdr>
        <w:spacing w:before="60" w:after="160"/>
      </w:pPr>
    </w:p>
    <w:p w14:paraId="7BA95FDF" w14:textId="77777777" w:rsidR="002A00B7" w:rsidRDefault="005453ED">
      <w:pPr>
        <w:pStyle w:val="Heading2"/>
        <w:spacing w:before="270" w:after="110"/>
      </w:pPr>
      <w:r>
        <w:t>1.1  Why a forensic body of knowledge</w:t>
      </w:r>
    </w:p>
    <w:p w14:paraId="2BCFDBDC" w14:textId="77777777" w:rsidR="002A00B7" w:rsidRDefault="005453ED">
      <w:pPr>
        <w:spacing w:after="160" w:line="348" w:lineRule="auto"/>
        <w:jc w:val="both"/>
      </w:pPr>
      <w:r>
        <w:t xml:space="preserve">Forensic investigation asks a settled set of questions wherever it is </w:t>
      </w:r>
      <w:proofErr w:type="spellStart"/>
      <w:r>
        <w:t>practised</w:t>
      </w:r>
      <w:proofErr w:type="spellEnd"/>
      <w:r>
        <w:t xml:space="preserve">: what happened, why, who is responsible, and what was lost. The methods for answering them, root-cause analysis, delay analysis, the quantification of loss, the disciplined handling of evidence, are established and shared. What the African context changes is the material the examiner </w:t>
      </w:r>
      <w:proofErr w:type="gramStart"/>
      <w:r>
        <w:t>has to</w:t>
      </w:r>
      <w:proofErr w:type="gramEnd"/>
      <w:r>
        <w:t xml:space="preserve"> work with and the setting the answer must serve.</w:t>
      </w:r>
    </w:p>
    <w:p w14:paraId="6032457C" w14:textId="77777777" w:rsidR="002A00B7" w:rsidRDefault="005453ED">
      <w:pPr>
        <w:spacing w:after="160" w:line="348" w:lineRule="auto"/>
        <w:jc w:val="both"/>
      </w:pPr>
      <w:r>
        <w:t xml:space="preserve">Records that a forensic analysis elsewhere would take for granted may here be partial, kept informally, or contested between the parties. Causes are frequently intertwined, running from funding to consent to capacity, so that the easy single explanation is usually the wrong one. And </w:t>
      </w:r>
      <w:proofErr w:type="gramStart"/>
      <w:r>
        <w:t>loss</w:t>
      </w:r>
      <w:proofErr w:type="gramEnd"/>
      <w:r>
        <w:t xml:space="preserve"> must often be quantified across several currencies and through significant inflation. None of </w:t>
      </w:r>
      <w:proofErr w:type="gramStart"/>
      <w:r>
        <w:t>this changes</w:t>
      </w:r>
      <w:proofErr w:type="gramEnd"/>
      <w:r>
        <w:t xml:space="preserve"> the standard the work must meet. It changes what meeting </w:t>
      </w:r>
      <w:proofErr w:type="gramStart"/>
      <w:r>
        <w:t>that standard demands</w:t>
      </w:r>
      <w:proofErr w:type="gramEnd"/>
      <w:r>
        <w:t>, and this framework sets out how.</w:t>
      </w:r>
    </w:p>
    <w:p w14:paraId="03A09997" w14:textId="77777777" w:rsidR="002A00B7" w:rsidRDefault="005453ED">
      <w:pPr>
        <w:pStyle w:val="Heading2"/>
        <w:spacing w:before="270" w:after="110"/>
      </w:pPr>
      <w:r>
        <w:t>1.2  What this framework is, and is not</w:t>
      </w:r>
    </w:p>
    <w:p w14:paraId="4330ECC7" w14:textId="77777777" w:rsidR="002A00B7" w:rsidRDefault="005453ED">
      <w:pPr>
        <w:spacing w:after="160" w:line="348" w:lineRule="auto"/>
        <w:jc w:val="both"/>
      </w:pPr>
      <w:r>
        <w:t>Africa is not one place, and forensic conditions vary as much as any others across the continent. This framework does not claim a single African way to investigate a project. It is a lens, not a template. It names the conditions that most often shape forensic work on the continent and equips the examiner to read their own case against them.</w:t>
      </w:r>
    </w:p>
    <w:p w14:paraId="46F86D9A" w14:textId="77777777" w:rsidR="002A00B7" w:rsidRDefault="005453ED">
      <w:pPr>
        <w:spacing w:after="160" w:line="348" w:lineRule="auto"/>
        <w:jc w:val="both"/>
      </w:pPr>
      <w:r>
        <w:t xml:space="preserve">Nor does it replace the established practice of forensic investigation and expert evidence. It assumes it. The recognised methods of delay analysis, the principles of causation, the duties of an expert, these are taken as </w:t>
      </w:r>
      <w:proofErr w:type="gramStart"/>
      <w:r>
        <w:t>known, and</w:t>
      </w:r>
      <w:proofErr w:type="gramEnd"/>
      <w:r>
        <w:t xml:space="preserve"> are treated here only where the African context changes how they must be applied.</w:t>
      </w:r>
    </w:p>
    <w:p w14:paraId="43918895" w14:textId="77777777" w:rsidR="002A00B7" w:rsidRDefault="005453ED">
      <w:pPr>
        <w:pStyle w:val="Heading2"/>
        <w:spacing w:before="270" w:after="110"/>
      </w:pPr>
      <w:r>
        <w:t>1.3  How the framework is structured</w:t>
      </w:r>
    </w:p>
    <w:p w14:paraId="41319B96" w14:textId="77777777" w:rsidR="002A00B7" w:rsidRDefault="005453ED">
      <w:pPr>
        <w:spacing w:after="160" w:line="348" w:lineRule="auto"/>
        <w:jc w:val="both"/>
      </w:pPr>
      <w:r>
        <w:t xml:space="preserve">The framework is built in the same three layers as its companions: the conditions the investigation is carried </w:t>
      </w:r>
      <w:proofErr w:type="gramStart"/>
      <w:r>
        <w:t>out in</w:t>
      </w:r>
      <w:proofErr w:type="gramEnd"/>
      <w:r>
        <w:t>, the knowledge the examiner brings, and the way both are applied from instruction to report.</w:t>
      </w:r>
    </w:p>
    <w:p w14:paraId="272AB311" w14:textId="77777777" w:rsidR="002A00B7" w:rsidRDefault="005453ED">
      <w:pPr>
        <w:pStyle w:val="ListParagraph"/>
        <w:numPr>
          <w:ilvl w:val="0"/>
          <w:numId w:val="2"/>
        </w:numPr>
        <w:spacing w:after="100" w:line="338" w:lineRule="auto"/>
        <w:jc w:val="both"/>
      </w:pPr>
      <w:r>
        <w:rPr>
          <w:b/>
          <w:bCs/>
          <w:color w:val="C47B0B"/>
        </w:rPr>
        <w:t xml:space="preserve">The contextual foundation </w:t>
      </w:r>
      <w:r>
        <w:t>(Part Two) names the six dimensions of African conditions that most shape forensic work.</w:t>
      </w:r>
    </w:p>
    <w:p w14:paraId="2C246A65" w14:textId="77777777" w:rsidR="002A00B7" w:rsidRDefault="005453ED">
      <w:pPr>
        <w:pStyle w:val="ListParagraph"/>
        <w:numPr>
          <w:ilvl w:val="0"/>
          <w:numId w:val="2"/>
        </w:numPr>
        <w:spacing w:after="100" w:line="338" w:lineRule="auto"/>
        <w:jc w:val="both"/>
      </w:pPr>
      <w:r>
        <w:rPr>
          <w:b/>
          <w:bCs/>
          <w:color w:val="C47B0B"/>
        </w:rPr>
        <w:t xml:space="preserve">The knowledge domains </w:t>
      </w:r>
      <w:r>
        <w:t>(Part Three) set out the nine areas of forensic competence, read through that context.</w:t>
      </w:r>
    </w:p>
    <w:p w14:paraId="0C1268A8" w14:textId="77777777" w:rsidR="002A00B7" w:rsidRDefault="005453ED">
      <w:pPr>
        <w:pStyle w:val="ListParagraph"/>
        <w:numPr>
          <w:ilvl w:val="0"/>
          <w:numId w:val="2"/>
        </w:numPr>
        <w:spacing w:after="100" w:line="338" w:lineRule="auto"/>
        <w:jc w:val="both"/>
      </w:pPr>
      <w:r>
        <w:rPr>
          <w:b/>
          <w:bCs/>
          <w:color w:val="C47B0B"/>
        </w:rPr>
        <w:lastRenderedPageBreak/>
        <w:t xml:space="preserve">The engagement, competence, and application layers </w:t>
      </w:r>
      <w:r>
        <w:t>(Parts Four to Six) place the work in the arc of an investigation, describe the examiner, and explain how to tailor it.</w:t>
      </w:r>
    </w:p>
    <w:p w14:paraId="39459ED8" w14:textId="77777777" w:rsidR="002A00B7" w:rsidRDefault="005453ED">
      <w:pPr>
        <w:pStyle w:val="Heading2"/>
        <w:spacing w:before="270" w:after="110"/>
      </w:pPr>
      <w:r>
        <w:t>1.4  The forensic standard</w:t>
      </w:r>
    </w:p>
    <w:p w14:paraId="3EEB8595" w14:textId="77777777" w:rsidR="002A00B7" w:rsidRDefault="005453ED">
      <w:pPr>
        <w:spacing w:after="160" w:line="348" w:lineRule="auto"/>
        <w:jc w:val="both"/>
      </w:pPr>
      <w:r>
        <w:t xml:space="preserve">Forensic work is held to a higher evidentiary standard than most professional </w:t>
      </w:r>
      <w:proofErr w:type="gramStart"/>
      <w:r>
        <w:t>inquiry</w:t>
      </w:r>
      <w:proofErr w:type="gramEnd"/>
      <w:r>
        <w:t>, because its findings may decide a dispute, apportion liability, or support a claim for millions. The examiner establishes only what the evidence supports, distinguishes fact from assumption from opinion, and is candid about the limits of what could be shown. A finding that overreaches its evidence is worse than no finding, because it will fail when it is tested, and it will take the examiner’s credibility with it.</w:t>
      </w:r>
    </w:p>
    <w:p w14:paraId="6C70790C" w14:textId="77777777" w:rsidR="002A00B7" w:rsidRDefault="005453ED">
      <w:pPr>
        <w:spacing w:after="160" w:line="348" w:lineRule="auto"/>
        <w:jc w:val="both"/>
      </w:pPr>
      <w:r>
        <w:t>Two duties govern the work. The first is independence: the examiner serves the truth and, where they act as an expert, the tribunal, not the party who instructs and pays them, and the Code forbids them to investigate a project they delivered. The second is rigour: the discipline of building an account that will hold under challenge, on evidence whose provenance can be shown. These two duties run through every domain that follows.</w:t>
      </w:r>
    </w:p>
    <w:p w14:paraId="31E0ABFC" w14:textId="77777777" w:rsidR="002A00B7" w:rsidRDefault="005453ED">
      <w:r>
        <w:br w:type="page"/>
      </w:r>
    </w:p>
    <w:p w14:paraId="1332A84F" w14:textId="77777777" w:rsidR="002A00B7" w:rsidRDefault="005453ED">
      <w:pPr>
        <w:pStyle w:val="Heading1"/>
        <w:spacing w:before="300" w:after="150"/>
      </w:pPr>
      <w:r>
        <w:lastRenderedPageBreak/>
        <w:t>Part Two  |  The Contextual Foundation</w:t>
      </w:r>
    </w:p>
    <w:p w14:paraId="196F964C" w14:textId="77777777" w:rsidR="002A00B7" w:rsidRDefault="002A00B7">
      <w:pPr>
        <w:pBdr>
          <w:bottom w:val="single" w:sz="8" w:space="1" w:color="C47B0B"/>
        </w:pBdr>
        <w:spacing w:before="60" w:after="160"/>
      </w:pPr>
    </w:p>
    <w:p w14:paraId="68E5B2E8" w14:textId="77777777" w:rsidR="002A00B7" w:rsidRDefault="005453ED">
      <w:pPr>
        <w:spacing w:after="160" w:line="348" w:lineRule="auto"/>
        <w:jc w:val="both"/>
      </w:pPr>
      <w:r>
        <w:t>The same six dimensions that shape African project delivery shape forensic work, though the examiner meets them differently: as the conditions that produced the failure under investigation, and as the state of the evidence available to establish it. A practitioner who reads a case against these six will investigate more accurately and claim only what the evidence allows.</w:t>
      </w:r>
    </w:p>
    <w:p w14:paraId="4F0D4B31" w14:textId="77777777" w:rsidR="002A00B7" w:rsidRDefault="005453ED">
      <w:pPr>
        <w:pStyle w:val="Heading2"/>
        <w:spacing w:before="270" w:after="110"/>
      </w:pPr>
      <w:r>
        <w:t>2.1  Financing and funding</w:t>
      </w:r>
    </w:p>
    <w:p w14:paraId="4C0A79A1" w14:textId="77777777" w:rsidR="002A00B7" w:rsidRDefault="005453ED">
      <w:pPr>
        <w:spacing w:after="160" w:line="348" w:lineRule="auto"/>
        <w:jc w:val="both"/>
      </w:pPr>
      <w:r>
        <w:t>Funding failures are among the most common causes an investigation uncovers: disbursement that stopped, counterpart funding that never came, currency movement that broke the budget. The examiner must be able to trace these as causes, distinguishing a funding failure that was the project’s fault from one that was not.</w:t>
      </w:r>
    </w:p>
    <w:p w14:paraId="48E905BB" w14:textId="77777777" w:rsidR="002A00B7" w:rsidRDefault="005453ED">
      <w:pPr>
        <w:spacing w:after="160" w:line="348" w:lineRule="auto"/>
        <w:jc w:val="both"/>
      </w:pPr>
      <w:r>
        <w:t>Funding also shapes quantum. Loss on an African project is frequently incurred across several currencies and through significant inflation, and the examiner must quantify it on a basis that is defensible and clearly stated. A loss figure whose currency and inflation assumptions are not shown will not survive challenge.</w:t>
      </w:r>
    </w:p>
    <w:p w14:paraId="2E8DB485" w14:textId="77777777" w:rsidR="002A00B7" w:rsidRDefault="005453ED">
      <w:pPr>
        <w:pStyle w:val="Heading2"/>
        <w:spacing w:before="270" w:after="110"/>
      </w:pPr>
      <w:r>
        <w:t>2.2  Procurement and contracting</w:t>
      </w:r>
    </w:p>
    <w:p w14:paraId="0D532723" w14:textId="77777777" w:rsidR="002A00B7" w:rsidRDefault="005453ED">
      <w:pPr>
        <w:spacing w:after="160" w:line="348" w:lineRule="auto"/>
        <w:jc w:val="both"/>
      </w:pPr>
      <w:r>
        <w:t>Procurement irregularity is a recurring subject of forensic work, and the examiner must be able to investigate suspected collusion, fraud, and value leakage rigorously and fairly, establishing what the evidence shows rather than what suspicion assumes.</w:t>
      </w:r>
    </w:p>
    <w:p w14:paraId="4A1134DE" w14:textId="77777777" w:rsidR="002A00B7" w:rsidRDefault="005453ED">
      <w:pPr>
        <w:spacing w:after="160" w:line="348" w:lineRule="auto"/>
        <w:jc w:val="both"/>
      </w:pPr>
      <w:r>
        <w:t xml:space="preserve">The contract is also the framework against which delay and loss are assessed. Its terms allocate risk between the parties and define what </w:t>
      </w:r>
      <w:proofErr w:type="gramStart"/>
      <w:r>
        <w:t>is a breach</w:t>
      </w:r>
      <w:proofErr w:type="gramEnd"/>
      <w:r>
        <w:t>, and the examiner reads them as the basis for any analysis of responsibility.</w:t>
      </w:r>
    </w:p>
    <w:p w14:paraId="1126099C" w14:textId="77777777" w:rsidR="002A00B7" w:rsidRDefault="005453ED">
      <w:pPr>
        <w:pStyle w:val="Heading2"/>
        <w:spacing w:before="270" w:after="110"/>
      </w:pPr>
      <w:r>
        <w:t>2.3  Institutions and governance</w:t>
      </w:r>
    </w:p>
    <w:p w14:paraId="7B4B5ACB" w14:textId="77777777" w:rsidR="002A00B7" w:rsidRDefault="005453ED">
      <w:pPr>
        <w:spacing w:after="160" w:line="348" w:lineRule="auto"/>
        <w:jc w:val="both"/>
      </w:pPr>
      <w:r>
        <w:t>Investigations frequently take place amid institutional and political sensitivity, where the findings may embarrass powerful parties. The examiner’s independence is tested most sharply here, and it must hold. The work is to establish what happened on the evidence, whoever it implicates.</w:t>
      </w:r>
    </w:p>
    <w:p w14:paraId="14E715A2" w14:textId="77777777" w:rsidR="002A00B7" w:rsidRDefault="005453ED">
      <w:pPr>
        <w:spacing w:after="160" w:line="348" w:lineRule="auto"/>
        <w:jc w:val="both"/>
      </w:pPr>
      <w:r>
        <w:t xml:space="preserve">Governance failure is also a common cause of the failures investigated: decisions that could not be made, or made and </w:t>
      </w:r>
      <w:proofErr w:type="gramStart"/>
      <w:r>
        <w:t>not</w:t>
      </w:r>
      <w:proofErr w:type="gramEnd"/>
      <w:r>
        <w:t xml:space="preserve"> recorded, authority split so that no one was </w:t>
      </w:r>
      <w:r>
        <w:lastRenderedPageBreak/>
        <w:t xml:space="preserve">accountable. The examiner must be able to establish </w:t>
      </w:r>
      <w:proofErr w:type="gramStart"/>
      <w:r>
        <w:t>causation</w:t>
      </w:r>
      <w:proofErr w:type="gramEnd"/>
      <w:r>
        <w:t xml:space="preserve"> through a fragmented institutional picture.</w:t>
      </w:r>
    </w:p>
    <w:p w14:paraId="0035B34F" w14:textId="77777777" w:rsidR="002A00B7" w:rsidRDefault="005453ED">
      <w:pPr>
        <w:pStyle w:val="Heading2"/>
        <w:spacing w:before="270" w:after="110"/>
      </w:pPr>
      <w:r>
        <w:t>2.4  Society, community, and culture</w:t>
      </w:r>
    </w:p>
    <w:p w14:paraId="272C8DCE" w14:textId="77777777" w:rsidR="002A00B7" w:rsidRDefault="005453ED">
      <w:pPr>
        <w:spacing w:after="160" w:line="348" w:lineRule="auto"/>
        <w:jc w:val="both"/>
      </w:pPr>
      <w:r>
        <w:t xml:space="preserve">Community and consent failures are frequent causes of project failure, from stalled land access to withdrawn cooperation, and the examiner must be able to trace them and weigh their effect. Doing so may require evidence from actors in the informal economy and from </w:t>
      </w:r>
      <w:proofErr w:type="gramStart"/>
      <w:r>
        <w:t>communities,</w:t>
      </w:r>
      <w:proofErr w:type="gramEnd"/>
      <w:r>
        <w:t xml:space="preserve"> gathered and weighed with care.</w:t>
      </w:r>
    </w:p>
    <w:p w14:paraId="7348E2D6" w14:textId="77777777" w:rsidR="002A00B7" w:rsidRDefault="005453ED">
      <w:pPr>
        <w:spacing w:after="160" w:line="348" w:lineRule="auto"/>
        <w:jc w:val="both"/>
      </w:pPr>
      <w:r>
        <w:t>The examiner works with respect for the setting, aware that the account they build concerns real communities and real disputes, and that fairness in the handling of testimony is part of the rigour the work demands.</w:t>
      </w:r>
    </w:p>
    <w:p w14:paraId="4E333383" w14:textId="77777777" w:rsidR="002A00B7" w:rsidRDefault="005453ED">
      <w:pPr>
        <w:pStyle w:val="Heading2"/>
        <w:spacing w:before="270" w:after="110"/>
      </w:pPr>
      <w:r>
        <w:t>2.5  The delivery environment</w:t>
      </w:r>
    </w:p>
    <w:p w14:paraId="1D4C0787" w14:textId="77777777" w:rsidR="002A00B7" w:rsidRDefault="005453ED">
      <w:pPr>
        <w:spacing w:after="160" w:line="348" w:lineRule="auto"/>
        <w:jc w:val="both"/>
      </w:pPr>
      <w:r>
        <w:t>The physical conditions of delivery are often themselves the causes under investigation: logistics that failed, enabling infrastructure that was never there, seasons that closed a site. The examiner must be able to establish these as causes on the available record.</w:t>
      </w:r>
    </w:p>
    <w:p w14:paraId="08C97ED8" w14:textId="77777777" w:rsidR="002A00B7" w:rsidRDefault="005453ED">
      <w:pPr>
        <w:spacing w:after="160" w:line="348" w:lineRule="auto"/>
        <w:jc w:val="both"/>
      </w:pPr>
      <w:r>
        <w:t xml:space="preserve">That record is the central difficulty. Where project documentation is thin, informal, or disputed, the examiner must reconstruct what happened from incomplete </w:t>
      </w:r>
      <w:proofErr w:type="gramStart"/>
      <w:r>
        <w:t>evidence, and</w:t>
      </w:r>
      <w:proofErr w:type="gramEnd"/>
      <w:r>
        <w:t xml:space="preserve"> must be candid about what the evidence can and cannot support. Much of the skill of African forensic work lies in this honest reconstruction.</w:t>
      </w:r>
    </w:p>
    <w:p w14:paraId="3513CBCF" w14:textId="77777777" w:rsidR="002A00B7" w:rsidRDefault="005453ED">
      <w:pPr>
        <w:pStyle w:val="Heading2"/>
        <w:spacing w:before="270" w:after="110"/>
      </w:pPr>
      <w:r>
        <w:t>2.6  Sustainability, climate, and resilience</w:t>
      </w:r>
    </w:p>
    <w:p w14:paraId="537E8589" w14:textId="77777777" w:rsidR="002A00B7" w:rsidRDefault="005453ED">
      <w:pPr>
        <w:spacing w:after="160" w:line="348" w:lineRule="auto"/>
        <w:jc w:val="both"/>
      </w:pPr>
      <w:r>
        <w:t>Climate and environmental failures increasingly appear as causes of loss and dispute: an asset that could not withstand a flood it should have been built for, environmental harm that halted a project or triggered a claim. The examiner must be able to investigate these and establish their causation and cost.</w:t>
      </w:r>
    </w:p>
    <w:p w14:paraId="37D5C198" w14:textId="77777777" w:rsidR="002A00B7" w:rsidRDefault="005453ED">
      <w:pPr>
        <w:spacing w:after="160" w:line="348" w:lineRule="auto"/>
        <w:jc w:val="both"/>
      </w:pPr>
      <w:r>
        <w:t>As with every cause, the discipline is the same: to establish on the evidence what happened and why, distinguishing a failure of design or delivery from an event that no reasonable project could have withstood.</w:t>
      </w:r>
    </w:p>
    <w:p w14:paraId="1E70C27B" w14:textId="77777777" w:rsidR="002A00B7" w:rsidRDefault="005453ED">
      <w:r>
        <w:br w:type="page"/>
      </w:r>
    </w:p>
    <w:p w14:paraId="66E1AF7D" w14:textId="77777777" w:rsidR="002A00B7" w:rsidRDefault="005453ED">
      <w:pPr>
        <w:pStyle w:val="Heading1"/>
        <w:spacing w:before="300" w:after="150"/>
      </w:pPr>
      <w:r>
        <w:lastRenderedPageBreak/>
        <w:t>Part Three  |  The Knowledge Domains</w:t>
      </w:r>
    </w:p>
    <w:p w14:paraId="7B164132" w14:textId="77777777" w:rsidR="002A00B7" w:rsidRDefault="002A00B7">
      <w:pPr>
        <w:pBdr>
          <w:bottom w:val="single" w:sz="8" w:space="1" w:color="C47B0B"/>
        </w:pBdr>
        <w:spacing w:before="60" w:after="160"/>
      </w:pPr>
    </w:p>
    <w:p w14:paraId="1FD025DC" w14:textId="77777777" w:rsidR="002A00B7" w:rsidRDefault="005453ED">
      <w:pPr>
        <w:spacing w:after="160" w:line="348" w:lineRule="auto"/>
        <w:jc w:val="both"/>
      </w:pPr>
      <w:r>
        <w:t>Forensic competence is organised here into nine domains, in four families: the foundations of the discipline, investigation and cause, the specialist analyses of delay and quantum, and the handling of evidence and its presentation. Each is a settled part of forensic practice, described here for how the African context of Part Two changes its application.</w:t>
      </w:r>
    </w:p>
    <w:tbl>
      <w:tblPr>
        <w:tblW w:w="9360" w:type="dxa"/>
        <w:tblBorders>
          <w:top w:val="single" w:sz="4" w:space="0" w:color="1A5C2A"/>
          <w:left w:val="single" w:sz="2" w:space="0" w:color="CCCCCC"/>
          <w:bottom w:val="single" w:sz="4" w:space="0" w:color="1A5C2A"/>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760"/>
        <w:gridCol w:w="3400"/>
        <w:gridCol w:w="4200"/>
      </w:tblGrid>
      <w:tr w:rsidR="002A00B7" w14:paraId="623F904D" w14:textId="77777777">
        <w:tblPrEx>
          <w:tblCellMar>
            <w:top w:w="0" w:type="dxa"/>
            <w:bottom w:w="0" w:type="dxa"/>
          </w:tblCellMar>
        </w:tblPrEx>
        <w:trPr>
          <w:tblHeader/>
        </w:trPr>
        <w:tc>
          <w:tcPr>
            <w:tcW w:w="1760" w:type="dxa"/>
            <w:shd w:val="clear" w:color="auto" w:fill="1A5C2A"/>
            <w:tcMar>
              <w:top w:w="80" w:type="dxa"/>
              <w:left w:w="110" w:type="dxa"/>
              <w:bottom w:w="80" w:type="dxa"/>
              <w:right w:w="110" w:type="dxa"/>
            </w:tcMar>
          </w:tcPr>
          <w:p w14:paraId="0F4924CB" w14:textId="77777777" w:rsidR="002A00B7" w:rsidRDefault="005453ED">
            <w:r>
              <w:rPr>
                <w:b/>
                <w:bCs/>
                <w:color w:val="FFFFFF"/>
                <w:sz w:val="19"/>
                <w:szCs w:val="19"/>
              </w:rPr>
              <w:t>Family</w:t>
            </w:r>
          </w:p>
        </w:tc>
        <w:tc>
          <w:tcPr>
            <w:tcW w:w="3400" w:type="dxa"/>
            <w:shd w:val="clear" w:color="auto" w:fill="1A5C2A"/>
            <w:tcMar>
              <w:top w:w="80" w:type="dxa"/>
              <w:left w:w="110" w:type="dxa"/>
              <w:bottom w:w="80" w:type="dxa"/>
              <w:right w:w="110" w:type="dxa"/>
            </w:tcMar>
          </w:tcPr>
          <w:p w14:paraId="0415383F" w14:textId="77777777" w:rsidR="002A00B7" w:rsidRDefault="005453ED">
            <w:r>
              <w:rPr>
                <w:b/>
                <w:bCs/>
                <w:color w:val="FFFFFF"/>
                <w:sz w:val="19"/>
                <w:szCs w:val="19"/>
              </w:rPr>
              <w:t>Knowledge domain</w:t>
            </w:r>
          </w:p>
        </w:tc>
        <w:tc>
          <w:tcPr>
            <w:tcW w:w="4200" w:type="dxa"/>
            <w:shd w:val="clear" w:color="auto" w:fill="1A5C2A"/>
            <w:tcMar>
              <w:top w:w="80" w:type="dxa"/>
              <w:left w:w="110" w:type="dxa"/>
              <w:bottom w:w="80" w:type="dxa"/>
              <w:right w:w="110" w:type="dxa"/>
            </w:tcMar>
          </w:tcPr>
          <w:p w14:paraId="3D1B7AB7" w14:textId="77777777" w:rsidR="002A00B7" w:rsidRDefault="005453ED">
            <w:r>
              <w:rPr>
                <w:b/>
                <w:bCs/>
                <w:color w:val="FFFFFF"/>
                <w:sz w:val="19"/>
                <w:szCs w:val="19"/>
              </w:rPr>
              <w:t>What the examiner must establish</w:t>
            </w:r>
          </w:p>
        </w:tc>
      </w:tr>
      <w:tr w:rsidR="002A00B7" w14:paraId="0A8EA32A" w14:textId="77777777">
        <w:tblPrEx>
          <w:tblCellMar>
            <w:top w:w="0" w:type="dxa"/>
            <w:bottom w:w="0" w:type="dxa"/>
          </w:tblCellMar>
        </w:tblPrEx>
        <w:tc>
          <w:tcPr>
            <w:tcW w:w="1760" w:type="dxa"/>
            <w:shd w:val="clear" w:color="auto" w:fill="EAF1EC"/>
            <w:tcMar>
              <w:top w:w="70" w:type="dxa"/>
              <w:left w:w="110" w:type="dxa"/>
              <w:bottom w:w="70" w:type="dxa"/>
              <w:right w:w="110" w:type="dxa"/>
            </w:tcMar>
          </w:tcPr>
          <w:p w14:paraId="3B8FC14D" w14:textId="77777777" w:rsidR="002A00B7" w:rsidRDefault="005453ED">
            <w:pPr>
              <w:spacing w:line="262" w:lineRule="auto"/>
            </w:pPr>
            <w:r>
              <w:rPr>
                <w:b/>
                <w:bCs/>
                <w:sz w:val="18"/>
                <w:szCs w:val="18"/>
              </w:rPr>
              <w:t>Foundations</w:t>
            </w:r>
          </w:p>
        </w:tc>
        <w:tc>
          <w:tcPr>
            <w:tcW w:w="3400" w:type="dxa"/>
            <w:shd w:val="clear" w:color="auto" w:fill="EAF1EC"/>
            <w:tcMar>
              <w:top w:w="70" w:type="dxa"/>
              <w:left w:w="110" w:type="dxa"/>
              <w:bottom w:w="70" w:type="dxa"/>
              <w:right w:w="110" w:type="dxa"/>
            </w:tcMar>
          </w:tcPr>
          <w:p w14:paraId="14F76CF5" w14:textId="77777777" w:rsidR="002A00B7" w:rsidRDefault="005453ED">
            <w:pPr>
              <w:spacing w:line="262" w:lineRule="auto"/>
            </w:pPr>
            <w:r>
              <w:rPr>
                <w:sz w:val="18"/>
                <w:szCs w:val="18"/>
              </w:rPr>
              <w:t>1  The nature and purpose of forensic work</w:t>
            </w:r>
          </w:p>
        </w:tc>
        <w:tc>
          <w:tcPr>
            <w:tcW w:w="4200" w:type="dxa"/>
            <w:shd w:val="clear" w:color="auto" w:fill="EAF1EC"/>
            <w:tcMar>
              <w:top w:w="70" w:type="dxa"/>
              <w:left w:w="110" w:type="dxa"/>
              <w:bottom w:w="70" w:type="dxa"/>
              <w:right w:w="110" w:type="dxa"/>
            </w:tcMar>
          </w:tcPr>
          <w:p w14:paraId="731BBF81" w14:textId="77777777" w:rsidR="002A00B7" w:rsidRDefault="005453ED">
            <w:pPr>
              <w:spacing w:line="262" w:lineRule="auto"/>
            </w:pPr>
            <w:r>
              <w:rPr>
                <w:sz w:val="18"/>
                <w:szCs w:val="18"/>
              </w:rPr>
              <w:t>The question the investigation answers, and the standard it must meet.</w:t>
            </w:r>
          </w:p>
        </w:tc>
      </w:tr>
      <w:tr w:rsidR="002A00B7" w14:paraId="143CB3B4" w14:textId="77777777">
        <w:tblPrEx>
          <w:tblCellMar>
            <w:top w:w="0" w:type="dxa"/>
            <w:bottom w:w="0" w:type="dxa"/>
          </w:tblCellMar>
        </w:tblPrEx>
        <w:tc>
          <w:tcPr>
            <w:tcW w:w="1760" w:type="dxa"/>
            <w:shd w:val="clear" w:color="auto" w:fill="FFFFFF"/>
            <w:tcMar>
              <w:top w:w="70" w:type="dxa"/>
              <w:left w:w="110" w:type="dxa"/>
              <w:bottom w:w="70" w:type="dxa"/>
              <w:right w:w="110" w:type="dxa"/>
            </w:tcMar>
          </w:tcPr>
          <w:p w14:paraId="1D1639EF" w14:textId="77777777" w:rsidR="002A00B7" w:rsidRDefault="002A00B7">
            <w:pPr>
              <w:spacing w:line="262" w:lineRule="auto"/>
            </w:pPr>
          </w:p>
        </w:tc>
        <w:tc>
          <w:tcPr>
            <w:tcW w:w="3400" w:type="dxa"/>
            <w:shd w:val="clear" w:color="auto" w:fill="FFFFFF"/>
            <w:tcMar>
              <w:top w:w="70" w:type="dxa"/>
              <w:left w:w="110" w:type="dxa"/>
              <w:bottom w:w="70" w:type="dxa"/>
              <w:right w:w="110" w:type="dxa"/>
            </w:tcMar>
          </w:tcPr>
          <w:p w14:paraId="78B937B9" w14:textId="77777777" w:rsidR="002A00B7" w:rsidRDefault="005453ED">
            <w:pPr>
              <w:spacing w:line="262" w:lineRule="auto"/>
            </w:pPr>
            <w:r>
              <w:rPr>
                <w:sz w:val="18"/>
                <w:szCs w:val="18"/>
              </w:rPr>
              <w:t>2  Independence and the evidentiary standard</w:t>
            </w:r>
          </w:p>
        </w:tc>
        <w:tc>
          <w:tcPr>
            <w:tcW w:w="4200" w:type="dxa"/>
            <w:shd w:val="clear" w:color="auto" w:fill="FFFFFF"/>
            <w:tcMar>
              <w:top w:w="70" w:type="dxa"/>
              <w:left w:w="110" w:type="dxa"/>
              <w:bottom w:w="70" w:type="dxa"/>
              <w:right w:w="110" w:type="dxa"/>
            </w:tcMar>
          </w:tcPr>
          <w:p w14:paraId="749BB35C" w14:textId="77777777" w:rsidR="002A00B7" w:rsidRDefault="005453ED">
            <w:pPr>
              <w:spacing w:line="262" w:lineRule="auto"/>
            </w:pPr>
            <w:proofErr w:type="gramStart"/>
            <w:r>
              <w:rPr>
                <w:sz w:val="18"/>
                <w:szCs w:val="18"/>
              </w:rPr>
              <w:t>That</w:t>
            </w:r>
            <w:proofErr w:type="gramEnd"/>
            <w:r>
              <w:rPr>
                <w:sz w:val="18"/>
                <w:szCs w:val="18"/>
              </w:rPr>
              <w:t xml:space="preserve"> findings are independent and will withstand scrutiny.</w:t>
            </w:r>
          </w:p>
        </w:tc>
      </w:tr>
      <w:tr w:rsidR="002A00B7" w14:paraId="06B29519" w14:textId="77777777">
        <w:tblPrEx>
          <w:tblCellMar>
            <w:top w:w="0" w:type="dxa"/>
            <w:bottom w:w="0" w:type="dxa"/>
          </w:tblCellMar>
        </w:tblPrEx>
        <w:tc>
          <w:tcPr>
            <w:tcW w:w="1760" w:type="dxa"/>
            <w:shd w:val="clear" w:color="auto" w:fill="EAF1EC"/>
            <w:tcMar>
              <w:top w:w="70" w:type="dxa"/>
              <w:left w:w="110" w:type="dxa"/>
              <w:bottom w:w="70" w:type="dxa"/>
              <w:right w:w="110" w:type="dxa"/>
            </w:tcMar>
          </w:tcPr>
          <w:p w14:paraId="77C6CDCA" w14:textId="77777777" w:rsidR="002A00B7" w:rsidRDefault="005453ED">
            <w:pPr>
              <w:spacing w:line="262" w:lineRule="auto"/>
            </w:pPr>
            <w:r>
              <w:rPr>
                <w:b/>
                <w:bCs/>
                <w:sz w:val="18"/>
                <w:szCs w:val="18"/>
              </w:rPr>
              <w:t>Investigation and cause</w:t>
            </w:r>
          </w:p>
        </w:tc>
        <w:tc>
          <w:tcPr>
            <w:tcW w:w="3400" w:type="dxa"/>
            <w:shd w:val="clear" w:color="auto" w:fill="EAF1EC"/>
            <w:tcMar>
              <w:top w:w="70" w:type="dxa"/>
              <w:left w:w="110" w:type="dxa"/>
              <w:bottom w:w="70" w:type="dxa"/>
              <w:right w:w="110" w:type="dxa"/>
            </w:tcMar>
          </w:tcPr>
          <w:p w14:paraId="20D1B093" w14:textId="77777777" w:rsidR="002A00B7" w:rsidRDefault="005453ED">
            <w:pPr>
              <w:spacing w:line="262" w:lineRule="auto"/>
            </w:pPr>
            <w:r>
              <w:rPr>
                <w:sz w:val="18"/>
                <w:szCs w:val="18"/>
              </w:rPr>
              <w:t>3  Investigation planning and conduct</w:t>
            </w:r>
          </w:p>
        </w:tc>
        <w:tc>
          <w:tcPr>
            <w:tcW w:w="4200" w:type="dxa"/>
            <w:shd w:val="clear" w:color="auto" w:fill="EAF1EC"/>
            <w:tcMar>
              <w:top w:w="70" w:type="dxa"/>
              <w:left w:w="110" w:type="dxa"/>
              <w:bottom w:w="70" w:type="dxa"/>
              <w:right w:w="110" w:type="dxa"/>
            </w:tcMar>
          </w:tcPr>
          <w:p w14:paraId="276FCA5A" w14:textId="77777777" w:rsidR="002A00B7" w:rsidRDefault="005453ED">
            <w:pPr>
              <w:spacing w:line="262" w:lineRule="auto"/>
            </w:pPr>
            <w:r>
              <w:rPr>
                <w:sz w:val="18"/>
                <w:szCs w:val="18"/>
              </w:rPr>
              <w:t>A sound plan and disciplined conduct of the inquiry.</w:t>
            </w:r>
          </w:p>
        </w:tc>
      </w:tr>
      <w:tr w:rsidR="002A00B7" w14:paraId="6EEE2802" w14:textId="77777777">
        <w:tblPrEx>
          <w:tblCellMar>
            <w:top w:w="0" w:type="dxa"/>
            <w:bottom w:w="0" w:type="dxa"/>
          </w:tblCellMar>
        </w:tblPrEx>
        <w:tc>
          <w:tcPr>
            <w:tcW w:w="1760" w:type="dxa"/>
            <w:shd w:val="clear" w:color="auto" w:fill="FFFFFF"/>
            <w:tcMar>
              <w:top w:w="70" w:type="dxa"/>
              <w:left w:w="110" w:type="dxa"/>
              <w:bottom w:w="70" w:type="dxa"/>
              <w:right w:w="110" w:type="dxa"/>
            </w:tcMar>
          </w:tcPr>
          <w:p w14:paraId="0C0E8E9E" w14:textId="77777777" w:rsidR="002A00B7" w:rsidRDefault="002A00B7">
            <w:pPr>
              <w:spacing w:line="262" w:lineRule="auto"/>
            </w:pPr>
          </w:p>
        </w:tc>
        <w:tc>
          <w:tcPr>
            <w:tcW w:w="3400" w:type="dxa"/>
            <w:shd w:val="clear" w:color="auto" w:fill="FFFFFF"/>
            <w:tcMar>
              <w:top w:w="70" w:type="dxa"/>
              <w:left w:w="110" w:type="dxa"/>
              <w:bottom w:w="70" w:type="dxa"/>
              <w:right w:w="110" w:type="dxa"/>
            </w:tcMar>
          </w:tcPr>
          <w:p w14:paraId="2581EF29" w14:textId="77777777" w:rsidR="002A00B7" w:rsidRDefault="005453ED">
            <w:pPr>
              <w:spacing w:line="262" w:lineRule="auto"/>
            </w:pPr>
            <w:r>
              <w:rPr>
                <w:sz w:val="18"/>
                <w:szCs w:val="18"/>
              </w:rPr>
              <w:t>4  Root-cause and causation analysis</w:t>
            </w:r>
          </w:p>
        </w:tc>
        <w:tc>
          <w:tcPr>
            <w:tcW w:w="4200" w:type="dxa"/>
            <w:shd w:val="clear" w:color="auto" w:fill="FFFFFF"/>
            <w:tcMar>
              <w:top w:w="70" w:type="dxa"/>
              <w:left w:w="110" w:type="dxa"/>
              <w:bottom w:w="70" w:type="dxa"/>
              <w:right w:w="110" w:type="dxa"/>
            </w:tcMar>
          </w:tcPr>
          <w:p w14:paraId="04C0AE5F" w14:textId="77777777" w:rsidR="002A00B7" w:rsidRDefault="005453ED">
            <w:pPr>
              <w:spacing w:line="262" w:lineRule="auto"/>
            </w:pPr>
            <w:r>
              <w:rPr>
                <w:sz w:val="18"/>
                <w:szCs w:val="18"/>
              </w:rPr>
              <w:t xml:space="preserve">Why the project </w:t>
            </w:r>
            <w:proofErr w:type="gramStart"/>
            <w:r>
              <w:rPr>
                <w:sz w:val="18"/>
                <w:szCs w:val="18"/>
              </w:rPr>
              <w:t>failed,</w:t>
            </w:r>
            <w:proofErr w:type="gramEnd"/>
            <w:r>
              <w:rPr>
                <w:sz w:val="18"/>
                <w:szCs w:val="18"/>
              </w:rPr>
              <w:t xml:space="preserve"> cause distinguished from symptom.</w:t>
            </w:r>
          </w:p>
        </w:tc>
      </w:tr>
      <w:tr w:rsidR="002A00B7" w14:paraId="19673E1B" w14:textId="77777777">
        <w:tblPrEx>
          <w:tblCellMar>
            <w:top w:w="0" w:type="dxa"/>
            <w:bottom w:w="0" w:type="dxa"/>
          </w:tblCellMar>
        </w:tblPrEx>
        <w:tc>
          <w:tcPr>
            <w:tcW w:w="1760" w:type="dxa"/>
            <w:shd w:val="clear" w:color="auto" w:fill="EAF1EC"/>
            <w:tcMar>
              <w:top w:w="70" w:type="dxa"/>
              <w:left w:w="110" w:type="dxa"/>
              <w:bottom w:w="70" w:type="dxa"/>
              <w:right w:w="110" w:type="dxa"/>
            </w:tcMar>
          </w:tcPr>
          <w:p w14:paraId="4181C917" w14:textId="77777777" w:rsidR="002A00B7" w:rsidRDefault="002A00B7">
            <w:pPr>
              <w:spacing w:line="262" w:lineRule="auto"/>
            </w:pPr>
          </w:p>
        </w:tc>
        <w:tc>
          <w:tcPr>
            <w:tcW w:w="3400" w:type="dxa"/>
            <w:shd w:val="clear" w:color="auto" w:fill="EAF1EC"/>
            <w:tcMar>
              <w:top w:w="70" w:type="dxa"/>
              <w:left w:w="110" w:type="dxa"/>
              <w:bottom w:w="70" w:type="dxa"/>
              <w:right w:w="110" w:type="dxa"/>
            </w:tcMar>
          </w:tcPr>
          <w:p w14:paraId="2B0C54A5" w14:textId="77777777" w:rsidR="002A00B7" w:rsidRDefault="005453ED">
            <w:pPr>
              <w:spacing w:line="262" w:lineRule="auto"/>
            </w:pPr>
            <w:r>
              <w:rPr>
                <w:sz w:val="18"/>
                <w:szCs w:val="18"/>
              </w:rPr>
              <w:t>5  Fraud and irregularity investigation</w:t>
            </w:r>
          </w:p>
        </w:tc>
        <w:tc>
          <w:tcPr>
            <w:tcW w:w="4200" w:type="dxa"/>
            <w:shd w:val="clear" w:color="auto" w:fill="EAF1EC"/>
            <w:tcMar>
              <w:top w:w="70" w:type="dxa"/>
              <w:left w:w="110" w:type="dxa"/>
              <w:bottom w:w="70" w:type="dxa"/>
              <w:right w:w="110" w:type="dxa"/>
            </w:tcMar>
          </w:tcPr>
          <w:p w14:paraId="1317F6E4" w14:textId="77777777" w:rsidR="002A00B7" w:rsidRDefault="005453ED">
            <w:pPr>
              <w:spacing w:line="262" w:lineRule="auto"/>
            </w:pPr>
            <w:r>
              <w:rPr>
                <w:sz w:val="18"/>
                <w:szCs w:val="18"/>
              </w:rPr>
              <w:t>Whether fraud or irregularity occurred, on the evidence.</w:t>
            </w:r>
          </w:p>
        </w:tc>
      </w:tr>
      <w:tr w:rsidR="002A00B7" w14:paraId="06B41D3D" w14:textId="77777777">
        <w:tblPrEx>
          <w:tblCellMar>
            <w:top w:w="0" w:type="dxa"/>
            <w:bottom w:w="0" w:type="dxa"/>
          </w:tblCellMar>
        </w:tblPrEx>
        <w:tc>
          <w:tcPr>
            <w:tcW w:w="1760" w:type="dxa"/>
            <w:shd w:val="clear" w:color="auto" w:fill="FFFFFF"/>
            <w:tcMar>
              <w:top w:w="70" w:type="dxa"/>
              <w:left w:w="110" w:type="dxa"/>
              <w:bottom w:w="70" w:type="dxa"/>
              <w:right w:w="110" w:type="dxa"/>
            </w:tcMar>
          </w:tcPr>
          <w:p w14:paraId="28C64AE8" w14:textId="77777777" w:rsidR="002A00B7" w:rsidRDefault="005453ED">
            <w:pPr>
              <w:spacing w:line="262" w:lineRule="auto"/>
            </w:pPr>
            <w:r>
              <w:rPr>
                <w:b/>
                <w:bCs/>
                <w:sz w:val="18"/>
                <w:szCs w:val="18"/>
              </w:rPr>
              <w:t>Analysis</w:t>
            </w:r>
          </w:p>
        </w:tc>
        <w:tc>
          <w:tcPr>
            <w:tcW w:w="3400" w:type="dxa"/>
            <w:shd w:val="clear" w:color="auto" w:fill="FFFFFF"/>
            <w:tcMar>
              <w:top w:w="70" w:type="dxa"/>
              <w:left w:w="110" w:type="dxa"/>
              <w:bottom w:w="70" w:type="dxa"/>
              <w:right w:w="110" w:type="dxa"/>
            </w:tcMar>
          </w:tcPr>
          <w:p w14:paraId="5A34697E" w14:textId="77777777" w:rsidR="002A00B7" w:rsidRDefault="005453ED">
            <w:pPr>
              <w:spacing w:line="262" w:lineRule="auto"/>
            </w:pPr>
            <w:r>
              <w:rPr>
                <w:sz w:val="18"/>
                <w:szCs w:val="18"/>
              </w:rPr>
              <w:t>6  Delay analysis</w:t>
            </w:r>
          </w:p>
        </w:tc>
        <w:tc>
          <w:tcPr>
            <w:tcW w:w="4200" w:type="dxa"/>
            <w:shd w:val="clear" w:color="auto" w:fill="FFFFFF"/>
            <w:tcMar>
              <w:top w:w="70" w:type="dxa"/>
              <w:left w:w="110" w:type="dxa"/>
              <w:bottom w:w="70" w:type="dxa"/>
              <w:right w:w="110" w:type="dxa"/>
            </w:tcMar>
          </w:tcPr>
          <w:p w14:paraId="27BFDDFE" w14:textId="77777777" w:rsidR="002A00B7" w:rsidRDefault="005453ED">
            <w:pPr>
              <w:spacing w:line="262" w:lineRule="auto"/>
            </w:pPr>
            <w:r>
              <w:rPr>
                <w:sz w:val="18"/>
                <w:szCs w:val="18"/>
              </w:rPr>
              <w:t>Responsibility for delay, by a defensible method.</w:t>
            </w:r>
          </w:p>
        </w:tc>
      </w:tr>
      <w:tr w:rsidR="002A00B7" w14:paraId="34AD0CA1" w14:textId="77777777">
        <w:tblPrEx>
          <w:tblCellMar>
            <w:top w:w="0" w:type="dxa"/>
            <w:bottom w:w="0" w:type="dxa"/>
          </w:tblCellMar>
        </w:tblPrEx>
        <w:tc>
          <w:tcPr>
            <w:tcW w:w="1760" w:type="dxa"/>
            <w:shd w:val="clear" w:color="auto" w:fill="EAF1EC"/>
            <w:tcMar>
              <w:top w:w="70" w:type="dxa"/>
              <w:left w:w="110" w:type="dxa"/>
              <w:bottom w:w="70" w:type="dxa"/>
              <w:right w:w="110" w:type="dxa"/>
            </w:tcMar>
          </w:tcPr>
          <w:p w14:paraId="46D256F8" w14:textId="77777777" w:rsidR="002A00B7" w:rsidRDefault="002A00B7">
            <w:pPr>
              <w:spacing w:line="262" w:lineRule="auto"/>
            </w:pPr>
          </w:p>
        </w:tc>
        <w:tc>
          <w:tcPr>
            <w:tcW w:w="3400" w:type="dxa"/>
            <w:shd w:val="clear" w:color="auto" w:fill="EAF1EC"/>
            <w:tcMar>
              <w:top w:w="70" w:type="dxa"/>
              <w:left w:w="110" w:type="dxa"/>
              <w:bottom w:w="70" w:type="dxa"/>
              <w:right w:w="110" w:type="dxa"/>
            </w:tcMar>
          </w:tcPr>
          <w:p w14:paraId="0E5F4F93" w14:textId="77777777" w:rsidR="002A00B7" w:rsidRDefault="005453ED">
            <w:pPr>
              <w:spacing w:line="262" w:lineRule="auto"/>
            </w:pPr>
            <w:r>
              <w:rPr>
                <w:sz w:val="18"/>
                <w:szCs w:val="18"/>
              </w:rPr>
              <w:t>7  Quantum and loss assessment</w:t>
            </w:r>
          </w:p>
        </w:tc>
        <w:tc>
          <w:tcPr>
            <w:tcW w:w="4200" w:type="dxa"/>
            <w:shd w:val="clear" w:color="auto" w:fill="EAF1EC"/>
            <w:tcMar>
              <w:top w:w="70" w:type="dxa"/>
              <w:left w:w="110" w:type="dxa"/>
              <w:bottom w:w="70" w:type="dxa"/>
              <w:right w:w="110" w:type="dxa"/>
            </w:tcMar>
          </w:tcPr>
          <w:p w14:paraId="797C67F5" w14:textId="77777777" w:rsidR="002A00B7" w:rsidRDefault="005453ED">
            <w:pPr>
              <w:spacing w:line="262" w:lineRule="auto"/>
            </w:pPr>
            <w:r>
              <w:rPr>
                <w:sz w:val="18"/>
                <w:szCs w:val="18"/>
              </w:rPr>
              <w:t>The loss, its causation, and the basis of its figures.</w:t>
            </w:r>
          </w:p>
        </w:tc>
      </w:tr>
      <w:tr w:rsidR="002A00B7" w14:paraId="31F054A4" w14:textId="77777777">
        <w:tblPrEx>
          <w:tblCellMar>
            <w:top w:w="0" w:type="dxa"/>
            <w:bottom w:w="0" w:type="dxa"/>
          </w:tblCellMar>
        </w:tblPrEx>
        <w:tc>
          <w:tcPr>
            <w:tcW w:w="1760" w:type="dxa"/>
            <w:shd w:val="clear" w:color="auto" w:fill="FFFFFF"/>
            <w:tcMar>
              <w:top w:w="70" w:type="dxa"/>
              <w:left w:w="110" w:type="dxa"/>
              <w:bottom w:w="70" w:type="dxa"/>
              <w:right w:w="110" w:type="dxa"/>
            </w:tcMar>
          </w:tcPr>
          <w:p w14:paraId="6DCA423E" w14:textId="77777777" w:rsidR="002A00B7" w:rsidRDefault="005453ED">
            <w:pPr>
              <w:spacing w:line="262" w:lineRule="auto"/>
            </w:pPr>
            <w:r>
              <w:rPr>
                <w:b/>
                <w:bCs/>
                <w:sz w:val="18"/>
                <w:szCs w:val="18"/>
              </w:rPr>
              <w:t>Evidence and testimony</w:t>
            </w:r>
          </w:p>
        </w:tc>
        <w:tc>
          <w:tcPr>
            <w:tcW w:w="3400" w:type="dxa"/>
            <w:shd w:val="clear" w:color="auto" w:fill="FFFFFF"/>
            <w:tcMar>
              <w:top w:w="70" w:type="dxa"/>
              <w:left w:w="110" w:type="dxa"/>
              <w:bottom w:w="70" w:type="dxa"/>
              <w:right w:w="110" w:type="dxa"/>
            </w:tcMar>
          </w:tcPr>
          <w:p w14:paraId="035C48DA" w14:textId="77777777" w:rsidR="002A00B7" w:rsidRDefault="005453ED">
            <w:pPr>
              <w:spacing w:line="262" w:lineRule="auto"/>
            </w:pPr>
            <w:r>
              <w:rPr>
                <w:sz w:val="18"/>
                <w:szCs w:val="18"/>
              </w:rPr>
              <w:t>8  Evidence, documentation, and chain of custody</w:t>
            </w:r>
          </w:p>
        </w:tc>
        <w:tc>
          <w:tcPr>
            <w:tcW w:w="4200" w:type="dxa"/>
            <w:shd w:val="clear" w:color="auto" w:fill="FFFFFF"/>
            <w:tcMar>
              <w:top w:w="70" w:type="dxa"/>
              <w:left w:w="110" w:type="dxa"/>
              <w:bottom w:w="70" w:type="dxa"/>
              <w:right w:w="110" w:type="dxa"/>
            </w:tcMar>
          </w:tcPr>
          <w:p w14:paraId="06637E48" w14:textId="77777777" w:rsidR="002A00B7" w:rsidRDefault="005453ED">
            <w:pPr>
              <w:spacing w:line="262" w:lineRule="auto"/>
            </w:pPr>
            <w:r>
              <w:rPr>
                <w:sz w:val="18"/>
                <w:szCs w:val="18"/>
              </w:rPr>
              <w:t>That evidence is sound, preserved, and traceable to findings.</w:t>
            </w:r>
          </w:p>
        </w:tc>
      </w:tr>
      <w:tr w:rsidR="002A00B7" w14:paraId="6690ACB7" w14:textId="77777777">
        <w:tblPrEx>
          <w:tblCellMar>
            <w:top w:w="0" w:type="dxa"/>
            <w:bottom w:w="0" w:type="dxa"/>
          </w:tblCellMar>
        </w:tblPrEx>
        <w:tc>
          <w:tcPr>
            <w:tcW w:w="1760" w:type="dxa"/>
            <w:shd w:val="clear" w:color="auto" w:fill="EAF1EC"/>
            <w:tcMar>
              <w:top w:w="70" w:type="dxa"/>
              <w:left w:w="110" w:type="dxa"/>
              <w:bottom w:w="70" w:type="dxa"/>
              <w:right w:w="110" w:type="dxa"/>
            </w:tcMar>
          </w:tcPr>
          <w:p w14:paraId="6BEBF22A" w14:textId="77777777" w:rsidR="002A00B7" w:rsidRDefault="002A00B7">
            <w:pPr>
              <w:spacing w:line="262" w:lineRule="auto"/>
            </w:pPr>
          </w:p>
        </w:tc>
        <w:tc>
          <w:tcPr>
            <w:tcW w:w="3400" w:type="dxa"/>
            <w:shd w:val="clear" w:color="auto" w:fill="EAF1EC"/>
            <w:tcMar>
              <w:top w:w="70" w:type="dxa"/>
              <w:left w:w="110" w:type="dxa"/>
              <w:bottom w:w="70" w:type="dxa"/>
              <w:right w:w="110" w:type="dxa"/>
            </w:tcMar>
          </w:tcPr>
          <w:p w14:paraId="55B62640" w14:textId="77777777" w:rsidR="002A00B7" w:rsidRDefault="005453ED">
            <w:pPr>
              <w:spacing w:line="262" w:lineRule="auto"/>
            </w:pPr>
            <w:r>
              <w:rPr>
                <w:sz w:val="18"/>
                <w:szCs w:val="18"/>
              </w:rPr>
              <w:t>9  Expert evidence and the dispute context</w:t>
            </w:r>
          </w:p>
        </w:tc>
        <w:tc>
          <w:tcPr>
            <w:tcW w:w="4200" w:type="dxa"/>
            <w:shd w:val="clear" w:color="auto" w:fill="EAF1EC"/>
            <w:tcMar>
              <w:top w:w="70" w:type="dxa"/>
              <w:left w:w="110" w:type="dxa"/>
              <w:bottom w:w="70" w:type="dxa"/>
              <w:right w:w="110" w:type="dxa"/>
            </w:tcMar>
          </w:tcPr>
          <w:p w14:paraId="47E63BCB" w14:textId="77777777" w:rsidR="002A00B7" w:rsidRDefault="005453ED">
            <w:pPr>
              <w:spacing w:line="262" w:lineRule="auto"/>
            </w:pPr>
            <w:r>
              <w:rPr>
                <w:sz w:val="18"/>
                <w:szCs w:val="18"/>
              </w:rPr>
              <w:t xml:space="preserve">Findings that </w:t>
            </w:r>
            <w:proofErr w:type="gramStart"/>
            <w:r>
              <w:rPr>
                <w:sz w:val="18"/>
                <w:szCs w:val="18"/>
              </w:rPr>
              <w:t>hold</w:t>
            </w:r>
            <w:proofErr w:type="gramEnd"/>
            <w:r>
              <w:rPr>
                <w:sz w:val="18"/>
                <w:szCs w:val="18"/>
              </w:rPr>
              <w:t xml:space="preserve"> as evidence in the forum they serve.</w:t>
            </w:r>
          </w:p>
        </w:tc>
      </w:tr>
    </w:tbl>
    <w:p w14:paraId="573EDDBE" w14:textId="77777777" w:rsidR="002A00B7" w:rsidRDefault="002A00B7">
      <w:pPr>
        <w:spacing w:after="40"/>
      </w:pPr>
    </w:p>
    <w:p w14:paraId="21CDA621" w14:textId="77777777" w:rsidR="002A00B7" w:rsidRDefault="005453ED">
      <w:pPr>
        <w:pStyle w:val="Heading2"/>
        <w:spacing w:before="270" w:after="110"/>
      </w:pPr>
      <w:r>
        <w:t>3.1  Foundations</w:t>
      </w:r>
    </w:p>
    <w:p w14:paraId="696B0D3D" w14:textId="77777777" w:rsidR="002A00B7" w:rsidRDefault="005453ED">
      <w:pPr>
        <w:spacing w:after="150" w:line="344" w:lineRule="auto"/>
        <w:jc w:val="both"/>
      </w:pPr>
      <w:r>
        <w:rPr>
          <w:b/>
          <w:bCs/>
          <w:color w:val="1A5C2A"/>
        </w:rPr>
        <w:t xml:space="preserve">1. The nature and purpose of forensic work.  </w:t>
      </w:r>
      <w:r>
        <w:t>The domain covers what forensic investigation is and the question it answers: what happened to a project, why, who is responsible, and what was lost. It includes the standard the work must meet, and the distinction between forensic examination and the forward-looking work of assurance.</w:t>
      </w:r>
    </w:p>
    <w:p w14:paraId="4AE7C16A" w14:textId="77777777" w:rsidR="002A00B7" w:rsidRDefault="005453ED">
      <w:pPr>
        <w:spacing w:after="150" w:line="344" w:lineRule="auto"/>
        <w:jc w:val="both"/>
      </w:pPr>
      <w:r>
        <w:rPr>
          <w:b/>
          <w:bCs/>
          <w:color w:val="1A5C2A"/>
        </w:rPr>
        <w:t xml:space="preserve">2. Independence and the evidentiary standard.  </w:t>
      </w:r>
      <w:r>
        <w:t>Independence and evidentiary rigour are the two duties on which forensic work rests, so they form a domain of their own. It covers the objectivity the examiner must bring, the duty owed to a tribunal, the strict separation from any project the examiner delivered, and the standard of evidence a finding must reach to survive challenge.</w:t>
      </w:r>
    </w:p>
    <w:p w14:paraId="37F3DAB2" w14:textId="77777777" w:rsidR="002A00B7" w:rsidRDefault="005453ED">
      <w:pPr>
        <w:pStyle w:val="Heading2"/>
        <w:spacing w:before="270" w:after="110"/>
      </w:pPr>
      <w:r>
        <w:t>3.2  Investigation and cause</w:t>
      </w:r>
    </w:p>
    <w:p w14:paraId="2119BAAE" w14:textId="77777777" w:rsidR="002A00B7" w:rsidRDefault="005453ED">
      <w:pPr>
        <w:spacing w:after="150" w:line="344" w:lineRule="auto"/>
        <w:jc w:val="both"/>
      </w:pPr>
      <w:r>
        <w:rPr>
          <w:b/>
          <w:bCs/>
          <w:color w:val="1A5C2A"/>
        </w:rPr>
        <w:lastRenderedPageBreak/>
        <w:t xml:space="preserve">3. Investigation planning and conduct.  </w:t>
      </w:r>
      <w:r>
        <w:t>The domain covers planning an investigation proportionate to the case and conducting it to a disciplined standard: defining scope, identifying and securing sources, and pursuing the inquiry methodically. Where records are thin or contested, disciplined conduct is what allows a sound account to be built from imperfect material.</w:t>
      </w:r>
    </w:p>
    <w:p w14:paraId="731B5AC8" w14:textId="77777777" w:rsidR="002A00B7" w:rsidRDefault="005453ED">
      <w:pPr>
        <w:spacing w:after="150" w:line="344" w:lineRule="auto"/>
        <w:jc w:val="both"/>
      </w:pPr>
      <w:r>
        <w:rPr>
          <w:b/>
          <w:bCs/>
          <w:color w:val="1A5C2A"/>
        </w:rPr>
        <w:t xml:space="preserve">4. Root-cause and causation analysis.  </w:t>
      </w:r>
      <w:r>
        <w:t xml:space="preserve">Establishing why a project failed, distinguishing cause from </w:t>
      </w:r>
      <w:proofErr w:type="gramStart"/>
      <w:r>
        <w:t>symptom</w:t>
      </w:r>
      <w:proofErr w:type="gramEnd"/>
      <w:r>
        <w:t>, correlation, and coincidence. In the African context, where failure commonly has several intertwined causes, the domain covers untangling them honestly and constructing a causal account the evidence supports, without settling on the easiest single explanation.</w:t>
      </w:r>
    </w:p>
    <w:p w14:paraId="7B76A5FC" w14:textId="77777777" w:rsidR="002A00B7" w:rsidRDefault="005453ED">
      <w:pPr>
        <w:spacing w:after="150" w:line="344" w:lineRule="auto"/>
        <w:jc w:val="both"/>
      </w:pPr>
      <w:r>
        <w:rPr>
          <w:b/>
          <w:bCs/>
          <w:color w:val="1A5C2A"/>
        </w:rPr>
        <w:t xml:space="preserve">5. Fraud and irregularity investigation.  </w:t>
      </w:r>
      <w:r>
        <w:t>The domain covers investigating suspected fraud, collusion, and value leakage in project delivery: following the indicators, gathering and preserving evidence to an admissible standard, and distinguishing irregularity from error. The work must be rigorous and fair, establishing what the evidence shows rather than what suspicion assumes.</w:t>
      </w:r>
    </w:p>
    <w:p w14:paraId="11CAB427" w14:textId="77777777" w:rsidR="002A00B7" w:rsidRDefault="005453ED">
      <w:pPr>
        <w:pStyle w:val="Heading2"/>
        <w:spacing w:before="270" w:after="110"/>
      </w:pPr>
      <w:r>
        <w:t>3.3  Analysis</w:t>
      </w:r>
    </w:p>
    <w:p w14:paraId="286DFC88" w14:textId="77777777" w:rsidR="002A00B7" w:rsidRDefault="005453ED">
      <w:pPr>
        <w:spacing w:after="150" w:line="344" w:lineRule="auto"/>
        <w:jc w:val="both"/>
      </w:pPr>
      <w:r>
        <w:rPr>
          <w:b/>
          <w:bCs/>
          <w:color w:val="1A5C2A"/>
        </w:rPr>
        <w:t xml:space="preserve">6. Delay analysis.  </w:t>
      </w:r>
      <w:r>
        <w:t>The domain covers the recognised methods of forensic delay analysis, the selection of a method suited to the evidence and the dispute, and the establishment and apportionment of responsibility for delay. Because delay analysis rests on records, the domain includes candour about what thin or incomplete records can and cannot support.</w:t>
      </w:r>
    </w:p>
    <w:p w14:paraId="1E7DC85F" w14:textId="77777777" w:rsidR="002A00B7" w:rsidRDefault="005453ED">
      <w:pPr>
        <w:spacing w:after="150" w:line="344" w:lineRule="auto"/>
        <w:jc w:val="both"/>
      </w:pPr>
      <w:r>
        <w:rPr>
          <w:b/>
          <w:bCs/>
          <w:color w:val="1A5C2A"/>
        </w:rPr>
        <w:t xml:space="preserve">7. Quantum and loss assessment.  </w:t>
      </w:r>
      <w:r>
        <w:t>The domain covers quantifying financial loss and establishing its causal link to the breach, to a defensible standard. In African conditions this means assessing quantum across several currencies and through inflation, and showing the basis and assumptions of every figure, since an unexplained figure will not hold.</w:t>
      </w:r>
    </w:p>
    <w:p w14:paraId="5A7CAB9E" w14:textId="77777777" w:rsidR="002A00B7" w:rsidRDefault="005453ED">
      <w:pPr>
        <w:pStyle w:val="Heading2"/>
        <w:spacing w:before="270" w:after="110"/>
      </w:pPr>
      <w:r>
        <w:t>3.4  Evidence and testimony</w:t>
      </w:r>
    </w:p>
    <w:p w14:paraId="7BD0B4B2" w14:textId="77777777" w:rsidR="002A00B7" w:rsidRDefault="005453ED">
      <w:pPr>
        <w:spacing w:after="150" w:line="344" w:lineRule="auto"/>
        <w:jc w:val="both"/>
      </w:pPr>
      <w:r>
        <w:rPr>
          <w:b/>
          <w:bCs/>
          <w:color w:val="1A5C2A"/>
        </w:rPr>
        <w:t xml:space="preserve">8. Evidence, documentation, and chain of custody.  </w:t>
      </w:r>
      <w:r>
        <w:t>The domain covers gathering, handling, and preserving evidence so that its integrity is kept and its provenance can be shown, maintaining a chain of custody that withstands challenge, and organising evidence so that every finding can be traced to it. Where records are partial or disputed, this discipline is what separates a finding that holds from one that does not.</w:t>
      </w:r>
    </w:p>
    <w:p w14:paraId="10B10AE0" w14:textId="77777777" w:rsidR="002A00B7" w:rsidRDefault="005453ED">
      <w:pPr>
        <w:spacing w:after="150" w:line="344" w:lineRule="auto"/>
        <w:jc w:val="both"/>
      </w:pPr>
      <w:r>
        <w:rPr>
          <w:b/>
          <w:bCs/>
          <w:color w:val="1A5C2A"/>
        </w:rPr>
        <w:lastRenderedPageBreak/>
        <w:t xml:space="preserve">9. Expert evidence and the dispute context.  </w:t>
      </w:r>
      <w:r>
        <w:t>The domain covers writing a forensic report that is clear, evidenced, and defensible, giving and defending expert evidence within the duties of an expert, and operating within the dispute-resolution forums, arbitration, litigation, adjudication, and expert determination, that the work serves. Throughout, the examiner distinguishes fact, assumption, and opinion, and marks the limits of what was established.</w:t>
      </w:r>
    </w:p>
    <w:p w14:paraId="72FAF0BD" w14:textId="77777777" w:rsidR="002A00B7" w:rsidRDefault="005453ED">
      <w:r>
        <w:br w:type="page"/>
      </w:r>
    </w:p>
    <w:p w14:paraId="1FF279CC" w14:textId="77777777" w:rsidR="002A00B7" w:rsidRDefault="005453ED">
      <w:pPr>
        <w:pStyle w:val="Heading1"/>
        <w:spacing w:before="300" w:after="150"/>
      </w:pPr>
      <w:r>
        <w:lastRenderedPageBreak/>
        <w:t>Part Four  |  The Forensic Engagement</w:t>
      </w:r>
    </w:p>
    <w:p w14:paraId="343759C2" w14:textId="77777777" w:rsidR="002A00B7" w:rsidRDefault="002A00B7">
      <w:pPr>
        <w:pBdr>
          <w:bottom w:val="single" w:sz="8" w:space="1" w:color="C47B0B"/>
        </w:pBdr>
        <w:spacing w:before="60" w:after="160"/>
      </w:pPr>
    </w:p>
    <w:p w14:paraId="4A7B285D" w14:textId="77777777" w:rsidR="002A00B7" w:rsidRDefault="005453ED">
      <w:pPr>
        <w:spacing w:after="160" w:line="348" w:lineRule="auto"/>
        <w:jc w:val="both"/>
      </w:pPr>
      <w:r>
        <w:t xml:space="preserve">A forensic engagement runs from instruction to report and, where required, testimony. The arc below names its stages and what each </w:t>
      </w:r>
      <w:proofErr w:type="gramStart"/>
      <w:r>
        <w:t>demands</w:t>
      </w:r>
      <w:proofErr w:type="gramEnd"/>
      <w:r>
        <w:t>. The discipline is cumulative: each stage rests on the one before, and a weakness early, in scope or in evidence, cannot be repaired later.</w:t>
      </w:r>
    </w:p>
    <w:tbl>
      <w:tblPr>
        <w:tblW w:w="9360" w:type="dxa"/>
        <w:tblBorders>
          <w:top w:val="single" w:sz="4" w:space="0" w:color="1A5C2A"/>
          <w:left w:val="single" w:sz="2" w:space="0" w:color="CCCCCC"/>
          <w:bottom w:val="single" w:sz="4" w:space="0" w:color="1A5C2A"/>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200"/>
        <w:gridCol w:w="3560"/>
        <w:gridCol w:w="3600"/>
      </w:tblGrid>
      <w:tr w:rsidR="002A00B7" w14:paraId="51A412F3" w14:textId="77777777">
        <w:tblPrEx>
          <w:tblCellMar>
            <w:top w:w="0" w:type="dxa"/>
            <w:bottom w:w="0" w:type="dxa"/>
          </w:tblCellMar>
        </w:tblPrEx>
        <w:trPr>
          <w:tblHeader/>
        </w:trPr>
        <w:tc>
          <w:tcPr>
            <w:tcW w:w="2200" w:type="dxa"/>
            <w:shd w:val="clear" w:color="auto" w:fill="1A5C2A"/>
            <w:tcMar>
              <w:top w:w="80" w:type="dxa"/>
              <w:left w:w="110" w:type="dxa"/>
              <w:bottom w:w="80" w:type="dxa"/>
              <w:right w:w="110" w:type="dxa"/>
            </w:tcMar>
          </w:tcPr>
          <w:p w14:paraId="71C85D29" w14:textId="77777777" w:rsidR="002A00B7" w:rsidRDefault="005453ED">
            <w:r>
              <w:rPr>
                <w:b/>
                <w:bCs/>
                <w:color w:val="FFFFFF"/>
                <w:sz w:val="19"/>
                <w:szCs w:val="19"/>
              </w:rPr>
              <w:t>Stage</w:t>
            </w:r>
          </w:p>
        </w:tc>
        <w:tc>
          <w:tcPr>
            <w:tcW w:w="3560" w:type="dxa"/>
            <w:shd w:val="clear" w:color="auto" w:fill="1A5C2A"/>
            <w:tcMar>
              <w:top w:w="80" w:type="dxa"/>
              <w:left w:w="110" w:type="dxa"/>
              <w:bottom w:w="80" w:type="dxa"/>
              <w:right w:w="110" w:type="dxa"/>
            </w:tcMar>
          </w:tcPr>
          <w:p w14:paraId="2EAAE4E2" w14:textId="77777777" w:rsidR="002A00B7" w:rsidRDefault="005453ED">
            <w:r>
              <w:rPr>
                <w:b/>
                <w:bCs/>
                <w:color w:val="FFFFFF"/>
                <w:sz w:val="19"/>
                <w:szCs w:val="19"/>
              </w:rPr>
              <w:t>What it covers</w:t>
            </w:r>
          </w:p>
        </w:tc>
        <w:tc>
          <w:tcPr>
            <w:tcW w:w="3600" w:type="dxa"/>
            <w:shd w:val="clear" w:color="auto" w:fill="1A5C2A"/>
            <w:tcMar>
              <w:top w:w="80" w:type="dxa"/>
              <w:left w:w="110" w:type="dxa"/>
              <w:bottom w:w="80" w:type="dxa"/>
              <w:right w:w="110" w:type="dxa"/>
            </w:tcMar>
          </w:tcPr>
          <w:p w14:paraId="6D1B76A9" w14:textId="77777777" w:rsidR="002A00B7" w:rsidRDefault="005453ED">
            <w:r>
              <w:rPr>
                <w:b/>
                <w:bCs/>
                <w:color w:val="FFFFFF"/>
                <w:sz w:val="19"/>
                <w:szCs w:val="19"/>
              </w:rPr>
              <w:t>Where the context bears</w:t>
            </w:r>
          </w:p>
        </w:tc>
      </w:tr>
      <w:tr w:rsidR="002A00B7" w14:paraId="1E95E62C" w14:textId="77777777">
        <w:tblPrEx>
          <w:tblCellMar>
            <w:top w:w="0" w:type="dxa"/>
            <w:bottom w:w="0" w:type="dxa"/>
          </w:tblCellMar>
        </w:tblPrEx>
        <w:tc>
          <w:tcPr>
            <w:tcW w:w="2200" w:type="dxa"/>
            <w:shd w:val="clear" w:color="auto" w:fill="EAF1EC"/>
            <w:tcMar>
              <w:top w:w="70" w:type="dxa"/>
              <w:left w:w="110" w:type="dxa"/>
              <w:bottom w:w="70" w:type="dxa"/>
              <w:right w:w="110" w:type="dxa"/>
            </w:tcMar>
          </w:tcPr>
          <w:p w14:paraId="1E77E14D" w14:textId="77777777" w:rsidR="002A00B7" w:rsidRDefault="005453ED">
            <w:pPr>
              <w:spacing w:line="262" w:lineRule="auto"/>
            </w:pPr>
            <w:r>
              <w:rPr>
                <w:b/>
                <w:bCs/>
                <w:sz w:val="18"/>
                <w:szCs w:val="18"/>
              </w:rPr>
              <w:t>Instruction and scope</w:t>
            </w:r>
          </w:p>
        </w:tc>
        <w:tc>
          <w:tcPr>
            <w:tcW w:w="3560" w:type="dxa"/>
            <w:shd w:val="clear" w:color="auto" w:fill="EAF1EC"/>
            <w:tcMar>
              <w:top w:w="70" w:type="dxa"/>
              <w:left w:w="110" w:type="dxa"/>
              <w:bottom w:w="70" w:type="dxa"/>
              <w:right w:w="110" w:type="dxa"/>
            </w:tcMar>
          </w:tcPr>
          <w:p w14:paraId="780B0576" w14:textId="77777777" w:rsidR="002A00B7" w:rsidRDefault="005453ED">
            <w:pPr>
              <w:spacing w:line="262" w:lineRule="auto"/>
            </w:pPr>
            <w:r>
              <w:rPr>
                <w:sz w:val="18"/>
                <w:szCs w:val="18"/>
              </w:rPr>
              <w:t>Defining the questions and the bounds of the inquiry.</w:t>
            </w:r>
          </w:p>
        </w:tc>
        <w:tc>
          <w:tcPr>
            <w:tcW w:w="3600" w:type="dxa"/>
            <w:shd w:val="clear" w:color="auto" w:fill="EAF1EC"/>
            <w:tcMar>
              <w:top w:w="70" w:type="dxa"/>
              <w:left w:w="110" w:type="dxa"/>
              <w:bottom w:w="70" w:type="dxa"/>
              <w:right w:w="110" w:type="dxa"/>
            </w:tcMar>
          </w:tcPr>
          <w:p w14:paraId="59DD6C70" w14:textId="77777777" w:rsidR="002A00B7" w:rsidRDefault="005453ED">
            <w:pPr>
              <w:spacing w:line="262" w:lineRule="auto"/>
            </w:pPr>
            <w:r>
              <w:rPr>
                <w:sz w:val="18"/>
                <w:szCs w:val="18"/>
              </w:rPr>
              <w:t xml:space="preserve">Framing questions the available evidence can </w:t>
            </w:r>
            <w:proofErr w:type="gramStart"/>
            <w:r>
              <w:rPr>
                <w:sz w:val="18"/>
                <w:szCs w:val="18"/>
              </w:rPr>
              <w:t>actually answer</w:t>
            </w:r>
            <w:proofErr w:type="gramEnd"/>
            <w:r>
              <w:rPr>
                <w:sz w:val="18"/>
                <w:szCs w:val="18"/>
              </w:rPr>
              <w:t>.</w:t>
            </w:r>
          </w:p>
        </w:tc>
      </w:tr>
      <w:tr w:rsidR="002A00B7" w14:paraId="45AFFB6C" w14:textId="77777777">
        <w:tblPrEx>
          <w:tblCellMar>
            <w:top w:w="0" w:type="dxa"/>
            <w:bottom w:w="0" w:type="dxa"/>
          </w:tblCellMar>
        </w:tblPrEx>
        <w:tc>
          <w:tcPr>
            <w:tcW w:w="2200" w:type="dxa"/>
            <w:shd w:val="clear" w:color="auto" w:fill="FFFFFF"/>
            <w:tcMar>
              <w:top w:w="70" w:type="dxa"/>
              <w:left w:w="110" w:type="dxa"/>
              <w:bottom w:w="70" w:type="dxa"/>
              <w:right w:w="110" w:type="dxa"/>
            </w:tcMar>
          </w:tcPr>
          <w:p w14:paraId="77ABE585" w14:textId="77777777" w:rsidR="002A00B7" w:rsidRDefault="005453ED">
            <w:pPr>
              <w:spacing w:line="262" w:lineRule="auto"/>
            </w:pPr>
            <w:r>
              <w:rPr>
                <w:b/>
                <w:bCs/>
                <w:sz w:val="18"/>
                <w:szCs w:val="18"/>
              </w:rPr>
              <w:t>Evidence gathering</w:t>
            </w:r>
          </w:p>
        </w:tc>
        <w:tc>
          <w:tcPr>
            <w:tcW w:w="3560" w:type="dxa"/>
            <w:shd w:val="clear" w:color="auto" w:fill="FFFFFF"/>
            <w:tcMar>
              <w:top w:w="70" w:type="dxa"/>
              <w:left w:w="110" w:type="dxa"/>
              <w:bottom w:w="70" w:type="dxa"/>
              <w:right w:w="110" w:type="dxa"/>
            </w:tcMar>
          </w:tcPr>
          <w:p w14:paraId="189120B8" w14:textId="77777777" w:rsidR="002A00B7" w:rsidRDefault="005453ED">
            <w:pPr>
              <w:spacing w:line="262" w:lineRule="auto"/>
            </w:pPr>
            <w:r>
              <w:rPr>
                <w:sz w:val="18"/>
                <w:szCs w:val="18"/>
              </w:rPr>
              <w:t>Securing and preserving the documentary and other record.</w:t>
            </w:r>
          </w:p>
        </w:tc>
        <w:tc>
          <w:tcPr>
            <w:tcW w:w="3600" w:type="dxa"/>
            <w:shd w:val="clear" w:color="auto" w:fill="FFFFFF"/>
            <w:tcMar>
              <w:top w:w="70" w:type="dxa"/>
              <w:left w:w="110" w:type="dxa"/>
              <w:bottom w:w="70" w:type="dxa"/>
              <w:right w:w="110" w:type="dxa"/>
            </w:tcMar>
          </w:tcPr>
          <w:p w14:paraId="12A100FF" w14:textId="77777777" w:rsidR="002A00B7" w:rsidRDefault="005453ED">
            <w:pPr>
              <w:spacing w:line="262" w:lineRule="auto"/>
            </w:pPr>
            <w:r>
              <w:rPr>
                <w:sz w:val="18"/>
                <w:szCs w:val="18"/>
              </w:rPr>
              <w:t>Reconstructing from thin, informal, or disputed records.</w:t>
            </w:r>
          </w:p>
        </w:tc>
      </w:tr>
      <w:tr w:rsidR="002A00B7" w14:paraId="5166719C" w14:textId="77777777">
        <w:tblPrEx>
          <w:tblCellMar>
            <w:top w:w="0" w:type="dxa"/>
            <w:bottom w:w="0" w:type="dxa"/>
          </w:tblCellMar>
        </w:tblPrEx>
        <w:tc>
          <w:tcPr>
            <w:tcW w:w="2200" w:type="dxa"/>
            <w:shd w:val="clear" w:color="auto" w:fill="EAF1EC"/>
            <w:tcMar>
              <w:top w:w="70" w:type="dxa"/>
              <w:left w:w="110" w:type="dxa"/>
              <w:bottom w:w="70" w:type="dxa"/>
              <w:right w:w="110" w:type="dxa"/>
            </w:tcMar>
          </w:tcPr>
          <w:p w14:paraId="0B4D2E56" w14:textId="77777777" w:rsidR="002A00B7" w:rsidRDefault="005453ED">
            <w:pPr>
              <w:spacing w:line="262" w:lineRule="auto"/>
            </w:pPr>
            <w:r>
              <w:rPr>
                <w:b/>
                <w:bCs/>
                <w:sz w:val="18"/>
                <w:szCs w:val="18"/>
              </w:rPr>
              <w:t>Analysis</w:t>
            </w:r>
          </w:p>
        </w:tc>
        <w:tc>
          <w:tcPr>
            <w:tcW w:w="3560" w:type="dxa"/>
            <w:shd w:val="clear" w:color="auto" w:fill="EAF1EC"/>
            <w:tcMar>
              <w:top w:w="70" w:type="dxa"/>
              <w:left w:w="110" w:type="dxa"/>
              <w:bottom w:w="70" w:type="dxa"/>
              <w:right w:w="110" w:type="dxa"/>
            </w:tcMar>
          </w:tcPr>
          <w:p w14:paraId="2AF75363" w14:textId="77777777" w:rsidR="002A00B7" w:rsidRDefault="005453ED">
            <w:pPr>
              <w:spacing w:line="262" w:lineRule="auto"/>
            </w:pPr>
            <w:r>
              <w:rPr>
                <w:sz w:val="18"/>
                <w:szCs w:val="18"/>
              </w:rPr>
              <w:t>Establishing cause and, where relevant, delay and quantum.</w:t>
            </w:r>
          </w:p>
        </w:tc>
        <w:tc>
          <w:tcPr>
            <w:tcW w:w="3600" w:type="dxa"/>
            <w:shd w:val="clear" w:color="auto" w:fill="EAF1EC"/>
            <w:tcMar>
              <w:top w:w="70" w:type="dxa"/>
              <w:left w:w="110" w:type="dxa"/>
              <w:bottom w:w="70" w:type="dxa"/>
              <w:right w:w="110" w:type="dxa"/>
            </w:tcMar>
          </w:tcPr>
          <w:p w14:paraId="6D46D501" w14:textId="77777777" w:rsidR="002A00B7" w:rsidRDefault="005453ED">
            <w:pPr>
              <w:spacing w:line="262" w:lineRule="auto"/>
            </w:pPr>
            <w:r>
              <w:rPr>
                <w:sz w:val="18"/>
                <w:szCs w:val="18"/>
              </w:rPr>
              <w:t>Untangling intertwined causes; multi-currency loss.</w:t>
            </w:r>
          </w:p>
        </w:tc>
      </w:tr>
      <w:tr w:rsidR="002A00B7" w14:paraId="18B6745F" w14:textId="77777777">
        <w:tblPrEx>
          <w:tblCellMar>
            <w:top w:w="0" w:type="dxa"/>
            <w:bottom w:w="0" w:type="dxa"/>
          </w:tblCellMar>
        </w:tblPrEx>
        <w:tc>
          <w:tcPr>
            <w:tcW w:w="2200" w:type="dxa"/>
            <w:shd w:val="clear" w:color="auto" w:fill="FFFFFF"/>
            <w:tcMar>
              <w:top w:w="70" w:type="dxa"/>
              <w:left w:w="110" w:type="dxa"/>
              <w:bottom w:w="70" w:type="dxa"/>
              <w:right w:w="110" w:type="dxa"/>
            </w:tcMar>
          </w:tcPr>
          <w:p w14:paraId="62215D63" w14:textId="77777777" w:rsidR="002A00B7" w:rsidRDefault="005453ED">
            <w:pPr>
              <w:spacing w:line="262" w:lineRule="auto"/>
            </w:pPr>
            <w:r>
              <w:rPr>
                <w:b/>
                <w:bCs/>
                <w:sz w:val="18"/>
                <w:szCs w:val="18"/>
              </w:rPr>
              <w:t>Findings</w:t>
            </w:r>
          </w:p>
        </w:tc>
        <w:tc>
          <w:tcPr>
            <w:tcW w:w="3560" w:type="dxa"/>
            <w:shd w:val="clear" w:color="auto" w:fill="FFFFFF"/>
            <w:tcMar>
              <w:top w:w="70" w:type="dxa"/>
              <w:left w:w="110" w:type="dxa"/>
              <w:bottom w:w="70" w:type="dxa"/>
              <w:right w:w="110" w:type="dxa"/>
            </w:tcMar>
          </w:tcPr>
          <w:p w14:paraId="35089880" w14:textId="77777777" w:rsidR="002A00B7" w:rsidRDefault="005453ED">
            <w:pPr>
              <w:spacing w:line="262" w:lineRule="auto"/>
            </w:pPr>
            <w:r>
              <w:rPr>
                <w:sz w:val="18"/>
                <w:szCs w:val="18"/>
              </w:rPr>
              <w:t>Reaching conclusions the evidence supports.</w:t>
            </w:r>
          </w:p>
        </w:tc>
        <w:tc>
          <w:tcPr>
            <w:tcW w:w="3600" w:type="dxa"/>
            <w:shd w:val="clear" w:color="auto" w:fill="FFFFFF"/>
            <w:tcMar>
              <w:top w:w="70" w:type="dxa"/>
              <w:left w:w="110" w:type="dxa"/>
              <w:bottom w:w="70" w:type="dxa"/>
              <w:right w:w="110" w:type="dxa"/>
            </w:tcMar>
          </w:tcPr>
          <w:p w14:paraId="25CF31CE" w14:textId="77777777" w:rsidR="002A00B7" w:rsidRDefault="005453ED">
            <w:pPr>
              <w:spacing w:line="262" w:lineRule="auto"/>
            </w:pPr>
            <w:r>
              <w:rPr>
                <w:sz w:val="18"/>
                <w:szCs w:val="18"/>
              </w:rPr>
              <w:t>Claiming only what the record allows; marking the limits.</w:t>
            </w:r>
          </w:p>
        </w:tc>
      </w:tr>
      <w:tr w:rsidR="002A00B7" w14:paraId="061DB5B4" w14:textId="77777777">
        <w:tblPrEx>
          <w:tblCellMar>
            <w:top w:w="0" w:type="dxa"/>
            <w:bottom w:w="0" w:type="dxa"/>
          </w:tblCellMar>
        </w:tblPrEx>
        <w:tc>
          <w:tcPr>
            <w:tcW w:w="2200" w:type="dxa"/>
            <w:shd w:val="clear" w:color="auto" w:fill="EAF1EC"/>
            <w:tcMar>
              <w:top w:w="70" w:type="dxa"/>
              <w:left w:w="110" w:type="dxa"/>
              <w:bottom w:w="70" w:type="dxa"/>
              <w:right w:w="110" w:type="dxa"/>
            </w:tcMar>
          </w:tcPr>
          <w:p w14:paraId="2A9B0D65" w14:textId="77777777" w:rsidR="002A00B7" w:rsidRDefault="005453ED">
            <w:pPr>
              <w:spacing w:line="262" w:lineRule="auto"/>
            </w:pPr>
            <w:r>
              <w:rPr>
                <w:b/>
                <w:bCs/>
                <w:sz w:val="18"/>
                <w:szCs w:val="18"/>
              </w:rPr>
              <w:t>Report</w:t>
            </w:r>
          </w:p>
        </w:tc>
        <w:tc>
          <w:tcPr>
            <w:tcW w:w="3560" w:type="dxa"/>
            <w:shd w:val="clear" w:color="auto" w:fill="EAF1EC"/>
            <w:tcMar>
              <w:top w:w="70" w:type="dxa"/>
              <w:left w:w="110" w:type="dxa"/>
              <w:bottom w:w="70" w:type="dxa"/>
              <w:right w:w="110" w:type="dxa"/>
            </w:tcMar>
          </w:tcPr>
          <w:p w14:paraId="195DADF7" w14:textId="77777777" w:rsidR="002A00B7" w:rsidRDefault="005453ED">
            <w:pPr>
              <w:spacing w:line="262" w:lineRule="auto"/>
            </w:pPr>
            <w:r>
              <w:rPr>
                <w:sz w:val="18"/>
                <w:szCs w:val="18"/>
              </w:rPr>
              <w:t>Setting out the findings clearly and defensibly.</w:t>
            </w:r>
          </w:p>
        </w:tc>
        <w:tc>
          <w:tcPr>
            <w:tcW w:w="3600" w:type="dxa"/>
            <w:shd w:val="clear" w:color="auto" w:fill="EAF1EC"/>
            <w:tcMar>
              <w:top w:w="70" w:type="dxa"/>
              <w:left w:w="110" w:type="dxa"/>
              <w:bottom w:w="70" w:type="dxa"/>
              <w:right w:w="110" w:type="dxa"/>
            </w:tcMar>
          </w:tcPr>
          <w:p w14:paraId="39E7A124" w14:textId="77777777" w:rsidR="002A00B7" w:rsidRDefault="005453ED">
            <w:pPr>
              <w:spacing w:line="262" w:lineRule="auto"/>
            </w:pPr>
            <w:r>
              <w:rPr>
                <w:sz w:val="18"/>
                <w:szCs w:val="18"/>
              </w:rPr>
              <w:t>Distinguishing fact, assumption, and opinion throughout.</w:t>
            </w:r>
          </w:p>
        </w:tc>
      </w:tr>
      <w:tr w:rsidR="002A00B7" w14:paraId="69F072ED" w14:textId="77777777">
        <w:tblPrEx>
          <w:tblCellMar>
            <w:top w:w="0" w:type="dxa"/>
            <w:bottom w:w="0" w:type="dxa"/>
          </w:tblCellMar>
        </w:tblPrEx>
        <w:tc>
          <w:tcPr>
            <w:tcW w:w="2200" w:type="dxa"/>
            <w:shd w:val="clear" w:color="auto" w:fill="FFFFFF"/>
            <w:tcMar>
              <w:top w:w="70" w:type="dxa"/>
              <w:left w:w="110" w:type="dxa"/>
              <w:bottom w:w="70" w:type="dxa"/>
              <w:right w:w="110" w:type="dxa"/>
            </w:tcMar>
          </w:tcPr>
          <w:p w14:paraId="3CD062C7" w14:textId="77777777" w:rsidR="002A00B7" w:rsidRDefault="005453ED">
            <w:pPr>
              <w:spacing w:line="262" w:lineRule="auto"/>
            </w:pPr>
            <w:r>
              <w:rPr>
                <w:b/>
                <w:bCs/>
                <w:sz w:val="18"/>
                <w:szCs w:val="18"/>
              </w:rPr>
              <w:t>Testimony</w:t>
            </w:r>
          </w:p>
        </w:tc>
        <w:tc>
          <w:tcPr>
            <w:tcW w:w="3560" w:type="dxa"/>
            <w:shd w:val="clear" w:color="auto" w:fill="FFFFFF"/>
            <w:tcMar>
              <w:top w:w="70" w:type="dxa"/>
              <w:left w:w="110" w:type="dxa"/>
              <w:bottom w:w="70" w:type="dxa"/>
              <w:right w:w="110" w:type="dxa"/>
            </w:tcMar>
          </w:tcPr>
          <w:p w14:paraId="216A4276" w14:textId="77777777" w:rsidR="002A00B7" w:rsidRDefault="005453ED">
            <w:pPr>
              <w:spacing w:line="262" w:lineRule="auto"/>
            </w:pPr>
            <w:r>
              <w:rPr>
                <w:sz w:val="18"/>
                <w:szCs w:val="18"/>
              </w:rPr>
              <w:t>Giving and defending evidence in the forum.</w:t>
            </w:r>
          </w:p>
        </w:tc>
        <w:tc>
          <w:tcPr>
            <w:tcW w:w="3600" w:type="dxa"/>
            <w:shd w:val="clear" w:color="auto" w:fill="FFFFFF"/>
            <w:tcMar>
              <w:top w:w="70" w:type="dxa"/>
              <w:left w:w="110" w:type="dxa"/>
              <w:bottom w:w="70" w:type="dxa"/>
              <w:right w:w="110" w:type="dxa"/>
            </w:tcMar>
          </w:tcPr>
          <w:p w14:paraId="04847E5D" w14:textId="77777777" w:rsidR="002A00B7" w:rsidRDefault="005453ED">
            <w:pPr>
              <w:spacing w:line="262" w:lineRule="auto"/>
            </w:pPr>
            <w:r>
              <w:rPr>
                <w:sz w:val="18"/>
                <w:szCs w:val="18"/>
              </w:rPr>
              <w:t xml:space="preserve">Serving the </w:t>
            </w:r>
            <w:proofErr w:type="gramStart"/>
            <w:r>
              <w:rPr>
                <w:sz w:val="18"/>
                <w:szCs w:val="18"/>
              </w:rPr>
              <w:t>tribunal, and</w:t>
            </w:r>
            <w:proofErr w:type="gramEnd"/>
            <w:r>
              <w:rPr>
                <w:sz w:val="18"/>
                <w:szCs w:val="18"/>
              </w:rPr>
              <w:t xml:space="preserve"> holding under challenge.</w:t>
            </w:r>
          </w:p>
        </w:tc>
      </w:tr>
    </w:tbl>
    <w:p w14:paraId="4875D054" w14:textId="77777777" w:rsidR="002A00B7" w:rsidRDefault="002A00B7">
      <w:pPr>
        <w:spacing w:after="40"/>
      </w:pPr>
    </w:p>
    <w:p w14:paraId="6AC6055F" w14:textId="77777777" w:rsidR="002A00B7" w:rsidRDefault="005453ED">
      <w:pPr>
        <w:spacing w:after="160" w:line="348" w:lineRule="auto"/>
        <w:jc w:val="both"/>
      </w:pPr>
      <w:r>
        <w:t xml:space="preserve">Two features run through the arc. Independence must </w:t>
      </w:r>
      <w:proofErr w:type="gramStart"/>
      <w:r>
        <w:t>hold</w:t>
      </w:r>
      <w:proofErr w:type="gramEnd"/>
      <w:r>
        <w:t xml:space="preserve"> at every stage, most of all where the findings are unwelcome to a powerful party. And the evidentiary standard governs throughout, because a report is only as strong as the evidence it can show, and testimony only as strong as the report it rests on.</w:t>
      </w:r>
    </w:p>
    <w:p w14:paraId="49C90C11" w14:textId="77777777" w:rsidR="002A00B7" w:rsidRDefault="005453ED">
      <w:r>
        <w:br w:type="page"/>
      </w:r>
    </w:p>
    <w:p w14:paraId="40E0BA13" w14:textId="77777777" w:rsidR="002A00B7" w:rsidRDefault="005453ED">
      <w:pPr>
        <w:pStyle w:val="Heading1"/>
        <w:spacing w:before="300" w:after="150"/>
      </w:pPr>
      <w:r>
        <w:lastRenderedPageBreak/>
        <w:t>Part Five  |  Professional Competence</w:t>
      </w:r>
    </w:p>
    <w:p w14:paraId="084F32D6" w14:textId="77777777" w:rsidR="002A00B7" w:rsidRDefault="002A00B7">
      <w:pPr>
        <w:pBdr>
          <w:bottom w:val="single" w:sz="8" w:space="1" w:color="C47B0B"/>
        </w:pBdr>
        <w:spacing w:before="60" w:after="160"/>
      </w:pPr>
    </w:p>
    <w:p w14:paraId="615DFD9A" w14:textId="77777777" w:rsidR="002A00B7" w:rsidRDefault="005453ED">
      <w:pPr>
        <w:spacing w:after="160" w:line="348" w:lineRule="auto"/>
        <w:jc w:val="both"/>
      </w:pPr>
      <w:r>
        <w:t xml:space="preserve">Forensic work is done by a person, and the person’s professional competence determines whether the methods </w:t>
      </w:r>
      <w:proofErr w:type="gramStart"/>
      <w:r>
        <w:t>hold</w:t>
      </w:r>
      <w:proofErr w:type="gramEnd"/>
      <w:r>
        <w:t xml:space="preserve"> when they are tested. The competent examiner combines the domains of Part Three with a set of qualities the work demands.</w:t>
      </w:r>
    </w:p>
    <w:p w14:paraId="6DD6F02F" w14:textId="77777777" w:rsidR="002A00B7" w:rsidRDefault="005453ED">
      <w:pPr>
        <w:pStyle w:val="Heading3"/>
        <w:spacing w:before="210" w:after="90"/>
      </w:pPr>
      <w:r>
        <w:t>Professional and behavioural competence</w:t>
      </w:r>
    </w:p>
    <w:p w14:paraId="69C922D9" w14:textId="77777777" w:rsidR="002A00B7" w:rsidRDefault="005453ED">
      <w:pPr>
        <w:pStyle w:val="ListParagraph"/>
        <w:numPr>
          <w:ilvl w:val="0"/>
          <w:numId w:val="2"/>
        </w:numPr>
        <w:spacing w:after="100" w:line="338" w:lineRule="auto"/>
        <w:jc w:val="both"/>
      </w:pPr>
      <w:r>
        <w:rPr>
          <w:b/>
          <w:bCs/>
          <w:color w:val="C47B0B"/>
        </w:rPr>
        <w:t xml:space="preserve">Forensic rigour. </w:t>
      </w:r>
      <w:r>
        <w:t>The discipline to build an account that will withstand challenge, on evidence whose provenance can be shown.</w:t>
      </w:r>
    </w:p>
    <w:p w14:paraId="644ACEB3" w14:textId="77777777" w:rsidR="002A00B7" w:rsidRDefault="005453ED">
      <w:pPr>
        <w:pStyle w:val="ListParagraph"/>
        <w:numPr>
          <w:ilvl w:val="0"/>
          <w:numId w:val="2"/>
        </w:numPr>
        <w:spacing w:after="100" w:line="338" w:lineRule="auto"/>
        <w:jc w:val="both"/>
      </w:pPr>
      <w:r>
        <w:rPr>
          <w:b/>
          <w:bCs/>
          <w:color w:val="C47B0B"/>
        </w:rPr>
        <w:t xml:space="preserve">Causal reasoning. </w:t>
      </w:r>
      <w:r>
        <w:t>The ability to establish causation through intertwined causes without overreaching what the evidence supports.</w:t>
      </w:r>
    </w:p>
    <w:p w14:paraId="24E88A23" w14:textId="77777777" w:rsidR="002A00B7" w:rsidRDefault="005453ED">
      <w:pPr>
        <w:pStyle w:val="ListParagraph"/>
        <w:numPr>
          <w:ilvl w:val="0"/>
          <w:numId w:val="2"/>
        </w:numPr>
        <w:spacing w:after="100" w:line="338" w:lineRule="auto"/>
        <w:jc w:val="both"/>
      </w:pPr>
      <w:r>
        <w:rPr>
          <w:b/>
          <w:bCs/>
          <w:color w:val="C47B0B"/>
        </w:rPr>
        <w:t xml:space="preserve">Evidential discipline. </w:t>
      </w:r>
      <w:r>
        <w:t>The care to gather, preserve, and handle evidence so that findings can be traced to it and defended.</w:t>
      </w:r>
    </w:p>
    <w:p w14:paraId="080823C8" w14:textId="77777777" w:rsidR="002A00B7" w:rsidRDefault="005453ED">
      <w:pPr>
        <w:pStyle w:val="ListParagraph"/>
        <w:numPr>
          <w:ilvl w:val="0"/>
          <w:numId w:val="2"/>
        </w:numPr>
        <w:spacing w:after="100" w:line="338" w:lineRule="auto"/>
        <w:jc w:val="both"/>
      </w:pPr>
      <w:r>
        <w:rPr>
          <w:b/>
          <w:bCs/>
          <w:color w:val="C47B0B"/>
        </w:rPr>
        <w:t xml:space="preserve">Independence. </w:t>
      </w:r>
      <w:r>
        <w:t>The firmness to establish and report what happened whoever it implicates, and to serve the tribunal above the party who pays.</w:t>
      </w:r>
    </w:p>
    <w:p w14:paraId="3B515293" w14:textId="77777777" w:rsidR="002A00B7" w:rsidRDefault="005453ED">
      <w:pPr>
        <w:pStyle w:val="ListParagraph"/>
        <w:numPr>
          <w:ilvl w:val="0"/>
          <w:numId w:val="2"/>
        </w:numPr>
        <w:spacing w:after="100" w:line="338" w:lineRule="auto"/>
        <w:jc w:val="both"/>
      </w:pPr>
      <w:r>
        <w:rPr>
          <w:b/>
          <w:bCs/>
          <w:color w:val="C47B0B"/>
        </w:rPr>
        <w:t xml:space="preserve">Clarity under challenge. </w:t>
      </w:r>
      <w:r>
        <w:t>The skill to write and defend findings that hold up when they are tested by those with every reason to break them.</w:t>
      </w:r>
    </w:p>
    <w:p w14:paraId="39D99D9B" w14:textId="77777777" w:rsidR="002A00B7" w:rsidRDefault="005453ED">
      <w:pPr>
        <w:pStyle w:val="Heading3"/>
        <w:spacing w:before="210" w:after="90"/>
      </w:pPr>
      <w:r>
        <w:t>Building only what the evidence supports</w:t>
      </w:r>
    </w:p>
    <w:p w14:paraId="6C8012BB" w14:textId="77777777" w:rsidR="002A00B7" w:rsidRDefault="005453ED">
      <w:pPr>
        <w:spacing w:after="160" w:line="348" w:lineRule="auto"/>
        <w:jc w:val="both"/>
      </w:pPr>
      <w:r>
        <w:t xml:space="preserve">Above the </w:t>
      </w:r>
      <w:proofErr w:type="gramStart"/>
      <w:r>
        <w:t>particular skills</w:t>
      </w:r>
      <w:proofErr w:type="gramEnd"/>
      <w:r>
        <w:t xml:space="preserve"> sits a discipline that defines the forensic examiner: the refusal to claim more than the evidence allows. The temptation, always, is to reach the conclusion the instructing party wants, or the tidy single cause. The examiner’s worth lies in resisting it, and in establishing, to a standard that will hold, only what </w:t>
      </w:r>
      <w:proofErr w:type="gramStart"/>
      <w:r>
        <w:t>actually happened</w:t>
      </w:r>
      <w:proofErr w:type="gramEnd"/>
      <w:r>
        <w:t>.</w:t>
      </w:r>
    </w:p>
    <w:p w14:paraId="085B7E75" w14:textId="77777777" w:rsidR="002A00B7" w:rsidRDefault="005453ED">
      <w:r>
        <w:br w:type="page"/>
      </w:r>
    </w:p>
    <w:p w14:paraId="390EFEFC" w14:textId="77777777" w:rsidR="002A00B7" w:rsidRDefault="005453ED">
      <w:pPr>
        <w:pStyle w:val="Heading1"/>
        <w:spacing w:before="300" w:after="150"/>
      </w:pPr>
      <w:r>
        <w:lastRenderedPageBreak/>
        <w:t>Part Six  |  Applying and Tailoring the Framework</w:t>
      </w:r>
    </w:p>
    <w:p w14:paraId="0F58D108" w14:textId="77777777" w:rsidR="002A00B7" w:rsidRDefault="002A00B7">
      <w:pPr>
        <w:pBdr>
          <w:bottom w:val="single" w:sz="8" w:space="1" w:color="C47B0B"/>
        </w:pBdr>
        <w:spacing w:before="60" w:after="160"/>
      </w:pPr>
    </w:p>
    <w:p w14:paraId="5D57DE52" w14:textId="77777777" w:rsidR="002A00B7" w:rsidRDefault="005453ED">
      <w:pPr>
        <w:pStyle w:val="Heading2"/>
        <w:spacing w:before="270" w:after="110"/>
      </w:pPr>
      <w:r>
        <w:t>6.1  Tailoring to the case and the forum</w:t>
      </w:r>
    </w:p>
    <w:p w14:paraId="0EF8D565" w14:textId="77777777" w:rsidR="002A00B7" w:rsidRDefault="005453ED">
      <w:pPr>
        <w:spacing w:after="160" w:line="348" w:lineRule="auto"/>
        <w:jc w:val="both"/>
      </w:pPr>
      <w:r>
        <w:t xml:space="preserve">No two investigations are the same, and the framework is focused </w:t>
      </w:r>
      <w:proofErr w:type="gramStart"/>
      <w:r>
        <w:t>by</w:t>
      </w:r>
      <w:proofErr w:type="gramEnd"/>
      <w:r>
        <w:t xml:space="preserve"> reading which contextual pressures produced the failure and which forum the findings must serve. An investigation of a stalled donor project turns on funding and consent; a construction dispute headed for international arbitration turns on delay, quantum, and the contract. The examiner reads the case against the six contextual dimensions and shapes the investigation and the report to the forum that will test them.</w:t>
      </w:r>
    </w:p>
    <w:p w14:paraId="7B1F42DA" w14:textId="77777777" w:rsidR="002A00B7" w:rsidRDefault="005453ED">
      <w:pPr>
        <w:pStyle w:val="Heading2"/>
        <w:spacing w:before="270" w:after="110"/>
      </w:pPr>
      <w:r>
        <w:t xml:space="preserve">6.2  Relationship </w:t>
      </w:r>
      <w:proofErr w:type="gramStart"/>
      <w:r>
        <w:t>to</w:t>
      </w:r>
      <w:proofErr w:type="gramEnd"/>
      <w:r>
        <w:t xml:space="preserve"> the CPFE credential</w:t>
      </w:r>
    </w:p>
    <w:p w14:paraId="7954AA1D" w14:textId="77777777" w:rsidR="002A00B7" w:rsidRDefault="005453ED">
      <w:pPr>
        <w:spacing w:after="160" w:line="348" w:lineRule="auto"/>
        <w:jc w:val="both"/>
      </w:pPr>
      <w:r>
        <w:t>This framework is the body of knowledge that the Certified Project Forensic Examiner is examined against. The contextual foundation and the knowledge domains define what a candidate must understand, and the professional competences define how they must apply it. The credential certifies that a practitioner can investigate to this standard and produce findings that will hold.</w:t>
      </w:r>
    </w:p>
    <w:p w14:paraId="400F23BB" w14:textId="77777777" w:rsidR="002A00B7" w:rsidRDefault="005453ED">
      <w:pPr>
        <w:pStyle w:val="Heading2"/>
        <w:spacing w:before="270" w:after="110"/>
      </w:pPr>
      <w:r>
        <w:t>6.3  The loop back to assurance and delivery</w:t>
      </w:r>
    </w:p>
    <w:p w14:paraId="1FDA86E4" w14:textId="77777777" w:rsidR="002A00B7" w:rsidRDefault="005453ED">
      <w:pPr>
        <w:spacing w:after="160" w:line="348" w:lineRule="auto"/>
        <w:jc w:val="both"/>
      </w:pPr>
      <w:r>
        <w:t>Forensic work is the surest source of knowledge about why projects fail, and the Institute treats it as such. The lessons of investigation flow back into the assurance framework, teaching it where to look, and into the delivery body of knowledge, showing where failure begins. The discipline that establishes the truth of past failure is, in the end, how the profession learns to prevent it.</w:t>
      </w:r>
    </w:p>
    <w:p w14:paraId="1D759705" w14:textId="77777777" w:rsidR="002A00B7" w:rsidRDefault="005453ED">
      <w:r>
        <w:br w:type="page"/>
      </w:r>
    </w:p>
    <w:p w14:paraId="432F6B84" w14:textId="77777777" w:rsidR="002A00B7" w:rsidRDefault="005453ED">
      <w:pPr>
        <w:pStyle w:val="Heading1"/>
        <w:spacing w:before="300" w:after="150"/>
      </w:pPr>
      <w:r>
        <w:lastRenderedPageBreak/>
        <w:t>The Truth a Project Leaves Behind</w:t>
      </w:r>
    </w:p>
    <w:p w14:paraId="0D3C727C" w14:textId="77777777" w:rsidR="002A00B7" w:rsidRDefault="002A00B7">
      <w:pPr>
        <w:pBdr>
          <w:bottom w:val="single" w:sz="8" w:space="1" w:color="C47B0B"/>
        </w:pBdr>
        <w:spacing w:before="60" w:after="160"/>
      </w:pPr>
    </w:p>
    <w:p w14:paraId="6300B61E" w14:textId="77777777" w:rsidR="002A00B7" w:rsidRDefault="005453ED">
      <w:pPr>
        <w:spacing w:after="160" w:line="348" w:lineRule="auto"/>
        <w:jc w:val="both"/>
      </w:pPr>
      <w:r>
        <w:t>When an African project fails, a great deal is usually lost, and the truth of why is too often lost with it, buried under contested accounts and thin records, or settled by whoever argues hardest. Forensic investigation exists to recover that truth, to a standard that will hold, so that responsibility can be established, loss can be fairly assessed, and the lesson is not lost as well.</w:t>
      </w:r>
    </w:p>
    <w:p w14:paraId="2D578A25" w14:textId="77777777" w:rsidR="002A00B7" w:rsidRDefault="005453ED">
      <w:pPr>
        <w:spacing w:after="160" w:line="348" w:lineRule="auto"/>
        <w:jc w:val="both"/>
      </w:pPr>
      <w:r>
        <w:t xml:space="preserve">This framework offers forensic practice written from African conditions: honest about incomplete records, rigorous about causation, careful about quantum across currencies, and independent whoever the findings implicate. It is a beginning, and as it is used and improved it will become the reference that African forensic examiners can recognise as written for the cases they </w:t>
      </w:r>
      <w:proofErr w:type="gramStart"/>
      <w:r>
        <w:t>actually investigate</w:t>
      </w:r>
      <w:proofErr w:type="gramEnd"/>
      <w:r>
        <w:t>.</w:t>
      </w:r>
    </w:p>
    <w:p w14:paraId="125B80D7" w14:textId="77777777" w:rsidR="002A00B7" w:rsidRDefault="005453ED">
      <w:pPr>
        <w:spacing w:before="240" w:after="120"/>
        <w:jc w:val="center"/>
      </w:pPr>
      <w:r>
        <w:rPr>
          <w:b/>
          <w:bCs/>
          <w:i/>
          <w:iCs/>
          <w:color w:val="1A5C2A"/>
        </w:rPr>
        <w:t>Follow the evidence. Establish the truth.</w:t>
      </w:r>
    </w:p>
    <w:p w14:paraId="5B6A71F3" w14:textId="77777777" w:rsidR="002A00B7" w:rsidRDefault="002A00B7">
      <w:pPr>
        <w:pBdr>
          <w:bottom w:val="single" w:sz="8" w:space="1" w:color="C47B0B"/>
        </w:pBdr>
        <w:spacing w:before="60" w:after="160"/>
      </w:pPr>
    </w:p>
    <w:p w14:paraId="1DA259CF" w14:textId="77777777" w:rsidR="002A00B7" w:rsidRDefault="005453ED">
      <w:pPr>
        <w:spacing w:before="150"/>
      </w:pPr>
      <w:r>
        <w:rPr>
          <w:b/>
          <w:bCs/>
          <w:sz w:val="20"/>
          <w:szCs w:val="20"/>
        </w:rPr>
        <w:t>African Institute of Project Assurance and Forensics (AIPAF)</w:t>
      </w:r>
    </w:p>
    <w:p w14:paraId="785C2E91" w14:textId="77777777" w:rsidR="002A00B7" w:rsidRDefault="005453ED">
      <w:r>
        <w:rPr>
          <w:color w:val="4D4D4D"/>
          <w:sz w:val="19"/>
          <w:szCs w:val="19"/>
        </w:rPr>
        <w:t>The Project Forensics Body of Knowledge: A Framework  •  Edition 2026</w:t>
      </w:r>
    </w:p>
    <w:sectPr w:rsidR="002A00B7">
      <w:headerReference w:type="default" r:id="rId7"/>
      <w:footerReference w:type="default" r:id="rId8"/>
      <w:pgSz w:w="11906" w:h="16838"/>
      <w:pgMar w:top="1440" w:right="1273" w:bottom="1440" w:left="127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5215F" w14:textId="77777777" w:rsidR="005453ED" w:rsidRDefault="005453ED">
      <w:r>
        <w:separator/>
      </w:r>
    </w:p>
  </w:endnote>
  <w:endnote w:type="continuationSeparator" w:id="0">
    <w:p w14:paraId="3AEC7AFD" w14:textId="77777777" w:rsidR="005453ED" w:rsidRDefault="005453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84168" w14:textId="77777777" w:rsidR="002A00B7" w:rsidRDefault="005453ED">
    <w:pPr>
      <w:pBdr>
        <w:top w:val="single" w:sz="4" w:space="4" w:color="C47B0B"/>
      </w:pBdr>
      <w:jc w:val="center"/>
    </w:pPr>
    <w:r>
      <w:rPr>
        <w:color w:val="4D4D4D"/>
        <w:sz w:val="15"/>
        <w:szCs w:val="15"/>
      </w:rPr>
      <w:t xml:space="preserve">AIPAF  •  Forensics Body of Knowledge 2026  •  </w:t>
    </w:r>
    <w:r>
      <w:rPr>
        <w:color w:val="4D4D4D"/>
        <w:sz w:val="15"/>
        <w:szCs w:val="15"/>
      </w:rPr>
      <w:fldChar w:fldCharType="begin"/>
    </w:r>
    <w:r>
      <w:rPr>
        <w:color w:val="4D4D4D"/>
        <w:sz w:val="15"/>
        <w:szCs w:val="15"/>
      </w:rPr>
      <w:instrText>PAGE</w:instrText>
    </w:r>
    <w:r>
      <w:rPr>
        <w:color w:val="4D4D4D"/>
        <w:sz w:val="15"/>
        <w:szCs w:val="15"/>
      </w:rPr>
      <w:fldChar w:fldCharType="separate"/>
    </w:r>
    <w:r w:rsidR="000E34BC">
      <w:rPr>
        <w:noProof/>
        <w:color w:val="4D4D4D"/>
        <w:sz w:val="15"/>
        <w:szCs w:val="15"/>
      </w:rPr>
      <w:t>1</w:t>
    </w:r>
    <w:r>
      <w:rPr>
        <w:color w:val="4D4D4D"/>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65C1E" w14:textId="77777777" w:rsidR="005453ED" w:rsidRDefault="005453ED">
      <w:r>
        <w:separator/>
      </w:r>
    </w:p>
  </w:footnote>
  <w:footnote w:type="continuationSeparator" w:id="0">
    <w:p w14:paraId="47469474" w14:textId="77777777" w:rsidR="005453ED" w:rsidRDefault="005453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45407" w14:textId="77777777" w:rsidR="002A00B7" w:rsidRDefault="005453ED">
    <w:pPr>
      <w:pBdr>
        <w:bottom w:val="single" w:sz="4" w:space="4" w:color="C47B0B"/>
      </w:pBdr>
      <w:jc w:val="right"/>
    </w:pPr>
    <w:r>
      <w:rPr>
        <w:b/>
        <w:bCs/>
        <w:color w:val="1A5C2A"/>
        <w:sz w:val="15"/>
        <w:szCs w:val="15"/>
      </w:rPr>
      <w:t>The Project Forensics Body of Knowledge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447263"/>
    <w:multiLevelType w:val="hybridMultilevel"/>
    <w:tmpl w:val="41C0F398"/>
    <w:lvl w:ilvl="0" w:tplc="90CA3B42">
      <w:start w:val="1"/>
      <w:numFmt w:val="bullet"/>
      <w:lvlText w:val="•"/>
      <w:lvlJc w:val="left"/>
      <w:pPr>
        <w:ind w:left="360" w:hanging="220"/>
      </w:pPr>
      <w:rPr>
        <w:color w:val="C47B0B"/>
      </w:rPr>
    </w:lvl>
    <w:lvl w:ilvl="1" w:tplc="BD62E4B6">
      <w:numFmt w:val="decimal"/>
      <w:lvlText w:val=""/>
      <w:lvlJc w:val="left"/>
    </w:lvl>
    <w:lvl w:ilvl="2" w:tplc="B136F6A8">
      <w:numFmt w:val="decimal"/>
      <w:lvlText w:val=""/>
      <w:lvlJc w:val="left"/>
    </w:lvl>
    <w:lvl w:ilvl="3" w:tplc="1C4049EA">
      <w:numFmt w:val="decimal"/>
      <w:lvlText w:val=""/>
      <w:lvlJc w:val="left"/>
    </w:lvl>
    <w:lvl w:ilvl="4" w:tplc="23C6CCF8">
      <w:numFmt w:val="decimal"/>
      <w:lvlText w:val=""/>
      <w:lvlJc w:val="left"/>
    </w:lvl>
    <w:lvl w:ilvl="5" w:tplc="D668F68E">
      <w:numFmt w:val="decimal"/>
      <w:lvlText w:val=""/>
      <w:lvlJc w:val="left"/>
    </w:lvl>
    <w:lvl w:ilvl="6" w:tplc="2682990A">
      <w:numFmt w:val="decimal"/>
      <w:lvlText w:val=""/>
      <w:lvlJc w:val="left"/>
    </w:lvl>
    <w:lvl w:ilvl="7" w:tplc="7EB69DBC">
      <w:numFmt w:val="decimal"/>
      <w:lvlText w:val=""/>
      <w:lvlJc w:val="left"/>
    </w:lvl>
    <w:lvl w:ilvl="8" w:tplc="C242E870">
      <w:numFmt w:val="decimal"/>
      <w:lvlText w:val=""/>
      <w:lvlJc w:val="left"/>
    </w:lvl>
  </w:abstractNum>
  <w:abstractNum w:abstractNumId="1" w15:restartNumberingAfterBreak="0">
    <w:nsid w:val="7F040F84"/>
    <w:multiLevelType w:val="hybridMultilevel"/>
    <w:tmpl w:val="B7A48266"/>
    <w:lvl w:ilvl="0" w:tplc="168C6A56">
      <w:start w:val="1"/>
      <w:numFmt w:val="bullet"/>
      <w:lvlText w:val="●"/>
      <w:lvlJc w:val="left"/>
      <w:pPr>
        <w:ind w:left="720" w:hanging="360"/>
      </w:pPr>
    </w:lvl>
    <w:lvl w:ilvl="1" w:tplc="C0180950">
      <w:start w:val="1"/>
      <w:numFmt w:val="bullet"/>
      <w:lvlText w:val="○"/>
      <w:lvlJc w:val="left"/>
      <w:pPr>
        <w:ind w:left="1440" w:hanging="360"/>
      </w:pPr>
    </w:lvl>
    <w:lvl w:ilvl="2" w:tplc="8D48A34A">
      <w:start w:val="1"/>
      <w:numFmt w:val="bullet"/>
      <w:lvlText w:val="■"/>
      <w:lvlJc w:val="left"/>
      <w:pPr>
        <w:ind w:left="2160" w:hanging="360"/>
      </w:pPr>
    </w:lvl>
    <w:lvl w:ilvl="3" w:tplc="D94E23C6">
      <w:start w:val="1"/>
      <w:numFmt w:val="bullet"/>
      <w:lvlText w:val="●"/>
      <w:lvlJc w:val="left"/>
      <w:pPr>
        <w:ind w:left="2880" w:hanging="360"/>
      </w:pPr>
    </w:lvl>
    <w:lvl w:ilvl="4" w:tplc="CC7EA04A">
      <w:start w:val="1"/>
      <w:numFmt w:val="bullet"/>
      <w:lvlText w:val="○"/>
      <w:lvlJc w:val="left"/>
      <w:pPr>
        <w:ind w:left="3600" w:hanging="360"/>
      </w:pPr>
    </w:lvl>
    <w:lvl w:ilvl="5" w:tplc="E356FEB0">
      <w:start w:val="1"/>
      <w:numFmt w:val="bullet"/>
      <w:lvlText w:val="■"/>
      <w:lvlJc w:val="left"/>
      <w:pPr>
        <w:ind w:left="4320" w:hanging="360"/>
      </w:pPr>
    </w:lvl>
    <w:lvl w:ilvl="6" w:tplc="3E0CA168">
      <w:start w:val="1"/>
      <w:numFmt w:val="bullet"/>
      <w:lvlText w:val="●"/>
      <w:lvlJc w:val="left"/>
      <w:pPr>
        <w:ind w:left="5040" w:hanging="360"/>
      </w:pPr>
    </w:lvl>
    <w:lvl w:ilvl="7" w:tplc="B7666F0A">
      <w:start w:val="1"/>
      <w:numFmt w:val="bullet"/>
      <w:lvlText w:val="●"/>
      <w:lvlJc w:val="left"/>
      <w:pPr>
        <w:ind w:left="5760" w:hanging="360"/>
      </w:pPr>
    </w:lvl>
    <w:lvl w:ilvl="8" w:tplc="632888AC">
      <w:start w:val="1"/>
      <w:numFmt w:val="bullet"/>
      <w:lvlText w:val="●"/>
      <w:lvlJc w:val="left"/>
      <w:pPr>
        <w:ind w:left="6480" w:hanging="360"/>
      </w:pPr>
    </w:lvl>
  </w:abstractNum>
  <w:num w:numId="1" w16cid:durableId="1325474872">
    <w:abstractNumId w:val="1"/>
    <w:lvlOverride w:ilvl="0">
      <w:startOverride w:val="1"/>
    </w:lvlOverride>
  </w:num>
  <w:num w:numId="2" w16cid:durableId="10261807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00B7"/>
    <w:rsid w:val="000E34BC"/>
    <w:rsid w:val="002A00B7"/>
    <w:rsid w:val="005453ED"/>
    <w:rsid w:val="008B04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F8487"/>
  <w15:docId w15:val="{CFB60614-F6F0-4A38-A254-FE7797BCF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A5C2A"/>
      <w:sz w:val="30"/>
      <w:szCs w:val="30"/>
    </w:rPr>
  </w:style>
  <w:style w:type="paragraph" w:styleId="Heading2">
    <w:name w:val="heading 2"/>
    <w:uiPriority w:val="9"/>
    <w:unhideWhenUsed/>
    <w:qFormat/>
    <w:pPr>
      <w:outlineLvl w:val="1"/>
    </w:pPr>
    <w:rPr>
      <w:b/>
      <w:bCs/>
      <w:color w:val="1A5C2A"/>
      <w:sz w:val="26"/>
      <w:szCs w:val="26"/>
    </w:rPr>
  </w:style>
  <w:style w:type="paragraph" w:styleId="Heading3">
    <w:name w:val="heading 3"/>
    <w:uiPriority w:val="9"/>
    <w:unhideWhenUsed/>
    <w:qFormat/>
    <w:pPr>
      <w:outlineLvl w:val="2"/>
    </w:pPr>
    <w:rPr>
      <w:b/>
      <w:bCs/>
      <w:color w:val="C47B0B"/>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2887</Words>
  <Characters>16457</Characters>
  <Application>Microsoft Office Word</Application>
  <DocSecurity>0</DocSecurity>
  <Lines>137</Lines>
  <Paragraphs>38</Paragraphs>
  <ScaleCrop>false</ScaleCrop>
  <Company/>
  <LinksUpToDate>false</LinksUpToDate>
  <CharactersWithSpaces>19306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Forensics Body of Knowledge: A Framework</dc:title>
  <dc:creator>Prof Degi</dc:creator>
  <cp:lastModifiedBy>Prof. De-Graft Owusu-Manu</cp:lastModifiedBy>
  <cp:revision>2</cp:revision>
  <dcterms:created xsi:type="dcterms:W3CDTF">2026-07-09T05:11:00Z</dcterms:created>
  <dcterms:modified xsi:type="dcterms:W3CDTF">2026-07-09T05:11:00Z</dcterms:modified>
</cp:coreProperties>
</file>