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459BF" w14:textId="77777777" w:rsidR="00915518" w:rsidRDefault="00915518">
      <w:pPr>
        <w:spacing w:before="1100"/>
      </w:pPr>
    </w:p>
    <w:p w14:paraId="76B3C83A" w14:textId="77777777" w:rsidR="00915518" w:rsidRDefault="00280CEA">
      <w:pPr>
        <w:spacing w:after="120"/>
        <w:jc w:val="center"/>
      </w:pPr>
      <w:r>
        <w:rPr>
          <w:b/>
          <w:bCs/>
          <w:color w:val="1A5C2A"/>
          <w:spacing w:val="18"/>
          <w:sz w:val="40"/>
          <w:szCs w:val="40"/>
        </w:rPr>
        <w:t>THE AFRICAN CONTEXT</w:t>
      </w:r>
    </w:p>
    <w:p w14:paraId="6A156316" w14:textId="77777777" w:rsidR="00915518" w:rsidRDefault="00280CEA">
      <w:pPr>
        <w:spacing w:after="120"/>
        <w:jc w:val="center"/>
      </w:pPr>
      <w:r>
        <w:rPr>
          <w:b/>
          <w:bCs/>
          <w:color w:val="1A5C2A"/>
          <w:spacing w:val="18"/>
          <w:sz w:val="40"/>
          <w:szCs w:val="40"/>
        </w:rPr>
        <w:t>PROJECT MANAGEMENT</w:t>
      </w:r>
    </w:p>
    <w:p w14:paraId="5187334F" w14:textId="77777777" w:rsidR="00915518" w:rsidRDefault="00280CEA">
      <w:pPr>
        <w:spacing w:after="220"/>
        <w:jc w:val="center"/>
      </w:pPr>
      <w:r>
        <w:rPr>
          <w:b/>
          <w:bCs/>
          <w:color w:val="1A5C2A"/>
          <w:spacing w:val="18"/>
          <w:sz w:val="40"/>
          <w:szCs w:val="40"/>
        </w:rPr>
        <w:t>BODY OF KNOWLEDGE</w:t>
      </w:r>
    </w:p>
    <w:p w14:paraId="4AC84241" w14:textId="77777777" w:rsidR="00915518" w:rsidRDefault="00280CEA">
      <w:pPr>
        <w:pBdr>
          <w:top w:val="single" w:sz="12" w:space="6" w:color="C47B0B"/>
          <w:bottom w:val="single" w:sz="12" w:space="6" w:color="C47B0B"/>
        </w:pBdr>
        <w:spacing w:before="120" w:after="120"/>
        <w:jc w:val="center"/>
      </w:pPr>
      <w:r>
        <w:rPr>
          <w:b/>
          <w:bCs/>
          <w:i/>
          <w:iCs/>
          <w:sz w:val="30"/>
          <w:szCs w:val="30"/>
        </w:rPr>
        <w:t>A Framework</w:t>
      </w:r>
    </w:p>
    <w:p w14:paraId="7FA2884F" w14:textId="77777777" w:rsidR="00915518" w:rsidRDefault="00915518">
      <w:pPr>
        <w:spacing w:before="340"/>
      </w:pPr>
    </w:p>
    <w:p w14:paraId="19543098" w14:textId="77777777" w:rsidR="00915518" w:rsidRDefault="00280CEA">
      <w:pPr>
        <w:spacing w:after="40"/>
        <w:jc w:val="center"/>
      </w:pPr>
      <w:r>
        <w:rPr>
          <w:i/>
          <w:iCs/>
          <w:color w:val="4D4D4D"/>
          <w:sz w:val="22"/>
          <w:szCs w:val="22"/>
        </w:rPr>
        <w:t xml:space="preserve">Delivering projects in the conditions Africa </w:t>
      </w:r>
      <w:proofErr w:type="gramStart"/>
      <w:r>
        <w:rPr>
          <w:i/>
          <w:iCs/>
          <w:color w:val="4D4D4D"/>
          <w:sz w:val="22"/>
          <w:szCs w:val="22"/>
        </w:rPr>
        <w:t>actually presents</w:t>
      </w:r>
      <w:proofErr w:type="gramEnd"/>
    </w:p>
    <w:p w14:paraId="4DD8EE4A" w14:textId="77777777" w:rsidR="00915518" w:rsidRDefault="00280CEA">
      <w:pPr>
        <w:jc w:val="center"/>
      </w:pPr>
      <w:r>
        <w:rPr>
          <w:color w:val="4D4D4D"/>
          <w:sz w:val="19"/>
          <w:szCs w:val="19"/>
        </w:rPr>
        <w:t>The reference framework underpinning the Certified Project Management Practitioner (CPMP)</w:t>
      </w:r>
    </w:p>
    <w:p w14:paraId="163A7A22" w14:textId="77777777" w:rsidR="00915518" w:rsidRDefault="00915518">
      <w:pPr>
        <w:spacing w:before="1100"/>
      </w:pPr>
    </w:p>
    <w:p w14:paraId="5C6C1762" w14:textId="77777777" w:rsidR="00915518" w:rsidRDefault="00280CEA">
      <w:pPr>
        <w:spacing w:after="40"/>
        <w:jc w:val="center"/>
      </w:pPr>
      <w:r>
        <w:rPr>
          <w:b/>
          <w:bCs/>
          <w:color w:val="1A5C2A"/>
          <w:sz w:val="20"/>
          <w:szCs w:val="20"/>
        </w:rPr>
        <w:t>African Institute of Project Assurance and Forensics</w:t>
      </w:r>
    </w:p>
    <w:p w14:paraId="39C9EACF" w14:textId="77777777" w:rsidR="00915518" w:rsidRDefault="00280CEA">
      <w:pPr>
        <w:jc w:val="center"/>
      </w:pPr>
      <w:r>
        <w:rPr>
          <w:color w:val="4D4D4D"/>
          <w:sz w:val="19"/>
          <w:szCs w:val="19"/>
        </w:rPr>
        <w:t>Edition 2026</w:t>
      </w:r>
    </w:p>
    <w:p w14:paraId="1241E9BC" w14:textId="77777777" w:rsidR="00915518" w:rsidRDefault="00280CEA">
      <w:r>
        <w:br w:type="page"/>
      </w:r>
    </w:p>
    <w:p w14:paraId="05B07F4F" w14:textId="77777777" w:rsidR="00915518" w:rsidRDefault="00280CEA">
      <w:pPr>
        <w:pStyle w:val="Heading1"/>
        <w:spacing w:before="320" w:after="150"/>
      </w:pPr>
      <w:r>
        <w:lastRenderedPageBreak/>
        <w:t>Contents</w:t>
      </w:r>
    </w:p>
    <w:p w14:paraId="5F109B0A" w14:textId="77777777" w:rsidR="00915518" w:rsidRDefault="00280CEA">
      <w:pPr>
        <w:spacing w:before="120" w:after="20"/>
      </w:pPr>
      <w:r>
        <w:rPr>
          <w:b/>
          <w:bCs/>
          <w:color w:val="1A5C2A"/>
        </w:rPr>
        <w:t>Foreword</w:t>
      </w:r>
      <w:r>
        <w:rPr>
          <w:b/>
          <w:bCs/>
          <w:color w:val="1A5C2A"/>
        </w:rPr>
        <w:ptab w:relativeTo="margin" w:alignment="right" w:leader="dot"/>
      </w:r>
      <w:r>
        <w:rPr>
          <w:b/>
          <w:bCs/>
          <w:color w:val="1A5C2A"/>
        </w:rPr>
        <w:t>3</w:t>
      </w:r>
    </w:p>
    <w:p w14:paraId="1B18C852" w14:textId="77777777" w:rsidR="00915518" w:rsidRDefault="00280CEA">
      <w:pPr>
        <w:spacing w:before="120" w:after="20"/>
      </w:pPr>
      <w:r>
        <w:rPr>
          <w:b/>
          <w:bCs/>
          <w:color w:val="1A5C2A"/>
        </w:rPr>
        <w:t>Part One  |  Foundations</w:t>
      </w:r>
      <w:r>
        <w:rPr>
          <w:b/>
          <w:bCs/>
          <w:color w:val="1A5C2A"/>
        </w:rPr>
        <w:ptab w:relativeTo="margin" w:alignment="right" w:leader="dot"/>
      </w:r>
      <w:r>
        <w:rPr>
          <w:b/>
          <w:bCs/>
          <w:color w:val="1A5C2A"/>
        </w:rPr>
        <w:t>4</w:t>
      </w:r>
    </w:p>
    <w:p w14:paraId="20C9A4AB" w14:textId="77777777" w:rsidR="00915518" w:rsidRDefault="00280CEA">
      <w:pPr>
        <w:spacing w:after="20" w:line="262" w:lineRule="auto"/>
        <w:ind w:left="300"/>
      </w:pPr>
      <w:r>
        <w:rPr>
          <w:color w:val="4D4D4D"/>
          <w:sz w:val="20"/>
          <w:szCs w:val="20"/>
        </w:rPr>
        <w:t>1.1  Why an African body of knowledge</w:t>
      </w:r>
      <w:r>
        <w:rPr>
          <w:color w:val="4D4D4D"/>
          <w:sz w:val="20"/>
          <w:szCs w:val="20"/>
        </w:rPr>
        <w:ptab w:relativeTo="margin" w:alignment="right" w:leader="dot"/>
      </w:r>
      <w:r>
        <w:rPr>
          <w:color w:val="4D4D4D"/>
          <w:sz w:val="20"/>
          <w:szCs w:val="20"/>
        </w:rPr>
        <w:t>4</w:t>
      </w:r>
    </w:p>
    <w:p w14:paraId="72BEF468" w14:textId="77777777" w:rsidR="00915518" w:rsidRDefault="00280CEA">
      <w:pPr>
        <w:spacing w:after="20" w:line="262" w:lineRule="auto"/>
        <w:ind w:left="300"/>
      </w:pPr>
      <w:r>
        <w:rPr>
          <w:color w:val="4D4D4D"/>
          <w:sz w:val="20"/>
          <w:szCs w:val="20"/>
        </w:rPr>
        <w:t>1.2  What this framework is, and is not</w:t>
      </w:r>
      <w:r>
        <w:rPr>
          <w:color w:val="4D4D4D"/>
          <w:sz w:val="20"/>
          <w:szCs w:val="20"/>
        </w:rPr>
        <w:ptab w:relativeTo="margin" w:alignment="right" w:leader="dot"/>
      </w:r>
      <w:r>
        <w:rPr>
          <w:color w:val="4D4D4D"/>
          <w:sz w:val="20"/>
          <w:szCs w:val="20"/>
        </w:rPr>
        <w:t>4</w:t>
      </w:r>
    </w:p>
    <w:p w14:paraId="22B33424" w14:textId="77777777" w:rsidR="00915518" w:rsidRDefault="00280CEA">
      <w:pPr>
        <w:spacing w:after="20" w:line="262" w:lineRule="auto"/>
        <w:ind w:left="300"/>
      </w:pPr>
      <w:r>
        <w:rPr>
          <w:color w:val="4D4D4D"/>
          <w:sz w:val="20"/>
          <w:szCs w:val="20"/>
        </w:rPr>
        <w:t>1.3  How the framework is structured</w:t>
      </w:r>
      <w:r>
        <w:rPr>
          <w:color w:val="4D4D4D"/>
          <w:sz w:val="20"/>
          <w:szCs w:val="20"/>
        </w:rPr>
        <w:ptab w:relativeTo="margin" w:alignment="right" w:leader="dot"/>
      </w:r>
      <w:r>
        <w:rPr>
          <w:color w:val="4D4D4D"/>
          <w:sz w:val="20"/>
          <w:szCs w:val="20"/>
        </w:rPr>
        <w:t>5</w:t>
      </w:r>
    </w:p>
    <w:p w14:paraId="4FE41461" w14:textId="77777777" w:rsidR="00915518" w:rsidRDefault="00280CEA">
      <w:pPr>
        <w:spacing w:after="20" w:line="262" w:lineRule="auto"/>
        <w:ind w:left="300"/>
      </w:pPr>
      <w:r>
        <w:rPr>
          <w:color w:val="4D4D4D"/>
          <w:sz w:val="20"/>
          <w:szCs w:val="20"/>
        </w:rPr>
        <w:t>1.4  The project, and the African project</w:t>
      </w:r>
      <w:r>
        <w:rPr>
          <w:color w:val="4D4D4D"/>
          <w:sz w:val="20"/>
          <w:szCs w:val="20"/>
        </w:rPr>
        <w:ptab w:relativeTo="margin" w:alignment="right" w:leader="dot"/>
      </w:r>
      <w:r>
        <w:rPr>
          <w:color w:val="4D4D4D"/>
          <w:sz w:val="20"/>
          <w:szCs w:val="20"/>
        </w:rPr>
        <w:t>5</w:t>
      </w:r>
    </w:p>
    <w:p w14:paraId="7BEEBC21" w14:textId="77777777" w:rsidR="00915518" w:rsidRDefault="00280CEA">
      <w:pPr>
        <w:spacing w:before="120" w:after="20"/>
      </w:pPr>
      <w:r>
        <w:rPr>
          <w:b/>
          <w:bCs/>
          <w:color w:val="1A5C2A"/>
        </w:rPr>
        <w:t>Part Two  |  The Contextual Foundation</w:t>
      </w:r>
      <w:r>
        <w:rPr>
          <w:b/>
          <w:bCs/>
          <w:color w:val="1A5C2A"/>
        </w:rPr>
        <w:ptab w:relativeTo="margin" w:alignment="right" w:leader="dot"/>
      </w:r>
      <w:r>
        <w:rPr>
          <w:b/>
          <w:bCs/>
          <w:color w:val="1A5C2A"/>
        </w:rPr>
        <w:t>6</w:t>
      </w:r>
    </w:p>
    <w:p w14:paraId="10B4379A" w14:textId="77777777" w:rsidR="00915518" w:rsidRDefault="00280CEA">
      <w:pPr>
        <w:spacing w:after="20" w:line="262" w:lineRule="auto"/>
        <w:ind w:left="300"/>
      </w:pPr>
      <w:r>
        <w:rPr>
          <w:color w:val="4D4D4D"/>
          <w:sz w:val="20"/>
          <w:szCs w:val="20"/>
        </w:rPr>
        <w:t>2.1  Financing and funding</w:t>
      </w:r>
      <w:r>
        <w:rPr>
          <w:color w:val="4D4D4D"/>
          <w:sz w:val="20"/>
          <w:szCs w:val="20"/>
        </w:rPr>
        <w:ptab w:relativeTo="margin" w:alignment="right" w:leader="dot"/>
      </w:r>
      <w:r>
        <w:rPr>
          <w:color w:val="4D4D4D"/>
          <w:sz w:val="20"/>
          <w:szCs w:val="20"/>
        </w:rPr>
        <w:t>6</w:t>
      </w:r>
    </w:p>
    <w:p w14:paraId="6CC5BAED" w14:textId="77777777" w:rsidR="00915518" w:rsidRDefault="00280CEA">
      <w:pPr>
        <w:spacing w:after="20" w:line="262" w:lineRule="auto"/>
        <w:ind w:left="300"/>
      </w:pPr>
      <w:r>
        <w:rPr>
          <w:color w:val="4D4D4D"/>
          <w:sz w:val="20"/>
          <w:szCs w:val="20"/>
        </w:rPr>
        <w:t>2.2  Procurement and contracting</w:t>
      </w:r>
      <w:r>
        <w:rPr>
          <w:color w:val="4D4D4D"/>
          <w:sz w:val="20"/>
          <w:szCs w:val="20"/>
        </w:rPr>
        <w:ptab w:relativeTo="margin" w:alignment="right" w:leader="dot"/>
      </w:r>
      <w:r>
        <w:rPr>
          <w:color w:val="4D4D4D"/>
          <w:sz w:val="20"/>
          <w:szCs w:val="20"/>
        </w:rPr>
        <w:t>6</w:t>
      </w:r>
    </w:p>
    <w:p w14:paraId="78A107D6" w14:textId="77777777" w:rsidR="00915518" w:rsidRDefault="00280CEA">
      <w:pPr>
        <w:spacing w:after="20" w:line="262" w:lineRule="auto"/>
        <w:ind w:left="300"/>
      </w:pPr>
      <w:r>
        <w:rPr>
          <w:color w:val="4D4D4D"/>
          <w:sz w:val="20"/>
          <w:szCs w:val="20"/>
        </w:rPr>
        <w:t>2.3  Institutions and governance</w:t>
      </w:r>
      <w:r>
        <w:rPr>
          <w:color w:val="4D4D4D"/>
          <w:sz w:val="20"/>
          <w:szCs w:val="20"/>
        </w:rPr>
        <w:ptab w:relativeTo="margin" w:alignment="right" w:leader="dot"/>
      </w:r>
      <w:r>
        <w:rPr>
          <w:color w:val="4D4D4D"/>
          <w:sz w:val="20"/>
          <w:szCs w:val="20"/>
        </w:rPr>
        <w:t>7</w:t>
      </w:r>
    </w:p>
    <w:p w14:paraId="54B692C1" w14:textId="77777777" w:rsidR="00915518" w:rsidRDefault="00280CEA">
      <w:pPr>
        <w:spacing w:after="20" w:line="262" w:lineRule="auto"/>
        <w:ind w:left="300"/>
      </w:pPr>
      <w:r>
        <w:rPr>
          <w:color w:val="4D4D4D"/>
          <w:sz w:val="20"/>
          <w:szCs w:val="20"/>
        </w:rPr>
        <w:t>2.4  Society, community, and culture</w:t>
      </w:r>
      <w:r>
        <w:rPr>
          <w:color w:val="4D4D4D"/>
          <w:sz w:val="20"/>
          <w:szCs w:val="20"/>
        </w:rPr>
        <w:ptab w:relativeTo="margin" w:alignment="right" w:leader="dot"/>
      </w:r>
      <w:r>
        <w:rPr>
          <w:color w:val="4D4D4D"/>
          <w:sz w:val="20"/>
          <w:szCs w:val="20"/>
        </w:rPr>
        <w:t>7</w:t>
      </w:r>
    </w:p>
    <w:p w14:paraId="7B28D33F" w14:textId="77777777" w:rsidR="00915518" w:rsidRDefault="00280CEA">
      <w:pPr>
        <w:spacing w:after="20" w:line="262" w:lineRule="auto"/>
        <w:ind w:left="300"/>
      </w:pPr>
      <w:r>
        <w:rPr>
          <w:color w:val="4D4D4D"/>
          <w:sz w:val="20"/>
          <w:szCs w:val="20"/>
        </w:rPr>
        <w:t>2.5  The physical delivery environment</w:t>
      </w:r>
      <w:r>
        <w:rPr>
          <w:color w:val="4D4D4D"/>
          <w:sz w:val="20"/>
          <w:szCs w:val="20"/>
        </w:rPr>
        <w:ptab w:relativeTo="margin" w:alignment="right" w:leader="dot"/>
      </w:r>
      <w:r>
        <w:rPr>
          <w:color w:val="4D4D4D"/>
          <w:sz w:val="20"/>
          <w:szCs w:val="20"/>
        </w:rPr>
        <w:t>8</w:t>
      </w:r>
    </w:p>
    <w:p w14:paraId="683D0F9F" w14:textId="77777777" w:rsidR="00915518" w:rsidRDefault="00280CEA">
      <w:pPr>
        <w:spacing w:after="20" w:line="262" w:lineRule="auto"/>
        <w:ind w:left="300"/>
      </w:pPr>
      <w:r>
        <w:rPr>
          <w:color w:val="4D4D4D"/>
          <w:sz w:val="20"/>
          <w:szCs w:val="20"/>
        </w:rPr>
        <w:t>2.6  Sustainability, climate, and resilience</w:t>
      </w:r>
      <w:r>
        <w:rPr>
          <w:color w:val="4D4D4D"/>
          <w:sz w:val="20"/>
          <w:szCs w:val="20"/>
        </w:rPr>
        <w:ptab w:relativeTo="margin" w:alignment="right" w:leader="dot"/>
      </w:r>
      <w:r>
        <w:rPr>
          <w:color w:val="4D4D4D"/>
          <w:sz w:val="20"/>
          <w:szCs w:val="20"/>
        </w:rPr>
        <w:t>8</w:t>
      </w:r>
    </w:p>
    <w:p w14:paraId="098D2ACB" w14:textId="77777777" w:rsidR="00915518" w:rsidRDefault="00280CEA">
      <w:pPr>
        <w:spacing w:before="120" w:after="20"/>
      </w:pPr>
      <w:r>
        <w:rPr>
          <w:b/>
          <w:bCs/>
          <w:color w:val="1A5C2A"/>
        </w:rPr>
        <w:t>Part Three  |  The Knowledge Domains</w:t>
      </w:r>
      <w:r>
        <w:rPr>
          <w:b/>
          <w:bCs/>
          <w:color w:val="1A5C2A"/>
        </w:rPr>
        <w:ptab w:relativeTo="margin" w:alignment="right" w:leader="dot"/>
      </w:r>
      <w:r>
        <w:rPr>
          <w:b/>
          <w:bCs/>
          <w:color w:val="1A5C2A"/>
        </w:rPr>
        <w:t>9</w:t>
      </w:r>
    </w:p>
    <w:p w14:paraId="07AF7408" w14:textId="77777777" w:rsidR="00915518" w:rsidRDefault="00280CEA">
      <w:pPr>
        <w:spacing w:after="20" w:line="262" w:lineRule="auto"/>
        <w:ind w:left="300"/>
      </w:pPr>
      <w:r>
        <w:rPr>
          <w:color w:val="4D4D4D"/>
          <w:sz w:val="20"/>
          <w:szCs w:val="20"/>
        </w:rPr>
        <w:t>3.1  The twelve domains</w:t>
      </w:r>
      <w:r>
        <w:rPr>
          <w:color w:val="4D4D4D"/>
          <w:sz w:val="20"/>
          <w:szCs w:val="20"/>
        </w:rPr>
        <w:ptab w:relativeTo="margin" w:alignment="right" w:leader="dot"/>
      </w:r>
      <w:r>
        <w:rPr>
          <w:color w:val="4D4D4D"/>
          <w:sz w:val="20"/>
          <w:szCs w:val="20"/>
        </w:rPr>
        <w:t>9</w:t>
      </w:r>
    </w:p>
    <w:p w14:paraId="710318EA" w14:textId="77777777" w:rsidR="00915518" w:rsidRDefault="00280CEA">
      <w:pPr>
        <w:spacing w:after="20" w:line="262" w:lineRule="auto"/>
        <w:ind w:left="300"/>
      </w:pPr>
      <w:r>
        <w:rPr>
          <w:color w:val="4D4D4D"/>
          <w:sz w:val="20"/>
          <w:szCs w:val="20"/>
        </w:rPr>
        <w:t>3.2  Integration and governance</w:t>
      </w:r>
      <w:r>
        <w:rPr>
          <w:color w:val="4D4D4D"/>
          <w:sz w:val="20"/>
          <w:szCs w:val="20"/>
        </w:rPr>
        <w:ptab w:relativeTo="margin" w:alignment="right" w:leader="dot"/>
      </w:r>
      <w:r>
        <w:rPr>
          <w:color w:val="4D4D4D"/>
          <w:sz w:val="20"/>
          <w:szCs w:val="20"/>
        </w:rPr>
        <w:t>9</w:t>
      </w:r>
    </w:p>
    <w:p w14:paraId="1EDFCA30" w14:textId="77777777" w:rsidR="00915518" w:rsidRDefault="00280CEA">
      <w:pPr>
        <w:spacing w:after="20" w:line="262" w:lineRule="auto"/>
        <w:ind w:left="300"/>
      </w:pPr>
      <w:r>
        <w:rPr>
          <w:color w:val="4D4D4D"/>
          <w:sz w:val="20"/>
          <w:szCs w:val="20"/>
        </w:rPr>
        <w:t>3.3  Defining and controlling the work</w:t>
      </w:r>
      <w:r>
        <w:rPr>
          <w:color w:val="4D4D4D"/>
          <w:sz w:val="20"/>
          <w:szCs w:val="20"/>
        </w:rPr>
        <w:ptab w:relativeTo="margin" w:alignment="right" w:leader="dot"/>
      </w:r>
      <w:r>
        <w:rPr>
          <w:color w:val="4D4D4D"/>
          <w:sz w:val="20"/>
          <w:szCs w:val="20"/>
        </w:rPr>
        <w:t>10</w:t>
      </w:r>
    </w:p>
    <w:p w14:paraId="0A5C4C9D" w14:textId="77777777" w:rsidR="00915518" w:rsidRDefault="00280CEA">
      <w:pPr>
        <w:spacing w:after="20" w:line="262" w:lineRule="auto"/>
        <w:ind w:left="300"/>
      </w:pPr>
      <w:r>
        <w:rPr>
          <w:color w:val="4D4D4D"/>
          <w:sz w:val="20"/>
          <w:szCs w:val="20"/>
        </w:rPr>
        <w:t>3.4  Enabling delivery</w:t>
      </w:r>
      <w:r>
        <w:rPr>
          <w:color w:val="4D4D4D"/>
          <w:sz w:val="20"/>
          <w:szCs w:val="20"/>
        </w:rPr>
        <w:ptab w:relativeTo="margin" w:alignment="right" w:leader="dot"/>
      </w:r>
      <w:r>
        <w:rPr>
          <w:color w:val="4D4D4D"/>
          <w:sz w:val="20"/>
          <w:szCs w:val="20"/>
        </w:rPr>
        <w:t>11</w:t>
      </w:r>
    </w:p>
    <w:p w14:paraId="11F3C6DB" w14:textId="77777777" w:rsidR="00915518" w:rsidRDefault="00280CEA">
      <w:pPr>
        <w:spacing w:after="20" w:line="262" w:lineRule="auto"/>
        <w:ind w:left="300"/>
      </w:pPr>
      <w:r>
        <w:rPr>
          <w:color w:val="4D4D4D"/>
          <w:sz w:val="20"/>
          <w:szCs w:val="20"/>
        </w:rPr>
        <w:t xml:space="preserve">3.5  </w:t>
      </w:r>
      <w:proofErr w:type="spellStart"/>
      <w:r>
        <w:rPr>
          <w:color w:val="4D4D4D"/>
          <w:sz w:val="20"/>
          <w:szCs w:val="20"/>
        </w:rPr>
        <w:t>Realising</w:t>
      </w:r>
      <w:proofErr w:type="spellEnd"/>
      <w:r>
        <w:rPr>
          <w:color w:val="4D4D4D"/>
          <w:sz w:val="20"/>
          <w:szCs w:val="20"/>
        </w:rPr>
        <w:t xml:space="preserve"> value</w:t>
      </w:r>
      <w:r>
        <w:rPr>
          <w:color w:val="4D4D4D"/>
          <w:sz w:val="20"/>
          <w:szCs w:val="20"/>
        </w:rPr>
        <w:ptab w:relativeTo="margin" w:alignment="right" w:leader="dot"/>
      </w:r>
      <w:r>
        <w:rPr>
          <w:color w:val="4D4D4D"/>
          <w:sz w:val="20"/>
          <w:szCs w:val="20"/>
        </w:rPr>
        <w:t>11</w:t>
      </w:r>
    </w:p>
    <w:p w14:paraId="50206C4A" w14:textId="77777777" w:rsidR="00915518" w:rsidRDefault="00280CEA">
      <w:pPr>
        <w:spacing w:before="120" w:after="20"/>
      </w:pPr>
      <w:r>
        <w:rPr>
          <w:b/>
          <w:bCs/>
          <w:color w:val="1A5C2A"/>
        </w:rPr>
        <w:t>Part Four  |  The Delivery Lifecycle</w:t>
      </w:r>
      <w:r>
        <w:rPr>
          <w:b/>
          <w:bCs/>
          <w:color w:val="1A5C2A"/>
        </w:rPr>
        <w:ptab w:relativeTo="margin" w:alignment="right" w:leader="dot"/>
      </w:r>
      <w:r>
        <w:rPr>
          <w:b/>
          <w:bCs/>
          <w:color w:val="1A5C2A"/>
        </w:rPr>
        <w:t>12</w:t>
      </w:r>
    </w:p>
    <w:p w14:paraId="06E73D96" w14:textId="77777777" w:rsidR="00915518" w:rsidRDefault="00280CEA">
      <w:pPr>
        <w:spacing w:before="120" w:after="20"/>
      </w:pPr>
      <w:r>
        <w:rPr>
          <w:b/>
          <w:bCs/>
          <w:color w:val="1A5C2A"/>
        </w:rPr>
        <w:t>Part Five  |  Professional Competence</w:t>
      </w:r>
      <w:r>
        <w:rPr>
          <w:b/>
          <w:bCs/>
          <w:color w:val="1A5C2A"/>
        </w:rPr>
        <w:ptab w:relativeTo="margin" w:alignment="right" w:leader="dot"/>
      </w:r>
      <w:r>
        <w:rPr>
          <w:b/>
          <w:bCs/>
          <w:color w:val="1A5C2A"/>
        </w:rPr>
        <w:t>13</w:t>
      </w:r>
    </w:p>
    <w:p w14:paraId="703249C7" w14:textId="77777777" w:rsidR="00915518" w:rsidRDefault="00280CEA">
      <w:pPr>
        <w:spacing w:before="120" w:after="20"/>
      </w:pPr>
      <w:r>
        <w:rPr>
          <w:b/>
          <w:bCs/>
          <w:color w:val="1A5C2A"/>
        </w:rPr>
        <w:t>Part Six  |  Applying and Tailoring the Framework</w:t>
      </w:r>
      <w:r>
        <w:rPr>
          <w:b/>
          <w:bCs/>
          <w:color w:val="1A5C2A"/>
        </w:rPr>
        <w:ptab w:relativeTo="margin" w:alignment="right" w:leader="dot"/>
      </w:r>
      <w:r>
        <w:rPr>
          <w:b/>
          <w:bCs/>
          <w:color w:val="1A5C2A"/>
        </w:rPr>
        <w:t>14</w:t>
      </w:r>
    </w:p>
    <w:p w14:paraId="54455087" w14:textId="77777777" w:rsidR="00915518" w:rsidRDefault="00280CEA">
      <w:pPr>
        <w:spacing w:before="120" w:after="20"/>
      </w:pPr>
      <w:r>
        <w:rPr>
          <w:b/>
          <w:bCs/>
          <w:color w:val="1A5C2A"/>
        </w:rPr>
        <w:t>A Standard Written from African Practice</w:t>
      </w:r>
      <w:r>
        <w:rPr>
          <w:b/>
          <w:bCs/>
          <w:color w:val="1A5C2A"/>
        </w:rPr>
        <w:ptab w:relativeTo="margin" w:alignment="right" w:leader="dot"/>
      </w:r>
      <w:r>
        <w:rPr>
          <w:b/>
          <w:bCs/>
          <w:color w:val="1A5C2A"/>
        </w:rPr>
        <w:t>15</w:t>
      </w:r>
    </w:p>
    <w:p w14:paraId="022F20FD" w14:textId="77777777" w:rsidR="00915518" w:rsidRDefault="00280CEA">
      <w:r>
        <w:br w:type="page"/>
      </w:r>
    </w:p>
    <w:p w14:paraId="65114A7F" w14:textId="77777777" w:rsidR="00915518" w:rsidRDefault="00280CEA">
      <w:pPr>
        <w:pStyle w:val="Heading1"/>
        <w:spacing w:before="320" w:after="150"/>
      </w:pPr>
      <w:r>
        <w:lastRenderedPageBreak/>
        <w:t>Foreword</w:t>
      </w:r>
    </w:p>
    <w:p w14:paraId="6363DA01" w14:textId="77777777" w:rsidR="00915518" w:rsidRDefault="00915518">
      <w:pPr>
        <w:pBdr>
          <w:bottom w:val="single" w:sz="8" w:space="1" w:color="C47B0B"/>
        </w:pBdr>
        <w:spacing w:before="60" w:after="160"/>
      </w:pPr>
    </w:p>
    <w:p w14:paraId="08AF507A" w14:textId="77777777" w:rsidR="00915518" w:rsidRDefault="00280CEA">
      <w:pPr>
        <w:spacing w:after="160" w:line="348" w:lineRule="auto"/>
        <w:jc w:val="both"/>
      </w:pPr>
      <w:r>
        <w:t>Project management is a global discipline with a settled core. The frameworks that codify it, however, were written largely from the experience of mature economies, where finance is deep and predictable, institutions are stable, contractors are capable, data is plentiful, and the infrastructure a plan depends on can be assumed to exist. A great deal of the African project experience does not match those assumptions.</w:t>
      </w:r>
    </w:p>
    <w:p w14:paraId="48AF1251" w14:textId="77777777" w:rsidR="00915518" w:rsidRDefault="00280CEA">
      <w:pPr>
        <w:spacing w:after="160" w:line="348" w:lineRule="auto"/>
        <w:jc w:val="both"/>
      </w:pPr>
      <w:r>
        <w:t xml:space="preserve">Money often arrives in tranches, tied to conditions, and denominated in currencies the project does not earn. </w:t>
      </w:r>
      <w:proofErr w:type="gramStart"/>
      <w:r>
        <w:t>Approvals pass</w:t>
      </w:r>
      <w:proofErr w:type="gramEnd"/>
      <w:r>
        <w:t xml:space="preserve"> through many hands. Baseline data is thin. The power supply and the road that a schedule takes for granted may not be there when the work begins. None of this makes the global core wrong. It makes it incomplete. A practitioner who </w:t>
      </w:r>
      <w:proofErr w:type="gramStart"/>
      <w:r>
        <w:t>applies</w:t>
      </w:r>
      <w:proofErr w:type="gramEnd"/>
      <w:r>
        <w:t xml:space="preserve"> it </w:t>
      </w:r>
      <w:proofErr w:type="spellStart"/>
      <w:r>
        <w:t>unadapted</w:t>
      </w:r>
      <w:proofErr w:type="spellEnd"/>
      <w:r>
        <w:t xml:space="preserve"> plans for a world that is not the one they are delivering in, and is surprised, </w:t>
      </w:r>
      <w:proofErr w:type="gramStart"/>
      <w:r>
        <w:t>again and again</w:t>
      </w:r>
      <w:proofErr w:type="gramEnd"/>
      <w:r>
        <w:t>, by conditions that were entirely predictable.</w:t>
      </w:r>
    </w:p>
    <w:p w14:paraId="7F5E7787" w14:textId="77777777" w:rsidR="00915518" w:rsidRDefault="00280CEA">
      <w:pPr>
        <w:spacing w:after="160" w:line="348" w:lineRule="auto"/>
        <w:jc w:val="both"/>
      </w:pPr>
      <w:r>
        <w:t xml:space="preserve">This framework sets out a body of knowledge for project management as it is </w:t>
      </w:r>
      <w:proofErr w:type="gramStart"/>
      <w:r>
        <w:t xml:space="preserve">actually </w:t>
      </w:r>
      <w:proofErr w:type="spellStart"/>
      <w:r>
        <w:t>practised</w:t>
      </w:r>
      <w:proofErr w:type="spellEnd"/>
      <w:proofErr w:type="gramEnd"/>
      <w:r>
        <w:t xml:space="preserve"> across Africa. It keeps the sound global core and adds the context that the global frameworks leave out, so that a practitioner plans for the conditions in front of them rather than the ones a textbook assumes. It is the reference that underpins the Certified Project Management Practitioner, and it is offered to the wider profession as a contribution from African practice to a discipline that has too rarely been written from this side of the world.</w:t>
      </w:r>
    </w:p>
    <w:p w14:paraId="661C6888" w14:textId="77777777" w:rsidR="00915518" w:rsidRDefault="00280CEA">
      <w:r>
        <w:br w:type="page"/>
      </w:r>
    </w:p>
    <w:p w14:paraId="6AE31839" w14:textId="77777777" w:rsidR="00915518" w:rsidRDefault="00280CEA">
      <w:pPr>
        <w:pStyle w:val="Heading1"/>
        <w:spacing w:before="320" w:after="150"/>
      </w:pPr>
      <w:r>
        <w:lastRenderedPageBreak/>
        <w:t>Part One  |  Foundations</w:t>
      </w:r>
    </w:p>
    <w:p w14:paraId="25253559" w14:textId="77777777" w:rsidR="00915518" w:rsidRDefault="00915518">
      <w:pPr>
        <w:pBdr>
          <w:bottom w:val="single" w:sz="8" w:space="1" w:color="C47B0B"/>
        </w:pBdr>
        <w:spacing w:before="60" w:after="160"/>
      </w:pPr>
    </w:p>
    <w:p w14:paraId="1F7C6DE0" w14:textId="77777777" w:rsidR="00915518" w:rsidRDefault="00280CEA">
      <w:pPr>
        <w:pStyle w:val="Heading2"/>
        <w:spacing w:before="280" w:after="120"/>
      </w:pPr>
      <w:r>
        <w:t>1.1  Why an African body of knowledge</w:t>
      </w:r>
    </w:p>
    <w:p w14:paraId="038FFC5A" w14:textId="77777777" w:rsidR="00915518" w:rsidRDefault="00280CEA">
      <w:pPr>
        <w:spacing w:after="160" w:line="348" w:lineRule="auto"/>
        <w:jc w:val="both"/>
      </w:pPr>
      <w:r>
        <w:t xml:space="preserve">The case for this framework is not that African projects are governed by different laws of management. A schedule is still a </w:t>
      </w:r>
      <w:proofErr w:type="gramStart"/>
      <w:r>
        <w:t>schedule</w:t>
      </w:r>
      <w:proofErr w:type="gramEnd"/>
      <w:r>
        <w:t xml:space="preserve"> and a budget is still a budget. The case is that the conditions under which those tools are applied differ enough, and predictably enough, that treating them as the same as anywhere else produces plans that fail in the same ways </w:t>
      </w:r>
      <w:proofErr w:type="gramStart"/>
      <w:r>
        <w:t>over and over</w:t>
      </w:r>
      <w:proofErr w:type="gramEnd"/>
      <w:r>
        <w:t>.</w:t>
      </w:r>
    </w:p>
    <w:p w14:paraId="45D0B13B" w14:textId="77777777" w:rsidR="00915518" w:rsidRDefault="00280CEA">
      <w:pPr>
        <w:spacing w:after="160" w:line="348" w:lineRule="auto"/>
        <w:jc w:val="both"/>
      </w:pPr>
      <w:r>
        <w:t xml:space="preserve">Consider funding. A textbook treats the budget as broadly available once approved. Many African projects live instead with disbursement that lags approval by months, with counterpart funding that may or may not </w:t>
      </w:r>
      <w:proofErr w:type="spellStart"/>
      <w:r>
        <w:t>materialise</w:t>
      </w:r>
      <w:proofErr w:type="spellEnd"/>
      <w:r>
        <w:t>, and with foreign-currency financing against local-currency costs, so that a movement in the exchange rate can undo a year of careful cost control. A practitioner who does not plan for this does not have a cost problem. They have a knowledge problem. This framework exists to close that gap, across every dimension of practice where the African context reshapes what competent delivery requires.</w:t>
      </w:r>
    </w:p>
    <w:p w14:paraId="722C0889" w14:textId="77777777" w:rsidR="00915518" w:rsidRDefault="00280CEA">
      <w:pPr>
        <w:pStyle w:val="Heading2"/>
        <w:spacing w:before="280" w:after="120"/>
      </w:pPr>
      <w:r>
        <w:t>1.2  What this framework is, and is not</w:t>
      </w:r>
    </w:p>
    <w:p w14:paraId="1E506363" w14:textId="77777777" w:rsidR="00915518" w:rsidRDefault="00280CEA">
      <w:pPr>
        <w:spacing w:after="160" w:line="348" w:lineRule="auto"/>
        <w:jc w:val="both"/>
      </w:pPr>
      <w:r>
        <w:t xml:space="preserve">Africa is not one place. Fifty-four countries, many </w:t>
      </w:r>
      <w:proofErr w:type="gramStart"/>
      <w:r>
        <w:t>hundreds of</w:t>
      </w:r>
      <w:proofErr w:type="gramEnd"/>
      <w:r>
        <w:t xml:space="preserve"> languages, and every gradient of income, capacity, and stability sit beneath the single word. A framework that claimed one African way to run a project would be worse than useless. It would be false. This framework makes no such claim.</w:t>
      </w:r>
    </w:p>
    <w:p w14:paraId="0D018AEF" w14:textId="77777777" w:rsidR="00915518" w:rsidRDefault="00280CEA">
      <w:pPr>
        <w:spacing w:after="160" w:line="348" w:lineRule="auto"/>
        <w:jc w:val="both"/>
      </w:pPr>
      <w:r>
        <w:t>It is a lens, not a template. It names the dimensions of context that most often reshape delivery on the continent, and it equips the practitioner to read their own situation against them and adapt accordingly. A project financed by a sovereign in Botswana, a donor-funded rural scheme in the Sahel, and a private mining development in the Copperbelt share almost nothing in their particulars, yet a practitioner trained to ask the same contextual questions will read each one more accurately than a textbook wri</w:t>
      </w:r>
      <w:r>
        <w:t>tten for none of them. The framework supplies the questions. Judgement, applied to the specific project, supplies the answers.</w:t>
      </w:r>
    </w:p>
    <w:p w14:paraId="0F3BAE9F" w14:textId="77777777" w:rsidR="00915518" w:rsidRDefault="00280CEA">
      <w:pPr>
        <w:spacing w:after="160" w:line="348" w:lineRule="auto"/>
        <w:jc w:val="both"/>
      </w:pPr>
      <w:r>
        <w:t xml:space="preserve">Nor does this framework replace the global body of knowledge. It assumes it. The disciplines of scope, schedule, cost, risk, and the rest are taken as known, and are treated here only where the African context changes how they must be applied. A reader looking </w:t>
      </w:r>
      <w:r>
        <w:lastRenderedPageBreak/>
        <w:t>for a first grounding in the fundamentals should acquire it elsewhere and return to this framework for what those fundamentals leave unsaid.</w:t>
      </w:r>
    </w:p>
    <w:p w14:paraId="7FA6BB49" w14:textId="77777777" w:rsidR="00915518" w:rsidRDefault="00280CEA">
      <w:pPr>
        <w:pStyle w:val="Heading2"/>
        <w:spacing w:before="280" w:after="120"/>
      </w:pPr>
      <w:r>
        <w:t>1.3  How the framework is structured</w:t>
      </w:r>
    </w:p>
    <w:p w14:paraId="3A6BE232" w14:textId="77777777" w:rsidR="00915518" w:rsidRDefault="00280CEA">
      <w:pPr>
        <w:spacing w:after="160" w:line="348" w:lineRule="auto"/>
        <w:jc w:val="both"/>
      </w:pPr>
      <w:r>
        <w:t xml:space="preserve">The framework is built </w:t>
      </w:r>
      <w:proofErr w:type="gramStart"/>
      <w:r>
        <w:t>in</w:t>
      </w:r>
      <w:proofErr w:type="gramEnd"/>
      <w:r>
        <w:t xml:space="preserve"> three layers, moving from the world the project sits in, to the knowledge the practitioner brings, to the way both are applied over the life of the work.</w:t>
      </w:r>
    </w:p>
    <w:p w14:paraId="57D1699C" w14:textId="77777777" w:rsidR="00915518" w:rsidRDefault="00280CEA">
      <w:pPr>
        <w:pStyle w:val="ListParagraph"/>
        <w:numPr>
          <w:ilvl w:val="0"/>
          <w:numId w:val="2"/>
        </w:numPr>
        <w:spacing w:after="100" w:line="340" w:lineRule="auto"/>
        <w:jc w:val="both"/>
      </w:pPr>
      <w:r>
        <w:rPr>
          <w:b/>
          <w:bCs/>
          <w:color w:val="C47B0B"/>
        </w:rPr>
        <w:t xml:space="preserve">The contextual foundation </w:t>
      </w:r>
      <w:r>
        <w:t>(Part Two) names the six dimensions of African delivery conditions that most reshape practice. It is the distinctive layer, and everything after it is read through it.</w:t>
      </w:r>
    </w:p>
    <w:p w14:paraId="17CD7086" w14:textId="77777777" w:rsidR="00915518" w:rsidRDefault="00280CEA">
      <w:pPr>
        <w:pStyle w:val="ListParagraph"/>
        <w:numPr>
          <w:ilvl w:val="0"/>
          <w:numId w:val="2"/>
        </w:numPr>
        <w:spacing w:after="100" w:line="340" w:lineRule="auto"/>
        <w:jc w:val="both"/>
      </w:pPr>
      <w:r>
        <w:rPr>
          <w:b/>
          <w:bCs/>
          <w:color w:val="C47B0B"/>
        </w:rPr>
        <w:t xml:space="preserve">The knowledge domains </w:t>
      </w:r>
      <w:r>
        <w:t>(Part Three) set out the twelve areas of project management competence, each written for how the contextual foundation changes its application.</w:t>
      </w:r>
    </w:p>
    <w:p w14:paraId="3F6278E8" w14:textId="77777777" w:rsidR="00915518" w:rsidRDefault="00280CEA">
      <w:pPr>
        <w:pStyle w:val="ListParagraph"/>
        <w:numPr>
          <w:ilvl w:val="0"/>
          <w:numId w:val="2"/>
        </w:numPr>
        <w:spacing w:after="100" w:line="340" w:lineRule="auto"/>
        <w:jc w:val="both"/>
      </w:pPr>
      <w:r>
        <w:rPr>
          <w:b/>
          <w:bCs/>
          <w:color w:val="C47B0B"/>
        </w:rPr>
        <w:t xml:space="preserve">The lifecycle, competence, and application layers </w:t>
      </w:r>
      <w:r>
        <w:t>(Parts Four to Six) place the knowledge in time, describe the professional who applies it, and explain how to tailor the whole to a particular project.</w:t>
      </w:r>
    </w:p>
    <w:p w14:paraId="3FC526E9" w14:textId="77777777" w:rsidR="00915518" w:rsidRDefault="00280CEA">
      <w:pPr>
        <w:pStyle w:val="Heading2"/>
        <w:spacing w:before="280" w:after="120"/>
      </w:pPr>
      <w:r>
        <w:t>1.4  The project, and the African project</w:t>
      </w:r>
    </w:p>
    <w:p w14:paraId="09728F31" w14:textId="77777777" w:rsidR="00915518" w:rsidRDefault="00280CEA">
      <w:pPr>
        <w:spacing w:after="160" w:line="348" w:lineRule="auto"/>
        <w:jc w:val="both"/>
      </w:pPr>
      <w:r>
        <w:t>A project, here as everywhere, is a temporary and bounded effort to deliver a defined outcome. What distinguishes the African project is less its nature than its setting, and three features of that setting recur often enough to be worth naming at the outset.</w:t>
      </w:r>
    </w:p>
    <w:p w14:paraId="0AEBF66A" w14:textId="77777777" w:rsidR="00915518" w:rsidRDefault="00280CEA">
      <w:pPr>
        <w:spacing w:after="160" w:line="348" w:lineRule="auto"/>
        <w:jc w:val="both"/>
      </w:pPr>
      <w:r>
        <w:t xml:space="preserve">The first is that a great many African projects are development projects as well as delivery projects. They are undertaken to change </w:t>
      </w:r>
      <w:proofErr w:type="gramStart"/>
      <w:r>
        <w:t>a condition</w:t>
      </w:r>
      <w:proofErr w:type="gramEnd"/>
      <w:r>
        <w:t xml:space="preserve"> of life, to bring water, power, a road, a clinic, and their success is judged not only by the triangle of time, cost, and quality but by whether that change </w:t>
      </w:r>
      <w:proofErr w:type="gramStart"/>
      <w:r>
        <w:t>actually arrives</w:t>
      </w:r>
      <w:proofErr w:type="gramEnd"/>
      <w:r>
        <w:t xml:space="preserve"> and lasts. The second is that the project is frequently the meeting point of several worlds at once: a foreign funder, a national government, a local authority, a community with customary claims, and an informal economy that no plan formally accounts for. The third is that the margin for error is thin. Where a project consum</w:t>
      </w:r>
      <w:r>
        <w:t xml:space="preserve">es scarce public money or borrowed funds that must be repaid, failure is not a commercial write-off. It is a road not built and </w:t>
      </w:r>
      <w:proofErr w:type="gramStart"/>
      <w:r>
        <w:t>a debt</w:t>
      </w:r>
      <w:proofErr w:type="gramEnd"/>
      <w:r>
        <w:t xml:space="preserve"> still owed. These three features run beneath everything that follows.</w:t>
      </w:r>
    </w:p>
    <w:p w14:paraId="1958E90C" w14:textId="77777777" w:rsidR="00915518" w:rsidRDefault="00280CEA">
      <w:r>
        <w:br w:type="page"/>
      </w:r>
    </w:p>
    <w:p w14:paraId="02F12F1B" w14:textId="77777777" w:rsidR="00915518" w:rsidRDefault="00280CEA">
      <w:pPr>
        <w:pStyle w:val="Heading1"/>
        <w:spacing w:before="320" w:after="150"/>
      </w:pPr>
      <w:r>
        <w:lastRenderedPageBreak/>
        <w:t>Part Two  |  The Contextual Foundation</w:t>
      </w:r>
    </w:p>
    <w:p w14:paraId="79A8C5B1" w14:textId="77777777" w:rsidR="00915518" w:rsidRDefault="00915518">
      <w:pPr>
        <w:pBdr>
          <w:bottom w:val="single" w:sz="8" w:space="1" w:color="C47B0B"/>
        </w:pBdr>
        <w:spacing w:before="60" w:after="160"/>
      </w:pPr>
    </w:p>
    <w:p w14:paraId="5AB521EB" w14:textId="77777777" w:rsidR="00915518" w:rsidRDefault="00280CEA">
      <w:pPr>
        <w:spacing w:after="160" w:line="348" w:lineRule="auto"/>
        <w:jc w:val="both"/>
      </w:pPr>
      <w:r>
        <w:t>Six dimensions of context shape African project delivery more than any others. They are not the only ones, and they do not apply evenly, but a practitioner who reads a project against these six will rarely be blindsided by the conditions it presents. Each is described here for what it is, and for what it demands of the practitioner who must deliver within it.</w:t>
      </w:r>
    </w:p>
    <w:p w14:paraId="71E326A2" w14:textId="77777777" w:rsidR="00915518" w:rsidRDefault="00280CEA">
      <w:pPr>
        <w:pStyle w:val="Heading2"/>
        <w:spacing w:before="280" w:after="120"/>
      </w:pPr>
      <w:r>
        <w:t>2.1  Financing and funding</w:t>
      </w:r>
    </w:p>
    <w:p w14:paraId="324E1521" w14:textId="77777777" w:rsidR="00915518" w:rsidRDefault="00280CEA">
      <w:pPr>
        <w:spacing w:after="160" w:line="348" w:lineRule="auto"/>
        <w:jc w:val="both"/>
      </w:pPr>
      <w:r>
        <w:t xml:space="preserve">Finance is where the African context asserts itself first and hardest. A large share of significant projects </w:t>
      </w:r>
      <w:proofErr w:type="gramStart"/>
      <w:r>
        <w:t>are</w:t>
      </w:r>
      <w:proofErr w:type="gramEnd"/>
      <w:r>
        <w:t xml:space="preserve"> funded wholly or partly from outside the domestic economy: by development finance institutions, bilateral and multilateral donors, export credit, and increasingly by blended arrangements that stitch several of these together. Each source brings its own rules, its own reporting, its own procurement conditions, and its own timetable, and a practitioner manages not one funder but a coalition of them.</w:t>
      </w:r>
    </w:p>
    <w:p w14:paraId="788D6BA0" w14:textId="77777777" w:rsidR="00915518" w:rsidRDefault="00280CEA">
      <w:pPr>
        <w:spacing w:after="160" w:line="348" w:lineRule="auto"/>
        <w:jc w:val="both"/>
      </w:pPr>
      <w:r>
        <w:t>Three features demand particular attention. Disbursement often lags approval and is released against milestones or conditions, so that cash availability, not budget approval, becomes the true constraint on progress. Counterpart or government contributions, promised alongside external funding, may arrive late or not at all. And financing denominated in a foreign currency against costs incurred in local currency exposes the project to exchange-rate movements that can erase a carefully managed contingency over</w:t>
      </w:r>
      <w:r>
        <w:t>night. Competent delivery treats the funding structure itself as a primary object of management, plans cash flow against disbursement reality rather than approved budget, and carries the currency and counterpart-funding risks explicitly rather than discovering them late.</w:t>
      </w:r>
    </w:p>
    <w:p w14:paraId="6466D4C1" w14:textId="77777777" w:rsidR="00915518" w:rsidRDefault="00280CEA">
      <w:pPr>
        <w:pStyle w:val="Heading2"/>
        <w:spacing w:before="280" w:after="120"/>
      </w:pPr>
      <w:r>
        <w:t>2.2  Procurement and contracting</w:t>
      </w:r>
    </w:p>
    <w:p w14:paraId="57FCE53A" w14:textId="77777777" w:rsidR="00915518" w:rsidRDefault="00280CEA">
      <w:pPr>
        <w:spacing w:after="160" w:line="348" w:lineRule="auto"/>
        <w:jc w:val="both"/>
      </w:pPr>
      <w:r>
        <w:t xml:space="preserve">Procurement in the public sphere across much of the continent runs through national procurement legislation that governs how a project may </w:t>
      </w:r>
      <w:proofErr w:type="gramStart"/>
      <w:r>
        <w:t>buy</w:t>
      </w:r>
      <w:proofErr w:type="gramEnd"/>
      <w:r>
        <w:t>, from whom, and on what terms. These regimes are built for probity and value for money, and they impose sequenced approvals, thresholds, and review points that a schedule must accommodate rather than resist. Local-content requirements, which reserve defined shares of work or supply for domestic firms, are increasingly common and shape both the supply chain and the schedule.</w:t>
      </w:r>
    </w:p>
    <w:p w14:paraId="1BF2B83E" w14:textId="77777777" w:rsidR="00915518" w:rsidRDefault="00280CEA">
      <w:pPr>
        <w:spacing w:after="160" w:line="348" w:lineRule="auto"/>
        <w:jc w:val="both"/>
      </w:pPr>
      <w:r>
        <w:lastRenderedPageBreak/>
        <w:t xml:space="preserve">The contracting environment adds its own realities. The pool of contractors with the capacity to deliver large or complex work is, in many markets, shallow, so that the same few firms recur and their performance becomes a project </w:t>
      </w:r>
      <w:proofErr w:type="gramStart"/>
      <w:r>
        <w:t>risk in its own right</w:t>
      </w:r>
      <w:proofErr w:type="gramEnd"/>
      <w:r>
        <w:t>. Public-private partnership frameworks, where used, bring long time horizons and complex risk allocation that reward careful structuring and punish haste. A practitioner competent in this context reads the procurement law as a fixed part of the delivery timetable, tests the depth and capacity of the supply market before relying on it, and administers contracts with an eye to disputes that the wider environment makes more likely.</w:t>
      </w:r>
    </w:p>
    <w:p w14:paraId="4992D1A7" w14:textId="77777777" w:rsidR="00915518" w:rsidRDefault="00280CEA">
      <w:pPr>
        <w:pStyle w:val="Heading2"/>
        <w:spacing w:before="280" w:after="120"/>
      </w:pPr>
      <w:r>
        <w:t>2.3  Institutions and governance</w:t>
      </w:r>
    </w:p>
    <w:p w14:paraId="2081D72D" w14:textId="77777777" w:rsidR="00915518" w:rsidRDefault="00280CEA">
      <w:pPr>
        <w:spacing w:after="160" w:line="348" w:lineRule="auto"/>
        <w:jc w:val="both"/>
      </w:pPr>
      <w:r>
        <w:t xml:space="preserve">A project rarely </w:t>
      </w:r>
      <w:proofErr w:type="gramStart"/>
      <w:r>
        <w:t>answers to</w:t>
      </w:r>
      <w:proofErr w:type="gramEnd"/>
      <w:r>
        <w:t xml:space="preserve"> a single, coherent client. It moves through a landscape of ministries, agencies, and authorities whose mandates overlap and whose approvals must be won in sequence. Institutional capacity within these bodies varies widely, and a project may find that the counterpart it depends on for a decision lacks the staff or the authority to make it quickly. Coordination across institutions, rather than management within one, is often the harder task.</w:t>
      </w:r>
    </w:p>
    <w:p w14:paraId="30289537" w14:textId="77777777" w:rsidR="00915518" w:rsidRDefault="00280CEA">
      <w:pPr>
        <w:spacing w:after="160" w:line="348" w:lineRule="auto"/>
        <w:jc w:val="both"/>
      </w:pPr>
      <w:r>
        <w:t xml:space="preserve">Political economy runs through all of this. Electoral cycles change priorities and personnel, and a project championed by one administration may be orphaned by the next. Decisions that appear technical are sometimes settled by considerations that are not. None of this is a reason for cynicism, and a great deal of African public delivery is capable and committed. It is a reason for a practitioner to map the institutional and political terrain deliberately, to build the approvals and the relationships that </w:t>
      </w:r>
      <w:proofErr w:type="gramStart"/>
      <w:r>
        <w:t>carry</w:t>
      </w:r>
      <w:proofErr w:type="gramEnd"/>
      <w:r>
        <w:t xml:space="preserve"> a project across changes of leadership, and to document decisions well enough that a project can survive the departure of the people who took them.</w:t>
      </w:r>
    </w:p>
    <w:p w14:paraId="1FF13DD8" w14:textId="77777777" w:rsidR="00915518" w:rsidRDefault="00280CEA">
      <w:pPr>
        <w:pStyle w:val="Heading2"/>
        <w:spacing w:before="280" w:after="120"/>
      </w:pPr>
      <w:r>
        <w:t>2.4  Society, community, and culture</w:t>
      </w:r>
    </w:p>
    <w:p w14:paraId="04DE394D" w14:textId="77777777" w:rsidR="00915518" w:rsidRDefault="00280CEA">
      <w:pPr>
        <w:spacing w:after="160" w:line="348" w:lineRule="auto"/>
        <w:jc w:val="both"/>
      </w:pPr>
      <w:r>
        <w:t>An African project is embedded in the society it is built in, and that society is frequently a more active party to delivery than a Western frame would expect. Land is often held under customary tenure, so that the right to build is negotiated with traditional authorities and communities rather than simply purchased, and a project that treats land as a transaction rather than a relationship invites delay and dispute. Community consent, once secured, must be maintained, because a community that withdraws its</w:t>
      </w:r>
      <w:r>
        <w:t xml:space="preserve"> cooperation can halt a project as surely as a funder that withdraws its money.</w:t>
      </w:r>
    </w:p>
    <w:p w14:paraId="5C48EA6E" w14:textId="77777777" w:rsidR="00915518" w:rsidRDefault="00280CEA">
      <w:pPr>
        <w:spacing w:after="160" w:line="348" w:lineRule="auto"/>
        <w:jc w:val="both"/>
      </w:pPr>
      <w:r>
        <w:lastRenderedPageBreak/>
        <w:t xml:space="preserve">The informal economy is a further reality that formal plans routinely omit. Much labour, supply, and livelihood around a project sits outside the formal sector, and a project interacts with it </w:t>
      </w:r>
      <w:proofErr w:type="gramStart"/>
      <w:r>
        <w:t>whether or not</w:t>
      </w:r>
      <w:proofErr w:type="gramEnd"/>
      <w:r>
        <w:t xml:space="preserve"> the plan acknowledges it. Cultural norms, including communal traditions of consultation and consent, shape how engagement must be conducted to be legitimate. The competent practitioner treats stakeholder and community engagement not as a compliance exercise bolted to the side of delivery but as a core discipline, resourced and sustained from the first day to the last, and grounded in respect for the authority structures and values of the place the project is built.</w:t>
      </w:r>
    </w:p>
    <w:p w14:paraId="74566549" w14:textId="77777777" w:rsidR="00915518" w:rsidRDefault="00280CEA">
      <w:pPr>
        <w:pStyle w:val="Heading2"/>
        <w:spacing w:before="280" w:after="120"/>
      </w:pPr>
      <w:r>
        <w:t>2.5  The physical delivery environment</w:t>
      </w:r>
    </w:p>
    <w:p w14:paraId="31788DDE" w14:textId="77777777" w:rsidR="00915518" w:rsidRDefault="00280CEA">
      <w:pPr>
        <w:spacing w:after="160" w:line="348" w:lineRule="auto"/>
        <w:jc w:val="both"/>
      </w:pPr>
      <w:r>
        <w:t>The physical conditions of delivery cannot be assumed. Reliable power, water, and telecommunications are absent or intermittent in many places where projects are built, so that a project may have to provide for itself what a plan elsewhere would take from the grid. Transport and logistics are lengthened and complicated by the state of roads, ports, and borders, and the movement of materials and equipment becomes a managed risk rather than a routine input. Geography disperses many projects across distances t</w:t>
      </w:r>
      <w:r>
        <w:t>hat strain supervision and supply.</w:t>
      </w:r>
    </w:p>
    <w:p w14:paraId="78E74A4C" w14:textId="77777777" w:rsidR="00915518" w:rsidRDefault="00280CEA">
      <w:pPr>
        <w:spacing w:after="160" w:line="348" w:lineRule="auto"/>
        <w:jc w:val="both"/>
      </w:pPr>
      <w:r>
        <w:t>Data is often the scarcest input of all. Reliable baseline information, on ground conditions, on populations, on existing assets, may not exist, so that estimates rest on weaker foundations and must carry wider margins. Seasons impose their own discipline, as rains close roads and sites for months at a time and compress the working year. In some regions, security constrains where and how work can proceed. A practitioner competent in this environment plans logistics and enabling infrastructure as first-order</w:t>
      </w:r>
      <w:r>
        <w:t xml:space="preserve"> elements of the work, builds estimates that are honest about the data behind them, and schedules around the seasonal and security realities rather than being defeated by them.</w:t>
      </w:r>
    </w:p>
    <w:p w14:paraId="5C1A3ED8" w14:textId="77777777" w:rsidR="00915518" w:rsidRDefault="00280CEA">
      <w:pPr>
        <w:pStyle w:val="Heading2"/>
        <w:spacing w:before="280" w:after="120"/>
      </w:pPr>
      <w:r>
        <w:t>2.6  Sustainability, climate, and resilience</w:t>
      </w:r>
    </w:p>
    <w:p w14:paraId="75E9BA69" w14:textId="77777777" w:rsidR="00915518" w:rsidRDefault="00280CEA">
      <w:pPr>
        <w:spacing w:after="160" w:line="348" w:lineRule="auto"/>
        <w:jc w:val="both"/>
      </w:pPr>
      <w:r>
        <w:t>Africa contributes least to climate change and is exposed to a great deal of its consequence, and this shapes projects twice over. The assets a project builds must stand up to a climate that is shifting and to weather that is intensifying, so that resilience is a design and delivery concern rather than an afterthought. At the same time, the funders and publics a project answers to increasingly expect it to demonstrate its environmental and social performance, and to show that it contributes to a just transi</w:t>
      </w:r>
      <w:r>
        <w:t>tion rather than locking in harm.</w:t>
      </w:r>
    </w:p>
    <w:p w14:paraId="22A13519" w14:textId="77777777" w:rsidR="00915518" w:rsidRDefault="00280CEA">
      <w:pPr>
        <w:spacing w:after="160" w:line="348" w:lineRule="auto"/>
        <w:jc w:val="both"/>
      </w:pPr>
      <w:r>
        <w:lastRenderedPageBreak/>
        <w:t>For the practitioner, this means that sustainability is not a separate workstream to be reported on but a condition woven through delivery: in the choices made at design, in the resilience built into the asset, in the environmental and social safeguards that funders require and that communities are owed, and in the honest measurement of outcomes. A project that delivers on time and to budget but leaves behind an asset that cannot withstand the next flood, or a community worse off than before, has not succee</w:t>
      </w:r>
      <w:r>
        <w:t>ded. The framework treats sustainability and resilience as integral to competent delivery, not adjacent to it.</w:t>
      </w:r>
    </w:p>
    <w:p w14:paraId="1D7EC9BD" w14:textId="77777777" w:rsidR="00915518" w:rsidRDefault="00280CEA">
      <w:r>
        <w:br w:type="page"/>
      </w:r>
    </w:p>
    <w:p w14:paraId="240E2058" w14:textId="77777777" w:rsidR="00915518" w:rsidRDefault="00280CEA">
      <w:pPr>
        <w:pStyle w:val="Heading1"/>
        <w:spacing w:before="320" w:after="150"/>
      </w:pPr>
      <w:r>
        <w:lastRenderedPageBreak/>
        <w:t>Part Three  |  The Knowledge Domains</w:t>
      </w:r>
    </w:p>
    <w:p w14:paraId="4CFB8AC9" w14:textId="77777777" w:rsidR="00915518" w:rsidRDefault="00915518">
      <w:pPr>
        <w:pBdr>
          <w:bottom w:val="single" w:sz="8" w:space="1" w:color="C47B0B"/>
        </w:pBdr>
        <w:spacing w:before="60" w:after="160"/>
      </w:pPr>
    </w:p>
    <w:p w14:paraId="69083169" w14:textId="77777777" w:rsidR="00915518" w:rsidRDefault="00280CEA">
      <w:pPr>
        <w:pStyle w:val="Heading2"/>
        <w:spacing w:before="280" w:after="120"/>
      </w:pPr>
      <w:r>
        <w:t>3.1  The twelve domains</w:t>
      </w:r>
    </w:p>
    <w:p w14:paraId="7A5C74AA" w14:textId="77777777" w:rsidR="00915518" w:rsidRDefault="00280CEA">
      <w:pPr>
        <w:spacing w:after="160" w:line="348" w:lineRule="auto"/>
        <w:jc w:val="both"/>
      </w:pPr>
      <w:r>
        <w:t>The knowledge a project manager brings is organised here into twelve domains, grouped into four families: the domains that hold the work together and keep it accountable, those that define and control it, those that enable it to be delivered, and those that secure the value it was undertaken for. Each domain is a settled part of the global discipline. What follows describes each only where the contextual foundation of Part Two changes how it must be applied. The global fundamentals are assumed.</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60"/>
        <w:gridCol w:w="3300"/>
        <w:gridCol w:w="4300"/>
      </w:tblGrid>
      <w:tr w:rsidR="00915518" w14:paraId="27E7E14C" w14:textId="77777777">
        <w:tblPrEx>
          <w:tblCellMar>
            <w:top w:w="0" w:type="dxa"/>
            <w:bottom w:w="0" w:type="dxa"/>
          </w:tblCellMar>
        </w:tblPrEx>
        <w:trPr>
          <w:tblHeader/>
        </w:trPr>
        <w:tc>
          <w:tcPr>
            <w:tcW w:w="1760" w:type="dxa"/>
            <w:shd w:val="clear" w:color="auto" w:fill="1A5C2A"/>
            <w:tcMar>
              <w:top w:w="80" w:type="dxa"/>
              <w:left w:w="110" w:type="dxa"/>
              <w:bottom w:w="80" w:type="dxa"/>
              <w:right w:w="110" w:type="dxa"/>
            </w:tcMar>
          </w:tcPr>
          <w:p w14:paraId="47F490B3" w14:textId="77777777" w:rsidR="00915518" w:rsidRDefault="00280CEA">
            <w:r>
              <w:rPr>
                <w:b/>
                <w:bCs/>
                <w:color w:val="FFFFFF"/>
                <w:sz w:val="19"/>
                <w:szCs w:val="19"/>
              </w:rPr>
              <w:t>Family</w:t>
            </w:r>
          </w:p>
        </w:tc>
        <w:tc>
          <w:tcPr>
            <w:tcW w:w="3300" w:type="dxa"/>
            <w:shd w:val="clear" w:color="auto" w:fill="1A5C2A"/>
            <w:tcMar>
              <w:top w:w="80" w:type="dxa"/>
              <w:left w:w="110" w:type="dxa"/>
              <w:bottom w:w="80" w:type="dxa"/>
              <w:right w:w="110" w:type="dxa"/>
            </w:tcMar>
          </w:tcPr>
          <w:p w14:paraId="0C5FEF15" w14:textId="77777777" w:rsidR="00915518" w:rsidRDefault="00280CEA">
            <w:r>
              <w:rPr>
                <w:b/>
                <w:bCs/>
                <w:color w:val="FFFFFF"/>
                <w:sz w:val="19"/>
                <w:szCs w:val="19"/>
              </w:rPr>
              <w:t>Knowledge domain</w:t>
            </w:r>
          </w:p>
        </w:tc>
        <w:tc>
          <w:tcPr>
            <w:tcW w:w="4300" w:type="dxa"/>
            <w:shd w:val="clear" w:color="auto" w:fill="1A5C2A"/>
            <w:tcMar>
              <w:top w:w="80" w:type="dxa"/>
              <w:left w:w="110" w:type="dxa"/>
              <w:bottom w:w="80" w:type="dxa"/>
              <w:right w:w="110" w:type="dxa"/>
            </w:tcMar>
          </w:tcPr>
          <w:p w14:paraId="5763BA1D" w14:textId="77777777" w:rsidR="00915518" w:rsidRDefault="00280CEA">
            <w:r>
              <w:rPr>
                <w:b/>
                <w:bCs/>
                <w:color w:val="FFFFFF"/>
                <w:sz w:val="19"/>
                <w:szCs w:val="19"/>
              </w:rPr>
              <w:t>Where the African context bites</w:t>
            </w:r>
          </w:p>
        </w:tc>
      </w:tr>
      <w:tr w:rsidR="00915518" w14:paraId="2F12FDA8"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05BAF6A2" w14:textId="77777777" w:rsidR="00915518" w:rsidRDefault="00280CEA">
            <w:pPr>
              <w:spacing w:line="262" w:lineRule="auto"/>
            </w:pPr>
            <w:r>
              <w:rPr>
                <w:b/>
                <w:bCs/>
                <w:sz w:val="18"/>
                <w:szCs w:val="18"/>
              </w:rPr>
              <w:t>Integration and governance</w:t>
            </w:r>
          </w:p>
        </w:tc>
        <w:tc>
          <w:tcPr>
            <w:tcW w:w="3300" w:type="dxa"/>
            <w:shd w:val="clear" w:color="auto" w:fill="EAF1EC"/>
            <w:tcMar>
              <w:top w:w="70" w:type="dxa"/>
              <w:left w:w="110" w:type="dxa"/>
              <w:bottom w:w="70" w:type="dxa"/>
              <w:right w:w="110" w:type="dxa"/>
            </w:tcMar>
          </w:tcPr>
          <w:p w14:paraId="7094460B" w14:textId="77777777" w:rsidR="00915518" w:rsidRDefault="00280CEA">
            <w:pPr>
              <w:spacing w:line="262" w:lineRule="auto"/>
            </w:pPr>
            <w:r>
              <w:rPr>
                <w:sz w:val="18"/>
                <w:szCs w:val="18"/>
              </w:rPr>
              <w:t>1  Integration and delivery governance</w:t>
            </w:r>
          </w:p>
        </w:tc>
        <w:tc>
          <w:tcPr>
            <w:tcW w:w="4300" w:type="dxa"/>
            <w:shd w:val="clear" w:color="auto" w:fill="EAF1EC"/>
            <w:tcMar>
              <w:top w:w="70" w:type="dxa"/>
              <w:left w:w="110" w:type="dxa"/>
              <w:bottom w:w="70" w:type="dxa"/>
              <w:right w:w="110" w:type="dxa"/>
            </w:tcMar>
          </w:tcPr>
          <w:p w14:paraId="034FFFBF" w14:textId="77777777" w:rsidR="00915518" w:rsidRDefault="00280CEA">
            <w:pPr>
              <w:spacing w:line="262" w:lineRule="auto"/>
            </w:pPr>
            <w:r>
              <w:rPr>
                <w:sz w:val="18"/>
                <w:szCs w:val="18"/>
              </w:rPr>
              <w:t>Coordinating many institutions and funders, not managing within one client.</w:t>
            </w:r>
          </w:p>
        </w:tc>
      </w:tr>
      <w:tr w:rsidR="00915518" w14:paraId="01A36DF0"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0699E383" w14:textId="77777777" w:rsidR="00915518" w:rsidRDefault="00915518">
            <w:pPr>
              <w:spacing w:line="262" w:lineRule="auto"/>
            </w:pPr>
          </w:p>
        </w:tc>
        <w:tc>
          <w:tcPr>
            <w:tcW w:w="3300" w:type="dxa"/>
            <w:shd w:val="clear" w:color="auto" w:fill="FFFFFF"/>
            <w:tcMar>
              <w:top w:w="70" w:type="dxa"/>
              <w:left w:w="110" w:type="dxa"/>
              <w:bottom w:w="70" w:type="dxa"/>
              <w:right w:w="110" w:type="dxa"/>
            </w:tcMar>
          </w:tcPr>
          <w:p w14:paraId="58B9DC06" w14:textId="77777777" w:rsidR="00915518" w:rsidRDefault="00280CEA">
            <w:pPr>
              <w:spacing w:line="262" w:lineRule="auto"/>
            </w:pPr>
            <w:r>
              <w:rPr>
                <w:sz w:val="18"/>
                <w:szCs w:val="18"/>
              </w:rPr>
              <w:t>2  Assurance-ready controls</w:t>
            </w:r>
          </w:p>
        </w:tc>
        <w:tc>
          <w:tcPr>
            <w:tcW w:w="4300" w:type="dxa"/>
            <w:shd w:val="clear" w:color="auto" w:fill="FFFFFF"/>
            <w:tcMar>
              <w:top w:w="70" w:type="dxa"/>
              <w:left w:w="110" w:type="dxa"/>
              <w:bottom w:w="70" w:type="dxa"/>
              <w:right w:w="110" w:type="dxa"/>
            </w:tcMar>
          </w:tcPr>
          <w:p w14:paraId="6D3ABE4C" w14:textId="77777777" w:rsidR="00915518" w:rsidRDefault="00280CEA">
            <w:pPr>
              <w:spacing w:line="262" w:lineRule="auto"/>
            </w:pPr>
            <w:r>
              <w:rPr>
                <w:sz w:val="18"/>
                <w:szCs w:val="18"/>
              </w:rPr>
              <w:t>Building the records and audit trail that make delivery auditable and defensible.</w:t>
            </w:r>
          </w:p>
        </w:tc>
      </w:tr>
      <w:tr w:rsidR="00915518" w14:paraId="4D31F35E"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75BD3B45" w14:textId="77777777" w:rsidR="00915518" w:rsidRDefault="00280CEA">
            <w:pPr>
              <w:spacing w:line="262" w:lineRule="auto"/>
            </w:pPr>
            <w:r>
              <w:rPr>
                <w:b/>
                <w:bCs/>
                <w:sz w:val="18"/>
                <w:szCs w:val="18"/>
              </w:rPr>
              <w:t>Defining and controlling</w:t>
            </w:r>
          </w:p>
        </w:tc>
        <w:tc>
          <w:tcPr>
            <w:tcW w:w="3300" w:type="dxa"/>
            <w:shd w:val="clear" w:color="auto" w:fill="EAF1EC"/>
            <w:tcMar>
              <w:top w:w="70" w:type="dxa"/>
              <w:left w:w="110" w:type="dxa"/>
              <w:bottom w:w="70" w:type="dxa"/>
              <w:right w:w="110" w:type="dxa"/>
            </w:tcMar>
          </w:tcPr>
          <w:p w14:paraId="7797B0EA" w14:textId="77777777" w:rsidR="00915518" w:rsidRDefault="00280CEA">
            <w:pPr>
              <w:spacing w:line="262" w:lineRule="auto"/>
            </w:pPr>
            <w:r>
              <w:rPr>
                <w:sz w:val="18"/>
                <w:szCs w:val="18"/>
              </w:rPr>
              <w:t>3  Initiation and business case</w:t>
            </w:r>
          </w:p>
        </w:tc>
        <w:tc>
          <w:tcPr>
            <w:tcW w:w="4300" w:type="dxa"/>
            <w:shd w:val="clear" w:color="auto" w:fill="EAF1EC"/>
            <w:tcMar>
              <w:top w:w="70" w:type="dxa"/>
              <w:left w:w="110" w:type="dxa"/>
              <w:bottom w:w="70" w:type="dxa"/>
              <w:right w:w="110" w:type="dxa"/>
            </w:tcMar>
          </w:tcPr>
          <w:p w14:paraId="116AE723" w14:textId="77777777" w:rsidR="00915518" w:rsidRDefault="00280CEA">
            <w:pPr>
              <w:spacing w:line="262" w:lineRule="auto"/>
            </w:pPr>
            <w:r>
              <w:rPr>
                <w:sz w:val="18"/>
                <w:szCs w:val="18"/>
              </w:rPr>
              <w:t>Justifying a project by development outcome and funder logic, not commercial return alone.</w:t>
            </w:r>
          </w:p>
        </w:tc>
      </w:tr>
      <w:tr w:rsidR="00915518" w14:paraId="36A19FED"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10524C32" w14:textId="77777777" w:rsidR="00915518" w:rsidRDefault="00915518">
            <w:pPr>
              <w:spacing w:line="262" w:lineRule="auto"/>
            </w:pPr>
          </w:p>
        </w:tc>
        <w:tc>
          <w:tcPr>
            <w:tcW w:w="3300" w:type="dxa"/>
            <w:shd w:val="clear" w:color="auto" w:fill="FFFFFF"/>
            <w:tcMar>
              <w:top w:w="70" w:type="dxa"/>
              <w:left w:w="110" w:type="dxa"/>
              <w:bottom w:w="70" w:type="dxa"/>
              <w:right w:w="110" w:type="dxa"/>
            </w:tcMar>
          </w:tcPr>
          <w:p w14:paraId="4041D4FC" w14:textId="77777777" w:rsidR="00915518" w:rsidRDefault="00280CEA">
            <w:pPr>
              <w:spacing w:line="262" w:lineRule="auto"/>
            </w:pPr>
            <w:r>
              <w:rPr>
                <w:sz w:val="18"/>
                <w:szCs w:val="18"/>
              </w:rPr>
              <w:t>4  Scope and requirements</w:t>
            </w:r>
          </w:p>
        </w:tc>
        <w:tc>
          <w:tcPr>
            <w:tcW w:w="4300" w:type="dxa"/>
            <w:shd w:val="clear" w:color="auto" w:fill="FFFFFF"/>
            <w:tcMar>
              <w:top w:w="70" w:type="dxa"/>
              <w:left w:w="110" w:type="dxa"/>
              <w:bottom w:w="70" w:type="dxa"/>
              <w:right w:w="110" w:type="dxa"/>
            </w:tcMar>
          </w:tcPr>
          <w:p w14:paraId="38949194" w14:textId="77777777" w:rsidR="00915518" w:rsidRDefault="00280CEA">
            <w:pPr>
              <w:spacing w:line="262" w:lineRule="auto"/>
            </w:pPr>
            <w:r>
              <w:rPr>
                <w:sz w:val="18"/>
                <w:szCs w:val="18"/>
              </w:rPr>
              <w:t>Defining scope against thin baseline data and shifting institutional demands.</w:t>
            </w:r>
          </w:p>
        </w:tc>
      </w:tr>
      <w:tr w:rsidR="00915518" w14:paraId="0D7DCC59"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718113AC" w14:textId="77777777" w:rsidR="00915518" w:rsidRDefault="00915518">
            <w:pPr>
              <w:spacing w:line="262" w:lineRule="auto"/>
            </w:pPr>
          </w:p>
        </w:tc>
        <w:tc>
          <w:tcPr>
            <w:tcW w:w="3300" w:type="dxa"/>
            <w:shd w:val="clear" w:color="auto" w:fill="EAF1EC"/>
            <w:tcMar>
              <w:top w:w="70" w:type="dxa"/>
              <w:left w:w="110" w:type="dxa"/>
              <w:bottom w:w="70" w:type="dxa"/>
              <w:right w:w="110" w:type="dxa"/>
            </w:tcMar>
          </w:tcPr>
          <w:p w14:paraId="7FDC9FBF" w14:textId="77777777" w:rsidR="00915518" w:rsidRDefault="00280CEA">
            <w:pPr>
              <w:spacing w:line="262" w:lineRule="auto"/>
            </w:pPr>
            <w:r>
              <w:rPr>
                <w:sz w:val="18"/>
                <w:szCs w:val="18"/>
              </w:rPr>
              <w:t>5  Schedule and time</w:t>
            </w:r>
          </w:p>
        </w:tc>
        <w:tc>
          <w:tcPr>
            <w:tcW w:w="4300" w:type="dxa"/>
            <w:shd w:val="clear" w:color="auto" w:fill="EAF1EC"/>
            <w:tcMar>
              <w:top w:w="70" w:type="dxa"/>
              <w:left w:w="110" w:type="dxa"/>
              <w:bottom w:w="70" w:type="dxa"/>
              <w:right w:w="110" w:type="dxa"/>
            </w:tcMar>
          </w:tcPr>
          <w:p w14:paraId="4DE962BD" w14:textId="77777777" w:rsidR="00915518" w:rsidRDefault="00280CEA">
            <w:pPr>
              <w:spacing w:line="262" w:lineRule="auto"/>
            </w:pPr>
            <w:r>
              <w:rPr>
                <w:sz w:val="18"/>
                <w:szCs w:val="18"/>
              </w:rPr>
              <w:t>Scheduling around disbursement, seasons, approvals, and logistics.</w:t>
            </w:r>
          </w:p>
        </w:tc>
      </w:tr>
      <w:tr w:rsidR="00915518" w14:paraId="53E27C21"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2E152416" w14:textId="77777777" w:rsidR="00915518" w:rsidRDefault="00915518">
            <w:pPr>
              <w:spacing w:line="262" w:lineRule="auto"/>
            </w:pPr>
          </w:p>
        </w:tc>
        <w:tc>
          <w:tcPr>
            <w:tcW w:w="3300" w:type="dxa"/>
            <w:shd w:val="clear" w:color="auto" w:fill="FFFFFF"/>
            <w:tcMar>
              <w:top w:w="70" w:type="dxa"/>
              <w:left w:w="110" w:type="dxa"/>
              <w:bottom w:w="70" w:type="dxa"/>
              <w:right w:w="110" w:type="dxa"/>
            </w:tcMar>
          </w:tcPr>
          <w:p w14:paraId="7C162AD8" w14:textId="77777777" w:rsidR="00915518" w:rsidRDefault="00280CEA">
            <w:pPr>
              <w:spacing w:line="262" w:lineRule="auto"/>
            </w:pPr>
            <w:r>
              <w:rPr>
                <w:sz w:val="18"/>
                <w:szCs w:val="18"/>
              </w:rPr>
              <w:t>6  Cost, budget, and funding</w:t>
            </w:r>
          </w:p>
        </w:tc>
        <w:tc>
          <w:tcPr>
            <w:tcW w:w="4300" w:type="dxa"/>
            <w:shd w:val="clear" w:color="auto" w:fill="FFFFFF"/>
            <w:tcMar>
              <w:top w:w="70" w:type="dxa"/>
              <w:left w:w="110" w:type="dxa"/>
              <w:bottom w:w="70" w:type="dxa"/>
              <w:right w:w="110" w:type="dxa"/>
            </w:tcMar>
          </w:tcPr>
          <w:p w14:paraId="79768BEA" w14:textId="77777777" w:rsidR="00915518" w:rsidRDefault="00280CEA">
            <w:pPr>
              <w:spacing w:line="262" w:lineRule="auto"/>
            </w:pPr>
            <w:r>
              <w:rPr>
                <w:sz w:val="18"/>
                <w:szCs w:val="18"/>
              </w:rPr>
              <w:t>Managing multi-source, multi-currency funding and disbursement reality.</w:t>
            </w:r>
          </w:p>
        </w:tc>
      </w:tr>
      <w:tr w:rsidR="00915518" w14:paraId="08FC9E19"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32C0DC06" w14:textId="77777777" w:rsidR="00915518" w:rsidRDefault="00915518">
            <w:pPr>
              <w:spacing w:line="262" w:lineRule="auto"/>
            </w:pPr>
          </w:p>
        </w:tc>
        <w:tc>
          <w:tcPr>
            <w:tcW w:w="3300" w:type="dxa"/>
            <w:shd w:val="clear" w:color="auto" w:fill="EAF1EC"/>
            <w:tcMar>
              <w:top w:w="70" w:type="dxa"/>
              <w:left w:w="110" w:type="dxa"/>
              <w:bottom w:w="70" w:type="dxa"/>
              <w:right w:w="110" w:type="dxa"/>
            </w:tcMar>
          </w:tcPr>
          <w:p w14:paraId="2BC5AA72" w14:textId="77777777" w:rsidR="00915518" w:rsidRDefault="00280CEA">
            <w:pPr>
              <w:spacing w:line="262" w:lineRule="auto"/>
            </w:pPr>
            <w:r>
              <w:rPr>
                <w:sz w:val="18"/>
                <w:szCs w:val="18"/>
              </w:rPr>
              <w:t>7  Quality</w:t>
            </w:r>
          </w:p>
        </w:tc>
        <w:tc>
          <w:tcPr>
            <w:tcW w:w="4300" w:type="dxa"/>
            <w:shd w:val="clear" w:color="auto" w:fill="EAF1EC"/>
            <w:tcMar>
              <w:top w:w="70" w:type="dxa"/>
              <w:left w:w="110" w:type="dxa"/>
              <w:bottom w:w="70" w:type="dxa"/>
              <w:right w:w="110" w:type="dxa"/>
            </w:tcMar>
          </w:tcPr>
          <w:p w14:paraId="5928B034" w14:textId="77777777" w:rsidR="00915518" w:rsidRDefault="00280CEA">
            <w:pPr>
              <w:spacing w:line="262" w:lineRule="auto"/>
            </w:pPr>
            <w:r>
              <w:rPr>
                <w:sz w:val="18"/>
                <w:szCs w:val="18"/>
              </w:rPr>
              <w:t>Assuring quality through a shallow supply market and variable inputs.</w:t>
            </w:r>
          </w:p>
        </w:tc>
      </w:tr>
      <w:tr w:rsidR="00915518" w14:paraId="4FCA217D"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5E49EB70" w14:textId="77777777" w:rsidR="00915518" w:rsidRDefault="00915518">
            <w:pPr>
              <w:spacing w:line="262" w:lineRule="auto"/>
            </w:pPr>
          </w:p>
        </w:tc>
        <w:tc>
          <w:tcPr>
            <w:tcW w:w="3300" w:type="dxa"/>
            <w:shd w:val="clear" w:color="auto" w:fill="FFFFFF"/>
            <w:tcMar>
              <w:top w:w="70" w:type="dxa"/>
              <w:left w:w="110" w:type="dxa"/>
              <w:bottom w:w="70" w:type="dxa"/>
              <w:right w:w="110" w:type="dxa"/>
            </w:tcMar>
          </w:tcPr>
          <w:p w14:paraId="54DA1708" w14:textId="77777777" w:rsidR="00915518" w:rsidRDefault="00280CEA">
            <w:pPr>
              <w:spacing w:line="262" w:lineRule="auto"/>
            </w:pPr>
            <w:r>
              <w:rPr>
                <w:sz w:val="18"/>
                <w:szCs w:val="18"/>
              </w:rPr>
              <w:t>8  Risk and uncertainty</w:t>
            </w:r>
          </w:p>
        </w:tc>
        <w:tc>
          <w:tcPr>
            <w:tcW w:w="4300" w:type="dxa"/>
            <w:shd w:val="clear" w:color="auto" w:fill="FFFFFF"/>
            <w:tcMar>
              <w:top w:w="70" w:type="dxa"/>
              <w:left w:w="110" w:type="dxa"/>
              <w:bottom w:w="70" w:type="dxa"/>
              <w:right w:w="110" w:type="dxa"/>
            </w:tcMar>
          </w:tcPr>
          <w:p w14:paraId="4DB26499" w14:textId="77777777" w:rsidR="00915518" w:rsidRDefault="00280CEA">
            <w:pPr>
              <w:spacing w:line="262" w:lineRule="auto"/>
            </w:pPr>
            <w:r>
              <w:rPr>
                <w:sz w:val="18"/>
                <w:szCs w:val="18"/>
              </w:rPr>
              <w:t xml:space="preserve">Carrying currency, </w:t>
            </w:r>
            <w:proofErr w:type="gramStart"/>
            <w:r>
              <w:rPr>
                <w:sz w:val="18"/>
                <w:szCs w:val="18"/>
              </w:rPr>
              <w:t>political</w:t>
            </w:r>
            <w:proofErr w:type="gramEnd"/>
            <w:r>
              <w:rPr>
                <w:sz w:val="18"/>
                <w:szCs w:val="18"/>
              </w:rPr>
              <w:t>, capacity, and counterpart-funding risk explicitly.</w:t>
            </w:r>
          </w:p>
        </w:tc>
      </w:tr>
      <w:tr w:rsidR="00915518" w14:paraId="71C14AC1"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1873A56F" w14:textId="77777777" w:rsidR="00915518" w:rsidRDefault="00280CEA">
            <w:pPr>
              <w:spacing w:line="262" w:lineRule="auto"/>
            </w:pPr>
            <w:r>
              <w:rPr>
                <w:b/>
                <w:bCs/>
                <w:sz w:val="18"/>
                <w:szCs w:val="18"/>
              </w:rPr>
              <w:t>Enabling delivery</w:t>
            </w:r>
          </w:p>
        </w:tc>
        <w:tc>
          <w:tcPr>
            <w:tcW w:w="3300" w:type="dxa"/>
            <w:shd w:val="clear" w:color="auto" w:fill="EAF1EC"/>
            <w:tcMar>
              <w:top w:w="70" w:type="dxa"/>
              <w:left w:w="110" w:type="dxa"/>
              <w:bottom w:w="70" w:type="dxa"/>
              <w:right w:w="110" w:type="dxa"/>
            </w:tcMar>
          </w:tcPr>
          <w:p w14:paraId="279E51D1" w14:textId="77777777" w:rsidR="00915518" w:rsidRDefault="00280CEA">
            <w:pPr>
              <w:spacing w:line="262" w:lineRule="auto"/>
            </w:pPr>
            <w:r>
              <w:rPr>
                <w:sz w:val="18"/>
                <w:szCs w:val="18"/>
              </w:rPr>
              <w:t>9  Procurement and contract administration</w:t>
            </w:r>
          </w:p>
        </w:tc>
        <w:tc>
          <w:tcPr>
            <w:tcW w:w="4300" w:type="dxa"/>
            <w:shd w:val="clear" w:color="auto" w:fill="EAF1EC"/>
            <w:tcMar>
              <w:top w:w="70" w:type="dxa"/>
              <w:left w:w="110" w:type="dxa"/>
              <w:bottom w:w="70" w:type="dxa"/>
              <w:right w:w="110" w:type="dxa"/>
            </w:tcMar>
          </w:tcPr>
          <w:p w14:paraId="7FB58521" w14:textId="77777777" w:rsidR="00915518" w:rsidRDefault="00280CEA">
            <w:pPr>
              <w:spacing w:line="262" w:lineRule="auto"/>
            </w:pPr>
            <w:r>
              <w:rPr>
                <w:sz w:val="18"/>
                <w:szCs w:val="18"/>
              </w:rPr>
              <w:t>Delivering within public procurement law, local content, and a thin contractor pool.</w:t>
            </w:r>
          </w:p>
        </w:tc>
      </w:tr>
      <w:tr w:rsidR="00915518" w14:paraId="63804302"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1F5DD36A" w14:textId="77777777" w:rsidR="00915518" w:rsidRDefault="00915518">
            <w:pPr>
              <w:spacing w:line="262" w:lineRule="auto"/>
            </w:pPr>
          </w:p>
        </w:tc>
        <w:tc>
          <w:tcPr>
            <w:tcW w:w="3300" w:type="dxa"/>
            <w:shd w:val="clear" w:color="auto" w:fill="FFFFFF"/>
            <w:tcMar>
              <w:top w:w="70" w:type="dxa"/>
              <w:left w:w="110" w:type="dxa"/>
              <w:bottom w:w="70" w:type="dxa"/>
              <w:right w:w="110" w:type="dxa"/>
            </w:tcMar>
          </w:tcPr>
          <w:p w14:paraId="6D844260" w14:textId="77777777" w:rsidR="00915518" w:rsidRDefault="00280CEA">
            <w:pPr>
              <w:spacing w:line="262" w:lineRule="auto"/>
            </w:pPr>
            <w:r>
              <w:rPr>
                <w:sz w:val="18"/>
                <w:szCs w:val="18"/>
              </w:rPr>
              <w:t>10  Resources and capacity</w:t>
            </w:r>
          </w:p>
        </w:tc>
        <w:tc>
          <w:tcPr>
            <w:tcW w:w="4300" w:type="dxa"/>
            <w:shd w:val="clear" w:color="auto" w:fill="FFFFFF"/>
            <w:tcMar>
              <w:top w:w="70" w:type="dxa"/>
              <w:left w:w="110" w:type="dxa"/>
              <w:bottom w:w="70" w:type="dxa"/>
              <w:right w:w="110" w:type="dxa"/>
            </w:tcMar>
          </w:tcPr>
          <w:p w14:paraId="05F357E9" w14:textId="77777777" w:rsidR="00915518" w:rsidRDefault="00280CEA">
            <w:pPr>
              <w:spacing w:line="262" w:lineRule="auto"/>
            </w:pPr>
            <w:r>
              <w:rPr>
                <w:sz w:val="18"/>
                <w:szCs w:val="18"/>
              </w:rPr>
              <w:t>Building capacity as part of delivery, not assuming it is available.</w:t>
            </w:r>
          </w:p>
        </w:tc>
      </w:tr>
      <w:tr w:rsidR="00915518" w14:paraId="794D76B6"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4A979ADD" w14:textId="77777777" w:rsidR="00915518" w:rsidRDefault="00915518">
            <w:pPr>
              <w:spacing w:line="262" w:lineRule="auto"/>
            </w:pPr>
          </w:p>
        </w:tc>
        <w:tc>
          <w:tcPr>
            <w:tcW w:w="3300" w:type="dxa"/>
            <w:shd w:val="clear" w:color="auto" w:fill="EAF1EC"/>
            <w:tcMar>
              <w:top w:w="70" w:type="dxa"/>
              <w:left w:w="110" w:type="dxa"/>
              <w:bottom w:w="70" w:type="dxa"/>
              <w:right w:w="110" w:type="dxa"/>
            </w:tcMar>
          </w:tcPr>
          <w:p w14:paraId="351CE2C8" w14:textId="77777777" w:rsidR="00915518" w:rsidRDefault="00280CEA">
            <w:pPr>
              <w:spacing w:line="262" w:lineRule="auto"/>
            </w:pPr>
            <w:r>
              <w:rPr>
                <w:sz w:val="18"/>
                <w:szCs w:val="18"/>
              </w:rPr>
              <w:t>11  Stakeholder, community, and communications</w:t>
            </w:r>
          </w:p>
        </w:tc>
        <w:tc>
          <w:tcPr>
            <w:tcW w:w="4300" w:type="dxa"/>
            <w:shd w:val="clear" w:color="auto" w:fill="EAF1EC"/>
            <w:tcMar>
              <w:top w:w="70" w:type="dxa"/>
              <w:left w:w="110" w:type="dxa"/>
              <w:bottom w:w="70" w:type="dxa"/>
              <w:right w:w="110" w:type="dxa"/>
            </w:tcMar>
          </w:tcPr>
          <w:p w14:paraId="3034EBF9" w14:textId="77777777" w:rsidR="00915518" w:rsidRDefault="00280CEA">
            <w:pPr>
              <w:spacing w:line="262" w:lineRule="auto"/>
            </w:pPr>
            <w:r>
              <w:rPr>
                <w:sz w:val="18"/>
                <w:szCs w:val="18"/>
              </w:rPr>
              <w:t>Securing and sustaining community consent and customary consent to build.</w:t>
            </w:r>
          </w:p>
        </w:tc>
      </w:tr>
      <w:tr w:rsidR="00915518" w14:paraId="3B1B2A04"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2BD01A5B" w14:textId="77777777" w:rsidR="00915518" w:rsidRDefault="00280CEA">
            <w:pPr>
              <w:spacing w:line="262" w:lineRule="auto"/>
            </w:pPr>
            <w:proofErr w:type="spellStart"/>
            <w:r>
              <w:rPr>
                <w:b/>
                <w:bCs/>
                <w:sz w:val="18"/>
                <w:szCs w:val="18"/>
              </w:rPr>
              <w:t>Realising</w:t>
            </w:r>
            <w:proofErr w:type="spellEnd"/>
            <w:r>
              <w:rPr>
                <w:b/>
                <w:bCs/>
                <w:sz w:val="18"/>
                <w:szCs w:val="18"/>
              </w:rPr>
              <w:t xml:space="preserve"> value</w:t>
            </w:r>
          </w:p>
        </w:tc>
        <w:tc>
          <w:tcPr>
            <w:tcW w:w="3300" w:type="dxa"/>
            <w:shd w:val="clear" w:color="auto" w:fill="FFFFFF"/>
            <w:tcMar>
              <w:top w:w="70" w:type="dxa"/>
              <w:left w:w="110" w:type="dxa"/>
              <w:bottom w:w="70" w:type="dxa"/>
              <w:right w:w="110" w:type="dxa"/>
            </w:tcMar>
          </w:tcPr>
          <w:p w14:paraId="698FE0CF" w14:textId="77777777" w:rsidR="00915518" w:rsidRDefault="00280CEA">
            <w:pPr>
              <w:spacing w:line="262" w:lineRule="auto"/>
            </w:pPr>
            <w:r>
              <w:rPr>
                <w:sz w:val="18"/>
                <w:szCs w:val="18"/>
              </w:rPr>
              <w:t>12  Benefits realisation and sustainability</w:t>
            </w:r>
          </w:p>
        </w:tc>
        <w:tc>
          <w:tcPr>
            <w:tcW w:w="4300" w:type="dxa"/>
            <w:shd w:val="clear" w:color="auto" w:fill="FFFFFF"/>
            <w:tcMar>
              <w:top w:w="70" w:type="dxa"/>
              <w:left w:w="110" w:type="dxa"/>
              <w:bottom w:w="70" w:type="dxa"/>
              <w:right w:w="110" w:type="dxa"/>
            </w:tcMar>
          </w:tcPr>
          <w:p w14:paraId="4FB0578A" w14:textId="77777777" w:rsidR="00915518" w:rsidRDefault="00280CEA">
            <w:pPr>
              <w:spacing w:line="262" w:lineRule="auto"/>
            </w:pPr>
            <w:r>
              <w:rPr>
                <w:sz w:val="18"/>
                <w:szCs w:val="18"/>
              </w:rPr>
              <w:t xml:space="preserve">Ensuring the change </w:t>
            </w:r>
            <w:proofErr w:type="gramStart"/>
            <w:r>
              <w:rPr>
                <w:sz w:val="18"/>
                <w:szCs w:val="18"/>
              </w:rPr>
              <w:t>actually arrives</w:t>
            </w:r>
            <w:proofErr w:type="gramEnd"/>
            <w:r>
              <w:rPr>
                <w:sz w:val="18"/>
                <w:szCs w:val="18"/>
              </w:rPr>
              <w:t>, lasts, and withstands the climate.</w:t>
            </w:r>
          </w:p>
        </w:tc>
      </w:tr>
    </w:tbl>
    <w:p w14:paraId="1C27AFFA" w14:textId="77777777" w:rsidR="00915518" w:rsidRDefault="00915518">
      <w:pPr>
        <w:spacing w:after="40"/>
      </w:pPr>
    </w:p>
    <w:p w14:paraId="3996B91A" w14:textId="77777777" w:rsidR="00915518" w:rsidRDefault="00280CEA">
      <w:pPr>
        <w:pStyle w:val="Heading2"/>
        <w:spacing w:before="280" w:after="120"/>
      </w:pPr>
      <w:r>
        <w:t>3.2  Integration and governance</w:t>
      </w:r>
    </w:p>
    <w:p w14:paraId="6647E585" w14:textId="77777777" w:rsidR="00915518" w:rsidRDefault="00280CEA">
      <w:pPr>
        <w:spacing w:after="150" w:line="344" w:lineRule="auto"/>
        <w:jc w:val="both"/>
      </w:pPr>
      <w:r>
        <w:rPr>
          <w:b/>
          <w:bCs/>
          <w:color w:val="1A5C2A"/>
        </w:rPr>
        <w:t xml:space="preserve">1. Integration and delivery governance.  </w:t>
      </w:r>
      <w:r>
        <w:t xml:space="preserve">In a setting where a project </w:t>
      </w:r>
      <w:proofErr w:type="gramStart"/>
      <w:r>
        <w:t>answers to</w:t>
      </w:r>
      <w:proofErr w:type="gramEnd"/>
      <w:r>
        <w:t xml:space="preserve"> many institutions and funders at once, integration is less about internal coordination and more about holding a coalition together. The domain covers establishing clear decision rights </w:t>
      </w:r>
      <w:r>
        <w:lastRenderedPageBreak/>
        <w:t>across a fragmented client landscape, keeping the funding coalition aligned, and steering the project through the sequence of external approvals on which progress depends. Governance here means making the project legible and accountable to every party that can stop it.</w:t>
      </w:r>
    </w:p>
    <w:p w14:paraId="6F3D1FAA" w14:textId="77777777" w:rsidR="00915518" w:rsidRDefault="00280CEA">
      <w:pPr>
        <w:spacing w:after="150" w:line="344" w:lineRule="auto"/>
        <w:jc w:val="both"/>
      </w:pPr>
      <w:r>
        <w:rPr>
          <w:b/>
          <w:bCs/>
          <w:color w:val="1A5C2A"/>
        </w:rPr>
        <w:t xml:space="preserve">2. Assurance-ready controls.  </w:t>
      </w:r>
      <w:r>
        <w:t>This domain is the distinctive contribution of the Institute’s approach to delivery. It covers building and maintaining the records, controls, and evidential trail that allow a project to be independently assured while it runs and, if it comes to it, forensically examined after. Delivery to this standard is governance-ready and auditable from the outset, so that the project can show, at any moment, not only where it stands but why, on the evidence. It is the discipline that connects delivery to the assuranc</w:t>
      </w:r>
      <w:r>
        <w:t>e and forensic domains of the wider profession.</w:t>
      </w:r>
    </w:p>
    <w:p w14:paraId="16F4C2BC" w14:textId="77777777" w:rsidR="00915518" w:rsidRDefault="00280CEA">
      <w:pPr>
        <w:pStyle w:val="Heading2"/>
        <w:spacing w:before="280" w:after="120"/>
      </w:pPr>
      <w:r>
        <w:t>3.3  Defining and controlling the work</w:t>
      </w:r>
    </w:p>
    <w:p w14:paraId="46DF5115" w14:textId="77777777" w:rsidR="00915518" w:rsidRDefault="00280CEA">
      <w:pPr>
        <w:spacing w:after="150" w:line="344" w:lineRule="auto"/>
        <w:jc w:val="both"/>
      </w:pPr>
      <w:r>
        <w:rPr>
          <w:b/>
          <w:bCs/>
          <w:color w:val="1A5C2A"/>
        </w:rPr>
        <w:t xml:space="preserve">3. Initiation and business case.  </w:t>
      </w:r>
      <w:r>
        <w:t>The case for an African project is often a development case as much as a commercial one, and it must satisfy the logic of the funders who will pay for it. The domain covers building a business case that establishes need, outcome, and deliverability against the expectations of development financiers and public sponsors, and that is honest about the assumptions on which it rests.</w:t>
      </w:r>
    </w:p>
    <w:p w14:paraId="0036619C" w14:textId="77777777" w:rsidR="00915518" w:rsidRDefault="00280CEA">
      <w:pPr>
        <w:spacing w:after="150" w:line="344" w:lineRule="auto"/>
        <w:jc w:val="both"/>
      </w:pPr>
      <w:r>
        <w:rPr>
          <w:b/>
          <w:bCs/>
          <w:color w:val="1A5C2A"/>
        </w:rPr>
        <w:t xml:space="preserve">4. Scope and requirements.  </w:t>
      </w:r>
      <w:r>
        <w:t>Scope must frequently be defined against baseline data that is thin or absent, and against institutional demands that shift with personnel and politics. The domain covers establishing and controlling scope under uncertainty, documenting the assumptions that scope depends on, and managing the change that weak initial data and a fluid institutional environment make inevitable.</w:t>
      </w:r>
    </w:p>
    <w:p w14:paraId="414B3C05" w14:textId="77777777" w:rsidR="00915518" w:rsidRDefault="00280CEA">
      <w:pPr>
        <w:spacing w:after="150" w:line="344" w:lineRule="auto"/>
        <w:jc w:val="both"/>
      </w:pPr>
      <w:r>
        <w:rPr>
          <w:b/>
          <w:bCs/>
          <w:color w:val="1A5C2A"/>
        </w:rPr>
        <w:t xml:space="preserve">5. Schedule and time.  </w:t>
      </w:r>
      <w:r>
        <w:t>A credible African schedule is built around constraints that global frameworks treat as incidental: the rhythm of disbursement, the closure of sites and roads by season, the sequence of statutory approvals, and the length of supply and logistics chains. The domain covers scheduling that is honest about these constraints and resilient to the delays they routinely cause.</w:t>
      </w:r>
    </w:p>
    <w:p w14:paraId="7E4A54F2" w14:textId="77777777" w:rsidR="00915518" w:rsidRDefault="00280CEA">
      <w:pPr>
        <w:spacing w:after="150" w:line="344" w:lineRule="auto"/>
        <w:jc w:val="both"/>
      </w:pPr>
      <w:r>
        <w:rPr>
          <w:b/>
          <w:bCs/>
          <w:color w:val="1A5C2A"/>
        </w:rPr>
        <w:t xml:space="preserve">6. Cost, budget, and funding.  </w:t>
      </w:r>
      <w:r>
        <w:t>Cost management in this context is inseparable from funding management. The domain covers planning and controlling cost across multiple funding sources and currencies, managing cash flow against disbursement rather than approved budget, and carrying exchange-rate and counterpart-funding exposure as managed elements of the cost picture rather than surprises.</w:t>
      </w:r>
    </w:p>
    <w:p w14:paraId="04A9BAEF" w14:textId="77777777" w:rsidR="00915518" w:rsidRDefault="00280CEA">
      <w:pPr>
        <w:spacing w:after="150" w:line="344" w:lineRule="auto"/>
        <w:jc w:val="both"/>
      </w:pPr>
      <w:r>
        <w:rPr>
          <w:b/>
          <w:bCs/>
          <w:color w:val="1A5C2A"/>
        </w:rPr>
        <w:lastRenderedPageBreak/>
        <w:t xml:space="preserve">7. Quality.  </w:t>
      </w:r>
      <w:r>
        <w:t>Quality must be assured through a supply market that is often shallow and inputs that are often variable. The domain covers setting and holding quality standards where the pool of capable suppliers is limited, where materials and workmanship vary, and where the cost of rework is magnified by distance and scarce resources.</w:t>
      </w:r>
    </w:p>
    <w:p w14:paraId="7E750F67" w14:textId="77777777" w:rsidR="00915518" w:rsidRDefault="00280CEA">
      <w:pPr>
        <w:spacing w:after="150" w:line="344" w:lineRule="auto"/>
        <w:jc w:val="both"/>
      </w:pPr>
      <w:r>
        <w:rPr>
          <w:b/>
          <w:bCs/>
          <w:color w:val="1A5C2A"/>
        </w:rPr>
        <w:t xml:space="preserve">8. Risk and uncertainty.  </w:t>
      </w:r>
      <w:r>
        <w:t>The African risk profile has a distinctive shape, weighted towards currency movement, political and institutional change, supply-market capacity, and the reliability of counterpart funding. The domain covers identifying, assessing, and managing these risks explicitly, rather than treating them as background conditions, and building the contingency and resilience that an honest reading of them requires.</w:t>
      </w:r>
    </w:p>
    <w:p w14:paraId="6BDCE58A" w14:textId="77777777" w:rsidR="00915518" w:rsidRDefault="00280CEA">
      <w:pPr>
        <w:pStyle w:val="Heading2"/>
        <w:spacing w:before="280" w:after="120"/>
      </w:pPr>
      <w:r>
        <w:t>3.4  Enabling delivery</w:t>
      </w:r>
    </w:p>
    <w:p w14:paraId="145EDA8B" w14:textId="77777777" w:rsidR="00915518" w:rsidRDefault="00280CEA">
      <w:pPr>
        <w:spacing w:after="150" w:line="344" w:lineRule="auto"/>
        <w:jc w:val="both"/>
      </w:pPr>
      <w:r>
        <w:rPr>
          <w:b/>
          <w:bCs/>
          <w:color w:val="1A5C2A"/>
        </w:rPr>
        <w:t xml:space="preserve">9. Procurement and contract administration.  </w:t>
      </w:r>
      <w:r>
        <w:t xml:space="preserve">Procurement on public projects runs within national law that governs how the project may </w:t>
      </w:r>
      <w:proofErr w:type="gramStart"/>
      <w:r>
        <w:t>buy</w:t>
      </w:r>
      <w:proofErr w:type="gramEnd"/>
      <w:r>
        <w:t>, and increasingly within local-content rules that shape the supply chain. The domain covers procuring lawfully and effectively within these regimes, testing the depth of the supply market before relying on it, and administering contracts with an eye to the disputes that a thin market and a demanding environment make more likely.</w:t>
      </w:r>
    </w:p>
    <w:p w14:paraId="15F2C045" w14:textId="77777777" w:rsidR="00915518" w:rsidRDefault="00280CEA">
      <w:pPr>
        <w:spacing w:after="150" w:line="344" w:lineRule="auto"/>
        <w:jc w:val="both"/>
      </w:pPr>
      <w:r>
        <w:rPr>
          <w:b/>
          <w:bCs/>
          <w:color w:val="1A5C2A"/>
        </w:rPr>
        <w:t xml:space="preserve">10. Resources and capacity.  </w:t>
      </w:r>
      <w:r>
        <w:t>Capacity cannot be assumed to exist and waiting to be hired. The domain covers securing the human and physical resources a project needs in markets where they may be scarce, and, where they are absent, building capacity as a deliberate part of the work, so that the project strengthens the ability to deliver rather than merely consuming it.</w:t>
      </w:r>
    </w:p>
    <w:p w14:paraId="1CC6CC45" w14:textId="77777777" w:rsidR="00915518" w:rsidRDefault="00280CEA">
      <w:pPr>
        <w:spacing w:after="150" w:line="344" w:lineRule="auto"/>
        <w:jc w:val="both"/>
      </w:pPr>
      <w:r>
        <w:rPr>
          <w:b/>
          <w:bCs/>
          <w:color w:val="1A5C2A"/>
        </w:rPr>
        <w:t xml:space="preserve">11. Stakeholder, community, and communications.  </w:t>
      </w:r>
      <w:r>
        <w:t xml:space="preserve">This domain carries much of the weight that the African context adds. It covers securing and sustaining the consent of communities and customary authorities whose cooperation the project depends on, </w:t>
      </w:r>
      <w:proofErr w:type="gramStart"/>
      <w:r>
        <w:t>engaging</w:t>
      </w:r>
      <w:proofErr w:type="gramEnd"/>
      <w:r>
        <w:t xml:space="preserve"> the informal economy that formal plans omit, and communicating with a coalition of parties, from funders to affected residents, whose expectations must be held together. It is resourced and sustained from first day to last, not bolted to the side of delivery.</w:t>
      </w:r>
    </w:p>
    <w:p w14:paraId="11972532" w14:textId="77777777" w:rsidR="00915518" w:rsidRDefault="00280CEA">
      <w:pPr>
        <w:pStyle w:val="Heading2"/>
        <w:spacing w:before="280" w:after="120"/>
      </w:pPr>
      <w:r>
        <w:t xml:space="preserve">3.5  </w:t>
      </w:r>
      <w:proofErr w:type="spellStart"/>
      <w:r>
        <w:t>Realising</w:t>
      </w:r>
      <w:proofErr w:type="spellEnd"/>
      <w:r>
        <w:t xml:space="preserve"> value</w:t>
      </w:r>
    </w:p>
    <w:p w14:paraId="6E7AB67E" w14:textId="77777777" w:rsidR="00915518" w:rsidRDefault="00280CEA">
      <w:pPr>
        <w:spacing w:after="150" w:line="344" w:lineRule="auto"/>
        <w:jc w:val="both"/>
      </w:pPr>
      <w:r>
        <w:rPr>
          <w:b/>
          <w:bCs/>
          <w:color w:val="1A5C2A"/>
        </w:rPr>
        <w:t xml:space="preserve">12. Benefits realisation and sustainability.  </w:t>
      </w:r>
      <w:r>
        <w:t xml:space="preserve">An African project succeeds only if the change it was undertaken to deliver </w:t>
      </w:r>
      <w:proofErr w:type="gramStart"/>
      <w:r>
        <w:t>actually arrives</w:t>
      </w:r>
      <w:proofErr w:type="gramEnd"/>
      <w:r>
        <w:t xml:space="preserve">, lasts, and withstands the conditions around it. The domain covers planning for and securing the intended benefit beyond </w:t>
      </w:r>
      <w:r>
        <w:lastRenderedPageBreak/>
        <w:t>practical completion, embedding the environmental and social performance that funders and communities require, and building the resilience that a shifting climate demands, so that the asset serves its purpose long after the project team has gone.</w:t>
      </w:r>
    </w:p>
    <w:p w14:paraId="74B7FCFA" w14:textId="77777777" w:rsidR="00915518" w:rsidRDefault="00280CEA">
      <w:r>
        <w:br w:type="page"/>
      </w:r>
    </w:p>
    <w:p w14:paraId="5170F0BD" w14:textId="77777777" w:rsidR="00915518" w:rsidRDefault="00280CEA">
      <w:pPr>
        <w:pStyle w:val="Heading1"/>
        <w:spacing w:before="320" w:after="150"/>
      </w:pPr>
      <w:r>
        <w:lastRenderedPageBreak/>
        <w:t>Part Four  |  The Delivery Lifecycle</w:t>
      </w:r>
    </w:p>
    <w:p w14:paraId="74D06E7B" w14:textId="77777777" w:rsidR="00915518" w:rsidRDefault="00915518">
      <w:pPr>
        <w:pBdr>
          <w:bottom w:val="single" w:sz="8" w:space="1" w:color="C47B0B"/>
        </w:pBdr>
        <w:spacing w:before="60" w:after="160"/>
      </w:pPr>
    </w:p>
    <w:p w14:paraId="7B2B4D21" w14:textId="77777777" w:rsidR="00915518" w:rsidRDefault="00280CEA">
      <w:pPr>
        <w:spacing w:after="160" w:line="348" w:lineRule="auto"/>
        <w:jc w:val="both"/>
      </w:pPr>
      <w:r>
        <w:t>The knowledge domains are applied across the life of a project, and the African context stretches and reshapes that life in characteristic ways. The lifecycle set out here is not a rigid sequence, and phases overlap and iterate in practice, but it names the stages at which the contextual pressures of Part Two bear most heavily and the judgements they demand.</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0"/>
        <w:gridCol w:w="3560"/>
        <w:gridCol w:w="3400"/>
      </w:tblGrid>
      <w:tr w:rsidR="00915518" w14:paraId="39ED5B59" w14:textId="77777777">
        <w:tblPrEx>
          <w:tblCellMar>
            <w:top w:w="0" w:type="dxa"/>
            <w:bottom w:w="0" w:type="dxa"/>
          </w:tblCellMar>
        </w:tblPrEx>
        <w:trPr>
          <w:tblHeader/>
        </w:trPr>
        <w:tc>
          <w:tcPr>
            <w:tcW w:w="2400" w:type="dxa"/>
            <w:shd w:val="clear" w:color="auto" w:fill="1A5C2A"/>
            <w:tcMar>
              <w:top w:w="80" w:type="dxa"/>
              <w:left w:w="110" w:type="dxa"/>
              <w:bottom w:w="80" w:type="dxa"/>
              <w:right w:w="110" w:type="dxa"/>
            </w:tcMar>
          </w:tcPr>
          <w:p w14:paraId="473AF348" w14:textId="77777777" w:rsidR="00915518" w:rsidRDefault="00280CEA">
            <w:r>
              <w:rPr>
                <w:b/>
                <w:bCs/>
                <w:color w:val="FFFFFF"/>
                <w:sz w:val="19"/>
                <w:szCs w:val="19"/>
              </w:rPr>
              <w:t>Phase</w:t>
            </w:r>
          </w:p>
        </w:tc>
        <w:tc>
          <w:tcPr>
            <w:tcW w:w="3560" w:type="dxa"/>
            <w:shd w:val="clear" w:color="auto" w:fill="1A5C2A"/>
            <w:tcMar>
              <w:top w:w="80" w:type="dxa"/>
              <w:left w:w="110" w:type="dxa"/>
              <w:bottom w:w="80" w:type="dxa"/>
              <w:right w:w="110" w:type="dxa"/>
            </w:tcMar>
          </w:tcPr>
          <w:p w14:paraId="3B93FA95" w14:textId="77777777" w:rsidR="00915518" w:rsidRDefault="00280CEA">
            <w:r>
              <w:rPr>
                <w:b/>
                <w:bCs/>
                <w:color w:val="FFFFFF"/>
                <w:sz w:val="19"/>
                <w:szCs w:val="19"/>
              </w:rPr>
              <w:t>What it covers</w:t>
            </w:r>
          </w:p>
        </w:tc>
        <w:tc>
          <w:tcPr>
            <w:tcW w:w="3400" w:type="dxa"/>
            <w:shd w:val="clear" w:color="auto" w:fill="1A5C2A"/>
            <w:tcMar>
              <w:top w:w="80" w:type="dxa"/>
              <w:left w:w="110" w:type="dxa"/>
              <w:bottom w:w="80" w:type="dxa"/>
              <w:right w:w="110" w:type="dxa"/>
            </w:tcMar>
          </w:tcPr>
          <w:p w14:paraId="3700EF69" w14:textId="77777777" w:rsidR="00915518" w:rsidRDefault="00280CEA">
            <w:r>
              <w:rPr>
                <w:b/>
                <w:bCs/>
                <w:color w:val="FFFFFF"/>
                <w:sz w:val="19"/>
                <w:szCs w:val="19"/>
              </w:rPr>
              <w:t>Where the context bears</w:t>
            </w:r>
          </w:p>
        </w:tc>
      </w:tr>
      <w:tr w:rsidR="00915518" w14:paraId="778B4B6C" w14:textId="77777777">
        <w:tblPrEx>
          <w:tblCellMar>
            <w:top w:w="0" w:type="dxa"/>
            <w:bottom w:w="0" w:type="dxa"/>
          </w:tblCellMar>
        </w:tblPrEx>
        <w:tc>
          <w:tcPr>
            <w:tcW w:w="2400" w:type="dxa"/>
            <w:shd w:val="clear" w:color="auto" w:fill="EAF1EC"/>
            <w:tcMar>
              <w:top w:w="70" w:type="dxa"/>
              <w:left w:w="110" w:type="dxa"/>
              <w:bottom w:w="70" w:type="dxa"/>
              <w:right w:w="110" w:type="dxa"/>
            </w:tcMar>
          </w:tcPr>
          <w:p w14:paraId="61D634C1" w14:textId="77777777" w:rsidR="00915518" w:rsidRDefault="00280CEA">
            <w:pPr>
              <w:spacing w:line="262" w:lineRule="auto"/>
            </w:pPr>
            <w:r>
              <w:rPr>
                <w:b/>
                <w:bCs/>
                <w:sz w:val="18"/>
                <w:szCs w:val="18"/>
              </w:rPr>
              <w:t>Concept and identification</w:t>
            </w:r>
          </w:p>
        </w:tc>
        <w:tc>
          <w:tcPr>
            <w:tcW w:w="3560" w:type="dxa"/>
            <w:shd w:val="clear" w:color="auto" w:fill="EAF1EC"/>
            <w:tcMar>
              <w:top w:w="70" w:type="dxa"/>
              <w:left w:w="110" w:type="dxa"/>
              <w:bottom w:w="70" w:type="dxa"/>
              <w:right w:w="110" w:type="dxa"/>
            </w:tcMar>
          </w:tcPr>
          <w:p w14:paraId="71B2BEA1" w14:textId="77777777" w:rsidR="00915518" w:rsidRDefault="00280CEA">
            <w:pPr>
              <w:spacing w:line="262" w:lineRule="auto"/>
            </w:pPr>
            <w:r>
              <w:rPr>
                <w:sz w:val="18"/>
                <w:szCs w:val="18"/>
              </w:rPr>
              <w:t>Establishing need and the outline of a response.</w:t>
            </w:r>
          </w:p>
        </w:tc>
        <w:tc>
          <w:tcPr>
            <w:tcW w:w="3400" w:type="dxa"/>
            <w:shd w:val="clear" w:color="auto" w:fill="EAF1EC"/>
            <w:tcMar>
              <w:top w:w="70" w:type="dxa"/>
              <w:left w:w="110" w:type="dxa"/>
              <w:bottom w:w="70" w:type="dxa"/>
              <w:right w:w="110" w:type="dxa"/>
            </w:tcMar>
          </w:tcPr>
          <w:p w14:paraId="7148239E" w14:textId="77777777" w:rsidR="00915518" w:rsidRDefault="00280CEA">
            <w:pPr>
              <w:spacing w:line="262" w:lineRule="auto"/>
            </w:pPr>
            <w:r>
              <w:rPr>
                <w:sz w:val="18"/>
                <w:szCs w:val="18"/>
              </w:rPr>
              <w:t>Grounding the project in a development outcome and a plausible funder.</w:t>
            </w:r>
          </w:p>
        </w:tc>
      </w:tr>
      <w:tr w:rsidR="00915518" w14:paraId="5D5374AF"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35D96526" w14:textId="77777777" w:rsidR="00915518" w:rsidRDefault="00280CEA">
            <w:pPr>
              <w:spacing w:line="262" w:lineRule="auto"/>
            </w:pPr>
            <w:r>
              <w:rPr>
                <w:b/>
                <w:bCs/>
                <w:sz w:val="18"/>
                <w:szCs w:val="18"/>
              </w:rPr>
              <w:t>Appraisal and feasibility</w:t>
            </w:r>
          </w:p>
        </w:tc>
        <w:tc>
          <w:tcPr>
            <w:tcW w:w="3560" w:type="dxa"/>
            <w:shd w:val="clear" w:color="auto" w:fill="FFFFFF"/>
            <w:tcMar>
              <w:top w:w="70" w:type="dxa"/>
              <w:left w:w="110" w:type="dxa"/>
              <w:bottom w:w="70" w:type="dxa"/>
              <w:right w:w="110" w:type="dxa"/>
            </w:tcMar>
          </w:tcPr>
          <w:p w14:paraId="700A2078" w14:textId="77777777" w:rsidR="00915518" w:rsidRDefault="00280CEA">
            <w:pPr>
              <w:spacing w:line="262" w:lineRule="auto"/>
            </w:pPr>
            <w:r>
              <w:rPr>
                <w:sz w:val="18"/>
                <w:szCs w:val="18"/>
              </w:rPr>
              <w:t>Testing whether the project is deliverable and worth doing.</w:t>
            </w:r>
          </w:p>
        </w:tc>
        <w:tc>
          <w:tcPr>
            <w:tcW w:w="3400" w:type="dxa"/>
            <w:shd w:val="clear" w:color="auto" w:fill="FFFFFF"/>
            <w:tcMar>
              <w:top w:w="70" w:type="dxa"/>
              <w:left w:w="110" w:type="dxa"/>
              <w:bottom w:w="70" w:type="dxa"/>
              <w:right w:w="110" w:type="dxa"/>
            </w:tcMar>
          </w:tcPr>
          <w:p w14:paraId="4F8C883D" w14:textId="77777777" w:rsidR="00915518" w:rsidRDefault="00280CEA">
            <w:pPr>
              <w:spacing w:line="262" w:lineRule="auto"/>
            </w:pPr>
            <w:r>
              <w:rPr>
                <w:sz w:val="18"/>
                <w:szCs w:val="18"/>
              </w:rPr>
              <w:t>Honest appraisal against thin data, capacity limits, and funding reality.</w:t>
            </w:r>
          </w:p>
        </w:tc>
      </w:tr>
      <w:tr w:rsidR="00915518" w14:paraId="32997906" w14:textId="77777777">
        <w:tblPrEx>
          <w:tblCellMar>
            <w:top w:w="0" w:type="dxa"/>
            <w:bottom w:w="0" w:type="dxa"/>
          </w:tblCellMar>
        </w:tblPrEx>
        <w:tc>
          <w:tcPr>
            <w:tcW w:w="2400" w:type="dxa"/>
            <w:shd w:val="clear" w:color="auto" w:fill="EAF1EC"/>
            <w:tcMar>
              <w:top w:w="70" w:type="dxa"/>
              <w:left w:w="110" w:type="dxa"/>
              <w:bottom w:w="70" w:type="dxa"/>
              <w:right w:w="110" w:type="dxa"/>
            </w:tcMar>
          </w:tcPr>
          <w:p w14:paraId="65B04652" w14:textId="77777777" w:rsidR="00915518" w:rsidRDefault="00280CEA">
            <w:pPr>
              <w:spacing w:line="262" w:lineRule="auto"/>
            </w:pPr>
            <w:r>
              <w:rPr>
                <w:b/>
                <w:bCs/>
                <w:sz w:val="18"/>
                <w:szCs w:val="18"/>
              </w:rPr>
              <w:t>Funding and approval</w:t>
            </w:r>
          </w:p>
        </w:tc>
        <w:tc>
          <w:tcPr>
            <w:tcW w:w="3560" w:type="dxa"/>
            <w:shd w:val="clear" w:color="auto" w:fill="EAF1EC"/>
            <w:tcMar>
              <w:top w:w="70" w:type="dxa"/>
              <w:left w:w="110" w:type="dxa"/>
              <w:bottom w:w="70" w:type="dxa"/>
              <w:right w:w="110" w:type="dxa"/>
            </w:tcMar>
          </w:tcPr>
          <w:p w14:paraId="3686B572" w14:textId="77777777" w:rsidR="00915518" w:rsidRDefault="00280CEA">
            <w:pPr>
              <w:spacing w:line="262" w:lineRule="auto"/>
            </w:pPr>
            <w:r>
              <w:rPr>
                <w:sz w:val="18"/>
                <w:szCs w:val="18"/>
              </w:rPr>
              <w:t>Securing finance and the approvals to proceed.</w:t>
            </w:r>
          </w:p>
        </w:tc>
        <w:tc>
          <w:tcPr>
            <w:tcW w:w="3400" w:type="dxa"/>
            <w:shd w:val="clear" w:color="auto" w:fill="EAF1EC"/>
            <w:tcMar>
              <w:top w:w="70" w:type="dxa"/>
              <w:left w:w="110" w:type="dxa"/>
              <w:bottom w:w="70" w:type="dxa"/>
              <w:right w:w="110" w:type="dxa"/>
            </w:tcMar>
          </w:tcPr>
          <w:p w14:paraId="68EBA157" w14:textId="77777777" w:rsidR="00915518" w:rsidRDefault="00280CEA">
            <w:pPr>
              <w:spacing w:line="262" w:lineRule="auto"/>
            </w:pPr>
            <w:r>
              <w:rPr>
                <w:sz w:val="18"/>
                <w:szCs w:val="18"/>
              </w:rPr>
              <w:t>Navigating funder conditions, procurement law, and institutional sequence.</w:t>
            </w:r>
          </w:p>
        </w:tc>
      </w:tr>
      <w:tr w:rsidR="00915518" w14:paraId="1AADDACD"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44C49CAB" w14:textId="77777777" w:rsidR="00915518" w:rsidRDefault="00280CEA">
            <w:pPr>
              <w:spacing w:line="262" w:lineRule="auto"/>
            </w:pPr>
            <w:r>
              <w:rPr>
                <w:b/>
                <w:bCs/>
                <w:sz w:val="18"/>
                <w:szCs w:val="18"/>
              </w:rPr>
              <w:t>Procurement</w:t>
            </w:r>
          </w:p>
        </w:tc>
        <w:tc>
          <w:tcPr>
            <w:tcW w:w="3560" w:type="dxa"/>
            <w:shd w:val="clear" w:color="auto" w:fill="FFFFFF"/>
            <w:tcMar>
              <w:top w:w="70" w:type="dxa"/>
              <w:left w:w="110" w:type="dxa"/>
              <w:bottom w:w="70" w:type="dxa"/>
              <w:right w:w="110" w:type="dxa"/>
            </w:tcMar>
          </w:tcPr>
          <w:p w14:paraId="45BB1C85" w14:textId="77777777" w:rsidR="00915518" w:rsidRDefault="00280CEA">
            <w:pPr>
              <w:spacing w:line="262" w:lineRule="auto"/>
            </w:pPr>
            <w:r>
              <w:rPr>
                <w:sz w:val="18"/>
                <w:szCs w:val="18"/>
              </w:rPr>
              <w:t>Selecting and contracting those who will deliver.</w:t>
            </w:r>
          </w:p>
        </w:tc>
        <w:tc>
          <w:tcPr>
            <w:tcW w:w="3400" w:type="dxa"/>
            <w:shd w:val="clear" w:color="auto" w:fill="FFFFFF"/>
            <w:tcMar>
              <w:top w:w="70" w:type="dxa"/>
              <w:left w:w="110" w:type="dxa"/>
              <w:bottom w:w="70" w:type="dxa"/>
              <w:right w:w="110" w:type="dxa"/>
            </w:tcMar>
          </w:tcPr>
          <w:p w14:paraId="3641F056" w14:textId="77777777" w:rsidR="00915518" w:rsidRDefault="00280CEA">
            <w:pPr>
              <w:spacing w:line="262" w:lineRule="auto"/>
            </w:pPr>
            <w:r>
              <w:rPr>
                <w:sz w:val="18"/>
                <w:szCs w:val="18"/>
              </w:rPr>
              <w:t>Working within public procurement law, local content, and a thin market.</w:t>
            </w:r>
          </w:p>
        </w:tc>
      </w:tr>
      <w:tr w:rsidR="00915518" w14:paraId="368909CF" w14:textId="77777777">
        <w:tblPrEx>
          <w:tblCellMar>
            <w:top w:w="0" w:type="dxa"/>
            <w:bottom w:w="0" w:type="dxa"/>
          </w:tblCellMar>
        </w:tblPrEx>
        <w:tc>
          <w:tcPr>
            <w:tcW w:w="2400" w:type="dxa"/>
            <w:shd w:val="clear" w:color="auto" w:fill="EAF1EC"/>
            <w:tcMar>
              <w:top w:w="70" w:type="dxa"/>
              <w:left w:w="110" w:type="dxa"/>
              <w:bottom w:w="70" w:type="dxa"/>
              <w:right w:w="110" w:type="dxa"/>
            </w:tcMar>
          </w:tcPr>
          <w:p w14:paraId="1AAFAFDC" w14:textId="77777777" w:rsidR="00915518" w:rsidRDefault="00280CEA">
            <w:pPr>
              <w:spacing w:line="262" w:lineRule="auto"/>
            </w:pPr>
            <w:r>
              <w:rPr>
                <w:b/>
                <w:bCs/>
                <w:sz w:val="18"/>
                <w:szCs w:val="18"/>
              </w:rPr>
              <w:t>Execution and control</w:t>
            </w:r>
          </w:p>
        </w:tc>
        <w:tc>
          <w:tcPr>
            <w:tcW w:w="3560" w:type="dxa"/>
            <w:shd w:val="clear" w:color="auto" w:fill="EAF1EC"/>
            <w:tcMar>
              <w:top w:w="70" w:type="dxa"/>
              <w:left w:w="110" w:type="dxa"/>
              <w:bottom w:w="70" w:type="dxa"/>
              <w:right w:w="110" w:type="dxa"/>
            </w:tcMar>
          </w:tcPr>
          <w:p w14:paraId="60FA460A" w14:textId="77777777" w:rsidR="00915518" w:rsidRDefault="00280CEA">
            <w:pPr>
              <w:spacing w:line="262" w:lineRule="auto"/>
            </w:pPr>
            <w:r>
              <w:rPr>
                <w:sz w:val="18"/>
                <w:szCs w:val="18"/>
              </w:rPr>
              <w:t>Building the work and controlling it.</w:t>
            </w:r>
          </w:p>
        </w:tc>
        <w:tc>
          <w:tcPr>
            <w:tcW w:w="3400" w:type="dxa"/>
            <w:shd w:val="clear" w:color="auto" w:fill="EAF1EC"/>
            <w:tcMar>
              <w:top w:w="70" w:type="dxa"/>
              <w:left w:w="110" w:type="dxa"/>
              <w:bottom w:w="70" w:type="dxa"/>
              <w:right w:w="110" w:type="dxa"/>
            </w:tcMar>
          </w:tcPr>
          <w:p w14:paraId="7C5DD388" w14:textId="77777777" w:rsidR="00915518" w:rsidRDefault="00280CEA">
            <w:pPr>
              <w:spacing w:line="262" w:lineRule="auto"/>
            </w:pPr>
            <w:r>
              <w:rPr>
                <w:sz w:val="18"/>
                <w:szCs w:val="18"/>
              </w:rPr>
              <w:t>Managing against disbursement, seasons, logistics, and community consent.</w:t>
            </w:r>
          </w:p>
        </w:tc>
      </w:tr>
      <w:tr w:rsidR="00915518" w14:paraId="3784E02A"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424A185A" w14:textId="77777777" w:rsidR="00915518" w:rsidRDefault="00280CEA">
            <w:pPr>
              <w:spacing w:line="262" w:lineRule="auto"/>
            </w:pPr>
            <w:r>
              <w:rPr>
                <w:b/>
                <w:bCs/>
                <w:sz w:val="18"/>
                <w:szCs w:val="18"/>
              </w:rPr>
              <w:t>Commissioning and handover</w:t>
            </w:r>
          </w:p>
        </w:tc>
        <w:tc>
          <w:tcPr>
            <w:tcW w:w="3560" w:type="dxa"/>
            <w:shd w:val="clear" w:color="auto" w:fill="FFFFFF"/>
            <w:tcMar>
              <w:top w:w="70" w:type="dxa"/>
              <w:left w:w="110" w:type="dxa"/>
              <w:bottom w:w="70" w:type="dxa"/>
              <w:right w:w="110" w:type="dxa"/>
            </w:tcMar>
          </w:tcPr>
          <w:p w14:paraId="2F94F97B" w14:textId="77777777" w:rsidR="00915518" w:rsidRDefault="00280CEA">
            <w:pPr>
              <w:spacing w:line="262" w:lineRule="auto"/>
            </w:pPr>
            <w:r>
              <w:rPr>
                <w:sz w:val="18"/>
                <w:szCs w:val="18"/>
              </w:rPr>
              <w:t>Bringing the asset into use and transferring it.</w:t>
            </w:r>
          </w:p>
        </w:tc>
        <w:tc>
          <w:tcPr>
            <w:tcW w:w="3400" w:type="dxa"/>
            <w:shd w:val="clear" w:color="auto" w:fill="FFFFFF"/>
            <w:tcMar>
              <w:top w:w="70" w:type="dxa"/>
              <w:left w:w="110" w:type="dxa"/>
              <w:bottom w:w="70" w:type="dxa"/>
              <w:right w:w="110" w:type="dxa"/>
            </w:tcMar>
          </w:tcPr>
          <w:p w14:paraId="0133B3C9" w14:textId="77777777" w:rsidR="00915518" w:rsidRDefault="00280CEA">
            <w:pPr>
              <w:spacing w:line="262" w:lineRule="auto"/>
            </w:pPr>
            <w:r>
              <w:rPr>
                <w:sz w:val="18"/>
                <w:szCs w:val="18"/>
              </w:rPr>
              <w:t>Securing the capacity to operate and maintain what has been built.</w:t>
            </w:r>
          </w:p>
        </w:tc>
      </w:tr>
      <w:tr w:rsidR="00915518" w14:paraId="74AF015C" w14:textId="77777777">
        <w:tblPrEx>
          <w:tblCellMar>
            <w:top w:w="0" w:type="dxa"/>
            <w:bottom w:w="0" w:type="dxa"/>
          </w:tblCellMar>
        </w:tblPrEx>
        <w:tc>
          <w:tcPr>
            <w:tcW w:w="2400" w:type="dxa"/>
            <w:shd w:val="clear" w:color="auto" w:fill="EAF1EC"/>
            <w:tcMar>
              <w:top w:w="70" w:type="dxa"/>
              <w:left w:w="110" w:type="dxa"/>
              <w:bottom w:w="70" w:type="dxa"/>
              <w:right w:w="110" w:type="dxa"/>
            </w:tcMar>
          </w:tcPr>
          <w:p w14:paraId="7F98834C" w14:textId="77777777" w:rsidR="00915518" w:rsidRDefault="00280CEA">
            <w:pPr>
              <w:spacing w:line="262" w:lineRule="auto"/>
            </w:pPr>
            <w:r>
              <w:rPr>
                <w:b/>
                <w:bCs/>
                <w:sz w:val="18"/>
                <w:szCs w:val="18"/>
              </w:rPr>
              <w:t>Benefit realisation</w:t>
            </w:r>
          </w:p>
        </w:tc>
        <w:tc>
          <w:tcPr>
            <w:tcW w:w="3560" w:type="dxa"/>
            <w:shd w:val="clear" w:color="auto" w:fill="EAF1EC"/>
            <w:tcMar>
              <w:top w:w="70" w:type="dxa"/>
              <w:left w:w="110" w:type="dxa"/>
              <w:bottom w:w="70" w:type="dxa"/>
              <w:right w:w="110" w:type="dxa"/>
            </w:tcMar>
          </w:tcPr>
          <w:p w14:paraId="18F1F053" w14:textId="77777777" w:rsidR="00915518" w:rsidRDefault="00280CEA">
            <w:pPr>
              <w:spacing w:line="262" w:lineRule="auto"/>
            </w:pPr>
            <w:r>
              <w:rPr>
                <w:sz w:val="18"/>
                <w:szCs w:val="18"/>
              </w:rPr>
              <w:t>Ensuring the intended change arrives and lasts.</w:t>
            </w:r>
          </w:p>
        </w:tc>
        <w:tc>
          <w:tcPr>
            <w:tcW w:w="3400" w:type="dxa"/>
            <w:shd w:val="clear" w:color="auto" w:fill="EAF1EC"/>
            <w:tcMar>
              <w:top w:w="70" w:type="dxa"/>
              <w:left w:w="110" w:type="dxa"/>
              <w:bottom w:w="70" w:type="dxa"/>
              <w:right w:w="110" w:type="dxa"/>
            </w:tcMar>
          </w:tcPr>
          <w:p w14:paraId="149D616B" w14:textId="77777777" w:rsidR="00915518" w:rsidRDefault="00280CEA">
            <w:pPr>
              <w:spacing w:line="262" w:lineRule="auto"/>
            </w:pPr>
            <w:r>
              <w:rPr>
                <w:sz w:val="18"/>
                <w:szCs w:val="18"/>
              </w:rPr>
              <w:t xml:space="preserve">Following through beyond </w:t>
            </w:r>
            <w:proofErr w:type="gramStart"/>
            <w:r>
              <w:rPr>
                <w:sz w:val="18"/>
                <w:szCs w:val="18"/>
              </w:rPr>
              <w:t>completion, and</w:t>
            </w:r>
            <w:proofErr w:type="gramEnd"/>
            <w:r>
              <w:rPr>
                <w:sz w:val="18"/>
                <w:szCs w:val="18"/>
              </w:rPr>
              <w:t xml:space="preserve"> building for resilience.</w:t>
            </w:r>
          </w:p>
        </w:tc>
      </w:tr>
      <w:tr w:rsidR="00915518" w14:paraId="2CA3FDAE"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78D42F2A" w14:textId="77777777" w:rsidR="00915518" w:rsidRDefault="00280CEA">
            <w:pPr>
              <w:spacing w:line="262" w:lineRule="auto"/>
            </w:pPr>
            <w:r>
              <w:rPr>
                <w:b/>
                <w:bCs/>
                <w:sz w:val="18"/>
                <w:szCs w:val="18"/>
              </w:rPr>
              <w:t>Post-project review</w:t>
            </w:r>
          </w:p>
        </w:tc>
        <w:tc>
          <w:tcPr>
            <w:tcW w:w="3560" w:type="dxa"/>
            <w:shd w:val="clear" w:color="auto" w:fill="FFFFFF"/>
            <w:tcMar>
              <w:top w:w="70" w:type="dxa"/>
              <w:left w:w="110" w:type="dxa"/>
              <w:bottom w:w="70" w:type="dxa"/>
              <w:right w:w="110" w:type="dxa"/>
            </w:tcMar>
          </w:tcPr>
          <w:p w14:paraId="7F224B20" w14:textId="77777777" w:rsidR="00915518" w:rsidRDefault="00280CEA">
            <w:pPr>
              <w:spacing w:line="262" w:lineRule="auto"/>
            </w:pPr>
            <w:r>
              <w:rPr>
                <w:sz w:val="18"/>
                <w:szCs w:val="18"/>
              </w:rPr>
              <w:t>Learning from what happened.</w:t>
            </w:r>
          </w:p>
        </w:tc>
        <w:tc>
          <w:tcPr>
            <w:tcW w:w="3400" w:type="dxa"/>
            <w:shd w:val="clear" w:color="auto" w:fill="FFFFFF"/>
            <w:tcMar>
              <w:top w:w="70" w:type="dxa"/>
              <w:left w:w="110" w:type="dxa"/>
              <w:bottom w:w="70" w:type="dxa"/>
              <w:right w:w="110" w:type="dxa"/>
            </w:tcMar>
          </w:tcPr>
          <w:p w14:paraId="61A907FA" w14:textId="77777777" w:rsidR="00915518" w:rsidRDefault="00280CEA">
            <w:pPr>
              <w:spacing w:line="262" w:lineRule="auto"/>
            </w:pPr>
            <w:r>
              <w:rPr>
                <w:sz w:val="18"/>
                <w:szCs w:val="18"/>
              </w:rPr>
              <w:t>Feeding honest lessons back into assurance and future delivery.</w:t>
            </w:r>
          </w:p>
        </w:tc>
      </w:tr>
    </w:tbl>
    <w:p w14:paraId="2A47B95B" w14:textId="77777777" w:rsidR="00915518" w:rsidRDefault="00915518">
      <w:pPr>
        <w:spacing w:after="40"/>
      </w:pPr>
    </w:p>
    <w:p w14:paraId="1C9E93EE" w14:textId="77777777" w:rsidR="00915518" w:rsidRDefault="00280CEA">
      <w:pPr>
        <w:spacing w:after="160" w:line="348" w:lineRule="auto"/>
        <w:jc w:val="both"/>
      </w:pPr>
      <w:r>
        <w:t xml:space="preserve">Two features of this lifecycle deserve emphasis. The front end, from concept through funding and approval, is longer and more decisive in the African context than global frameworks tend to allow, because it is where funding structure, procurement route, and institutional alignment are settled, and where most avoidable failure is designed in. And the back end, from handover through benefit realisation, is where African projects most often fall short, delivering an asset but not the capacity to run it or the </w:t>
      </w:r>
      <w:r>
        <w:t xml:space="preserve">change it was meant to bring. A practitioner trained </w:t>
      </w:r>
      <w:proofErr w:type="gramStart"/>
      <w:r>
        <w:t>on</w:t>
      </w:r>
      <w:proofErr w:type="gramEnd"/>
      <w:r>
        <w:t xml:space="preserve"> this framework gives both ends the weight they are due.</w:t>
      </w:r>
    </w:p>
    <w:p w14:paraId="0A9DC9F6" w14:textId="77777777" w:rsidR="00915518" w:rsidRDefault="00280CEA">
      <w:r>
        <w:br w:type="page"/>
      </w:r>
    </w:p>
    <w:p w14:paraId="62599431" w14:textId="77777777" w:rsidR="00915518" w:rsidRDefault="00280CEA">
      <w:pPr>
        <w:pStyle w:val="Heading1"/>
        <w:spacing w:before="320" w:after="150"/>
      </w:pPr>
      <w:r>
        <w:lastRenderedPageBreak/>
        <w:t>Part Five  |  Professional Competence</w:t>
      </w:r>
    </w:p>
    <w:p w14:paraId="219713FD" w14:textId="77777777" w:rsidR="00915518" w:rsidRDefault="00915518">
      <w:pPr>
        <w:pBdr>
          <w:bottom w:val="single" w:sz="8" w:space="1" w:color="C47B0B"/>
        </w:pBdr>
        <w:spacing w:before="60" w:after="160"/>
      </w:pPr>
    </w:p>
    <w:p w14:paraId="3BE691E0" w14:textId="77777777" w:rsidR="00915518" w:rsidRDefault="00280CEA">
      <w:pPr>
        <w:spacing w:after="160" w:line="348" w:lineRule="auto"/>
        <w:jc w:val="both"/>
      </w:pPr>
      <w:r>
        <w:t>Knowledge is necessary but not sufficient. The framework is applied by a person, and the person’s professional and behavioural competence determines whether the knowledge is used well. The competent African project practitioner combines the technical domains of Part Three with a set of professional qualities that the context makes essential.</w:t>
      </w:r>
    </w:p>
    <w:p w14:paraId="1777045C" w14:textId="77777777" w:rsidR="00915518" w:rsidRDefault="00280CEA">
      <w:pPr>
        <w:pStyle w:val="Heading3"/>
        <w:spacing w:before="210" w:after="100"/>
      </w:pPr>
      <w:r>
        <w:t>Professional and behavioural competence</w:t>
      </w:r>
    </w:p>
    <w:p w14:paraId="4BEF09EC" w14:textId="77777777" w:rsidR="00915518" w:rsidRDefault="00280CEA">
      <w:pPr>
        <w:pStyle w:val="ListParagraph"/>
        <w:numPr>
          <w:ilvl w:val="0"/>
          <w:numId w:val="2"/>
        </w:numPr>
        <w:spacing w:after="100" w:line="340" w:lineRule="auto"/>
        <w:jc w:val="both"/>
      </w:pPr>
      <w:r>
        <w:rPr>
          <w:b/>
          <w:bCs/>
          <w:color w:val="C47B0B"/>
        </w:rPr>
        <w:t xml:space="preserve">Adaptive judgement. </w:t>
      </w:r>
      <w:r>
        <w:t xml:space="preserve">The ability to read a specific project against the contextual dimensions and adapt practice accordingly, rather than applying </w:t>
      </w:r>
      <w:proofErr w:type="gramStart"/>
      <w:r>
        <w:t>a method unaltered</w:t>
      </w:r>
      <w:proofErr w:type="gramEnd"/>
      <w:r>
        <w:t>.</w:t>
      </w:r>
    </w:p>
    <w:p w14:paraId="2C5C8E09" w14:textId="77777777" w:rsidR="00915518" w:rsidRDefault="00280CEA">
      <w:pPr>
        <w:pStyle w:val="ListParagraph"/>
        <w:numPr>
          <w:ilvl w:val="0"/>
          <w:numId w:val="2"/>
        </w:numPr>
        <w:spacing w:after="100" w:line="340" w:lineRule="auto"/>
        <w:jc w:val="both"/>
      </w:pPr>
      <w:r>
        <w:rPr>
          <w:b/>
          <w:bCs/>
          <w:color w:val="C47B0B"/>
        </w:rPr>
        <w:t xml:space="preserve">Cultural intelligence. </w:t>
      </w:r>
      <w:r>
        <w:t>The capacity to work with respect and effect across the customary authorities, communities, and institutions a project depends on.</w:t>
      </w:r>
    </w:p>
    <w:p w14:paraId="75C1A6F0" w14:textId="77777777" w:rsidR="00915518" w:rsidRDefault="00280CEA">
      <w:pPr>
        <w:pStyle w:val="ListParagraph"/>
        <w:numPr>
          <w:ilvl w:val="0"/>
          <w:numId w:val="2"/>
        </w:numPr>
        <w:spacing w:after="100" w:line="340" w:lineRule="auto"/>
        <w:jc w:val="both"/>
      </w:pPr>
      <w:r>
        <w:rPr>
          <w:b/>
          <w:bCs/>
          <w:color w:val="C47B0B"/>
        </w:rPr>
        <w:t xml:space="preserve">Stakeholder and relational </w:t>
      </w:r>
      <w:proofErr w:type="gramStart"/>
      <w:r>
        <w:rPr>
          <w:b/>
          <w:bCs/>
          <w:color w:val="C47B0B"/>
        </w:rPr>
        <w:t>skill</w:t>
      </w:r>
      <w:proofErr w:type="gramEnd"/>
      <w:r>
        <w:rPr>
          <w:b/>
          <w:bCs/>
          <w:color w:val="C47B0B"/>
        </w:rPr>
        <w:t xml:space="preserve">. </w:t>
      </w:r>
      <w:r>
        <w:t>The ability to build and hold together the coalition of funders, governments, communities, and suppliers on which delivery rests.</w:t>
      </w:r>
    </w:p>
    <w:p w14:paraId="212E43D2" w14:textId="77777777" w:rsidR="00915518" w:rsidRDefault="00280CEA">
      <w:pPr>
        <w:pStyle w:val="ListParagraph"/>
        <w:numPr>
          <w:ilvl w:val="0"/>
          <w:numId w:val="2"/>
        </w:numPr>
        <w:spacing w:after="100" w:line="340" w:lineRule="auto"/>
        <w:jc w:val="both"/>
      </w:pPr>
      <w:r>
        <w:rPr>
          <w:b/>
          <w:bCs/>
          <w:color w:val="C47B0B"/>
        </w:rPr>
        <w:t xml:space="preserve">Resilience and resourcefulness. </w:t>
      </w:r>
      <w:r>
        <w:t>The temperament to deliver under constraint, scarcity, and disruption without either giving up or cutting the corners that store up failure.</w:t>
      </w:r>
    </w:p>
    <w:p w14:paraId="06EC81DF" w14:textId="77777777" w:rsidR="00915518" w:rsidRDefault="00280CEA">
      <w:pPr>
        <w:pStyle w:val="ListParagraph"/>
        <w:numPr>
          <w:ilvl w:val="0"/>
          <w:numId w:val="2"/>
        </w:numPr>
        <w:spacing w:after="100" w:line="340" w:lineRule="auto"/>
        <w:jc w:val="both"/>
      </w:pPr>
      <w:r>
        <w:rPr>
          <w:b/>
          <w:bCs/>
          <w:color w:val="C47B0B"/>
        </w:rPr>
        <w:t xml:space="preserve">Ethical firmness. </w:t>
      </w:r>
      <w:r>
        <w:t>The integrity to hold a line on probity and quality in an environment where pressure to do otherwise can be real.</w:t>
      </w:r>
    </w:p>
    <w:p w14:paraId="3A3EEC6D" w14:textId="77777777" w:rsidR="00915518" w:rsidRDefault="00280CEA">
      <w:pPr>
        <w:pStyle w:val="Heading3"/>
        <w:spacing w:before="210" w:after="100"/>
      </w:pPr>
      <w:r>
        <w:t>The assurance-grade mindset</w:t>
      </w:r>
    </w:p>
    <w:p w14:paraId="1B00F614" w14:textId="77777777" w:rsidR="00915518" w:rsidRDefault="00280CEA">
      <w:pPr>
        <w:spacing w:after="160" w:line="348" w:lineRule="auto"/>
        <w:jc w:val="both"/>
      </w:pPr>
      <w:r>
        <w:t xml:space="preserve">Above all, the practitioner formed by this framework delivers in a way that can be scrutinised. They keep the records, hold the controls, and build the evidence that allow an independent party to assure the project while it runs and to establish the truth of it afterwards. This is the mindset that distinguishes the Institute’s approach to delivery and connects it to the assurance and forensic disciplines. A practitioner who delivers this way is </w:t>
      </w:r>
      <w:proofErr w:type="gramStart"/>
      <w:r>
        <w:t>not only more</w:t>
      </w:r>
      <w:proofErr w:type="gramEnd"/>
      <w:r>
        <w:t xml:space="preserve"> accountable. They are, in the conditions this framework describes, more likely to succeed, because the discipline that makes a project auditable is the same discipline that keeps it under control.</w:t>
      </w:r>
    </w:p>
    <w:p w14:paraId="0EED2700" w14:textId="77777777" w:rsidR="00915518" w:rsidRDefault="00280CEA">
      <w:r>
        <w:br w:type="page"/>
      </w:r>
    </w:p>
    <w:p w14:paraId="3AFDD449" w14:textId="77777777" w:rsidR="00915518" w:rsidRDefault="00280CEA">
      <w:pPr>
        <w:pStyle w:val="Heading1"/>
        <w:spacing w:before="320" w:after="150"/>
      </w:pPr>
      <w:r>
        <w:lastRenderedPageBreak/>
        <w:t>Part Six  |  Applying and Tailoring the Framework</w:t>
      </w:r>
    </w:p>
    <w:p w14:paraId="36C5D195" w14:textId="77777777" w:rsidR="00915518" w:rsidRDefault="00915518">
      <w:pPr>
        <w:pBdr>
          <w:bottom w:val="single" w:sz="8" w:space="1" w:color="C47B0B"/>
        </w:pBdr>
        <w:spacing w:before="60" w:after="160"/>
      </w:pPr>
    </w:p>
    <w:p w14:paraId="5E060B88" w14:textId="77777777" w:rsidR="00915518" w:rsidRDefault="00280CEA">
      <w:pPr>
        <w:spacing w:after="160" w:line="348" w:lineRule="auto"/>
        <w:jc w:val="both"/>
      </w:pPr>
      <w:r>
        <w:t xml:space="preserve">The framework is a lens, and a lens must be focused on the project in front of it. No project faces all six contextual pressures with equal force, and applying the framework begins with reading which of them </w:t>
      </w:r>
      <w:proofErr w:type="gramStart"/>
      <w:r>
        <w:t>bear</w:t>
      </w:r>
      <w:proofErr w:type="gramEnd"/>
      <w:r>
        <w:t xml:space="preserve"> most heavily on this project, in this place, </w:t>
      </w:r>
      <w:proofErr w:type="gramStart"/>
      <w:r>
        <w:t>at this time</w:t>
      </w:r>
      <w:proofErr w:type="gramEnd"/>
      <w:r>
        <w:t>, and adapting practice accordingly.</w:t>
      </w:r>
    </w:p>
    <w:p w14:paraId="28F54869" w14:textId="77777777" w:rsidR="00915518" w:rsidRDefault="00280CEA">
      <w:pPr>
        <w:pStyle w:val="Heading2"/>
        <w:spacing w:before="280" w:after="120"/>
      </w:pPr>
      <w:r>
        <w:t>6.1  Tailoring to the project</w:t>
      </w:r>
    </w:p>
    <w:p w14:paraId="64E79C1D" w14:textId="77777777" w:rsidR="00915518" w:rsidRDefault="00280CEA">
      <w:pPr>
        <w:spacing w:after="160" w:line="348" w:lineRule="auto"/>
        <w:jc w:val="both"/>
      </w:pPr>
      <w:r>
        <w:t xml:space="preserve">A privately financed project carries the funding and currency pressures of Part Two lightly but may face the same institutional and community realities as a public one. A donor-funded rural scheme lives or dies by community consent and disbursement discipline. A large infrastructure project in a capable state confronts procurement law and supply-market depth more than institutional fragility. The practitioner reads the project against the six contextual dimensions, judges which are material, and </w:t>
      </w:r>
      <w:proofErr w:type="gramStart"/>
      <w:r>
        <w:t>concentrates</w:t>
      </w:r>
      <w:proofErr w:type="gramEnd"/>
      <w:r>
        <w:t xml:space="preserve"> the knowledge domains where the pressure is greatest. Tailoring is not optional refinement. It is the core act of applying the framework.</w:t>
      </w:r>
    </w:p>
    <w:p w14:paraId="245CF8AD" w14:textId="77777777" w:rsidR="00915518" w:rsidRDefault="00280CEA">
      <w:pPr>
        <w:pStyle w:val="Heading2"/>
        <w:spacing w:before="280" w:after="120"/>
      </w:pPr>
      <w:r>
        <w:t xml:space="preserve">6.2  Relationship </w:t>
      </w:r>
      <w:proofErr w:type="gramStart"/>
      <w:r>
        <w:t>to</w:t>
      </w:r>
      <w:proofErr w:type="gramEnd"/>
      <w:r>
        <w:t xml:space="preserve"> the CPMP credential</w:t>
      </w:r>
    </w:p>
    <w:p w14:paraId="1DBCCD28" w14:textId="77777777" w:rsidR="00915518" w:rsidRDefault="00280CEA">
      <w:pPr>
        <w:spacing w:after="160" w:line="348" w:lineRule="auto"/>
        <w:jc w:val="both"/>
      </w:pPr>
      <w:r>
        <w:t>This framework is the body of knowledge that the Certified Project Management Practitioner is examined against. The contextual foundation and the knowledge domains define what a candidate must understand, and the professional competences define how they must be able to apply it. The credential certifies that a practitioner can deliver projects to this standard, which is why it is positioned not as a generic project management qualification but as the standard built for African practice. The framework and th</w:t>
      </w:r>
      <w:r>
        <w:t xml:space="preserve">e credential are two faces of the same commitment: to raise the quality of project delivery in the conditions Africa </w:t>
      </w:r>
      <w:proofErr w:type="gramStart"/>
      <w:r>
        <w:t>actually presents</w:t>
      </w:r>
      <w:proofErr w:type="gramEnd"/>
      <w:r>
        <w:t>.</w:t>
      </w:r>
    </w:p>
    <w:p w14:paraId="6F1735DE" w14:textId="77777777" w:rsidR="00915518" w:rsidRDefault="00280CEA">
      <w:pPr>
        <w:pStyle w:val="Heading2"/>
        <w:spacing w:before="280" w:after="120"/>
      </w:pPr>
      <w:r>
        <w:t>6.3  A living framework</w:t>
      </w:r>
    </w:p>
    <w:p w14:paraId="687A8AA5" w14:textId="77777777" w:rsidR="00915518" w:rsidRDefault="00280CEA">
      <w:pPr>
        <w:spacing w:after="160" w:line="348" w:lineRule="auto"/>
        <w:jc w:val="both"/>
      </w:pPr>
      <w:r>
        <w:t>Practice moves, and so must the framework. It is owned by the Institute and reviewed on a published cycle, informed by the research the Institute conducts and, importantly, by the lessons that forensic investigation of failed projects returns. The discipline that establishes why African projects fail is, in the end, the surest source of knowledge about how to deliver them well, and this framework is written to keep learning from it.</w:t>
      </w:r>
    </w:p>
    <w:p w14:paraId="4025C5AA" w14:textId="77777777" w:rsidR="00915518" w:rsidRDefault="00280CEA">
      <w:r>
        <w:br w:type="page"/>
      </w:r>
    </w:p>
    <w:p w14:paraId="041CEFEA" w14:textId="77777777" w:rsidR="00915518" w:rsidRDefault="00280CEA">
      <w:pPr>
        <w:pStyle w:val="Heading1"/>
        <w:spacing w:before="320" w:after="150"/>
      </w:pPr>
      <w:r>
        <w:lastRenderedPageBreak/>
        <w:t>A Standard Written from African Practice</w:t>
      </w:r>
    </w:p>
    <w:p w14:paraId="652C9FB9" w14:textId="77777777" w:rsidR="00915518" w:rsidRDefault="00915518">
      <w:pPr>
        <w:pBdr>
          <w:bottom w:val="single" w:sz="8" w:space="1" w:color="C47B0B"/>
        </w:pBdr>
        <w:spacing w:before="60" w:after="160"/>
      </w:pPr>
    </w:p>
    <w:p w14:paraId="7BF8737D" w14:textId="77777777" w:rsidR="00915518" w:rsidRDefault="00280CEA">
      <w:pPr>
        <w:spacing w:after="160" w:line="348" w:lineRule="auto"/>
        <w:jc w:val="both"/>
      </w:pPr>
      <w:r>
        <w:t>The global discipline of project management has been written, overwhelmingly, from the experience of places whose conditions Africa does not share. This framework does not reject that discipline. It completes it, for the continent whose projects carry so much of its hope and so much of its scarce resource, and which has too rarely seen its own delivery conditions written into the body of knowledge that practitioners are trained and judged against.</w:t>
      </w:r>
    </w:p>
    <w:p w14:paraId="05738936" w14:textId="77777777" w:rsidR="00915518" w:rsidRDefault="00280CEA">
      <w:pPr>
        <w:spacing w:after="160" w:line="348" w:lineRule="auto"/>
        <w:jc w:val="both"/>
      </w:pPr>
      <w:r>
        <w:t xml:space="preserve">What is offered here is a beginning, not a settlement. It names the context that shapes African delivery, </w:t>
      </w:r>
      <w:proofErr w:type="spellStart"/>
      <w:r>
        <w:t>organises</w:t>
      </w:r>
      <w:proofErr w:type="spellEnd"/>
      <w:r>
        <w:t xml:space="preserve"> the knowledge that competent practice requires, and ties both to a credential and a profession built to raise the standard. As it is used, tested, and improved, it will become what it is meant to be: the reference that African project practitioners can recognise as written for the work they </w:t>
      </w:r>
      <w:proofErr w:type="gramStart"/>
      <w:r>
        <w:t>actually do</w:t>
      </w:r>
      <w:proofErr w:type="gramEnd"/>
      <w:r>
        <w:t>.</w:t>
      </w:r>
    </w:p>
    <w:p w14:paraId="3C638767" w14:textId="77777777" w:rsidR="00915518" w:rsidRDefault="00280CEA">
      <w:pPr>
        <w:spacing w:before="240" w:after="120"/>
        <w:jc w:val="center"/>
      </w:pPr>
      <w:r>
        <w:rPr>
          <w:b/>
          <w:bCs/>
          <w:i/>
          <w:iCs/>
          <w:color w:val="1A5C2A"/>
        </w:rPr>
        <w:t>Deliver in the conditions that are, not the ones a textbook assumes.</w:t>
      </w:r>
    </w:p>
    <w:p w14:paraId="514E4964" w14:textId="77777777" w:rsidR="00915518" w:rsidRDefault="00915518">
      <w:pPr>
        <w:pBdr>
          <w:bottom w:val="single" w:sz="8" w:space="1" w:color="C47B0B"/>
        </w:pBdr>
        <w:spacing w:before="60" w:after="160"/>
      </w:pPr>
    </w:p>
    <w:p w14:paraId="43626C67" w14:textId="77777777" w:rsidR="00915518" w:rsidRDefault="00280CEA">
      <w:pPr>
        <w:spacing w:before="150"/>
      </w:pPr>
      <w:r>
        <w:rPr>
          <w:b/>
          <w:bCs/>
          <w:sz w:val="20"/>
          <w:szCs w:val="20"/>
        </w:rPr>
        <w:t>African Institute of Project Assurance and Forensics (AIPAF)</w:t>
      </w:r>
    </w:p>
    <w:p w14:paraId="31E5748D" w14:textId="77777777" w:rsidR="00915518" w:rsidRDefault="00280CEA">
      <w:r>
        <w:rPr>
          <w:color w:val="4D4D4D"/>
          <w:sz w:val="19"/>
          <w:szCs w:val="19"/>
        </w:rPr>
        <w:t>The African Context Project Management Body of Knowledge: A Framework  •  Edition 2026</w:t>
      </w:r>
    </w:p>
    <w:sectPr w:rsidR="00915518">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ED86" w14:textId="77777777" w:rsidR="00280CEA" w:rsidRDefault="00280CEA">
      <w:r>
        <w:separator/>
      </w:r>
    </w:p>
  </w:endnote>
  <w:endnote w:type="continuationSeparator" w:id="0">
    <w:p w14:paraId="51940494" w14:textId="77777777" w:rsidR="00280CEA" w:rsidRDefault="00280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5BA6" w14:textId="77777777" w:rsidR="00915518" w:rsidRDefault="00280CEA">
    <w:pPr>
      <w:pBdr>
        <w:top w:val="single" w:sz="4" w:space="4" w:color="C47B0B"/>
      </w:pBdr>
      <w:jc w:val="center"/>
    </w:pPr>
    <w:r>
      <w:rPr>
        <w:color w:val="4D4D4D"/>
        <w:sz w:val="15"/>
        <w:szCs w:val="15"/>
      </w:rPr>
      <w:t xml:space="preserve">AIPAF  •  </w:t>
    </w:r>
    <w:proofErr w:type="spellStart"/>
    <w:r>
      <w:rPr>
        <w:color w:val="4D4D4D"/>
        <w:sz w:val="15"/>
        <w:szCs w:val="15"/>
      </w:rPr>
      <w:t>ACPMBoK</w:t>
    </w:r>
    <w:proofErr w:type="spellEnd"/>
    <w:r>
      <w:rPr>
        <w:color w:val="4D4D4D"/>
        <w:sz w:val="15"/>
        <w:szCs w:val="15"/>
      </w:rPr>
      <w:t xml:space="preserve"> Framework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0557B0">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48D2" w14:textId="77777777" w:rsidR="00280CEA" w:rsidRDefault="00280CEA">
      <w:r>
        <w:separator/>
      </w:r>
    </w:p>
  </w:footnote>
  <w:footnote w:type="continuationSeparator" w:id="0">
    <w:p w14:paraId="3AD47B39" w14:textId="77777777" w:rsidR="00280CEA" w:rsidRDefault="00280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1089" w14:textId="77777777" w:rsidR="00915518" w:rsidRDefault="00280CEA">
    <w:pPr>
      <w:pBdr>
        <w:bottom w:val="single" w:sz="4" w:space="4" w:color="C47B0B"/>
      </w:pBdr>
      <w:jc w:val="right"/>
    </w:pPr>
    <w:r>
      <w:rPr>
        <w:b/>
        <w:bCs/>
        <w:color w:val="1A5C2A"/>
        <w:sz w:val="15"/>
        <w:szCs w:val="15"/>
      </w:rPr>
      <w:t>The African Context Project Management Body of Knowledge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02399"/>
    <w:multiLevelType w:val="hybridMultilevel"/>
    <w:tmpl w:val="D85E1BCC"/>
    <w:lvl w:ilvl="0" w:tplc="D3F4B9EE">
      <w:start w:val="1"/>
      <w:numFmt w:val="bullet"/>
      <w:lvlText w:val="•"/>
      <w:lvlJc w:val="left"/>
      <w:pPr>
        <w:ind w:left="360" w:hanging="220"/>
      </w:pPr>
      <w:rPr>
        <w:color w:val="C47B0B"/>
      </w:rPr>
    </w:lvl>
    <w:lvl w:ilvl="1" w:tplc="64FCB0FA">
      <w:numFmt w:val="decimal"/>
      <w:lvlText w:val=""/>
      <w:lvlJc w:val="left"/>
    </w:lvl>
    <w:lvl w:ilvl="2" w:tplc="091613D2">
      <w:numFmt w:val="decimal"/>
      <w:lvlText w:val=""/>
      <w:lvlJc w:val="left"/>
    </w:lvl>
    <w:lvl w:ilvl="3" w:tplc="CD84D50C">
      <w:numFmt w:val="decimal"/>
      <w:lvlText w:val=""/>
      <w:lvlJc w:val="left"/>
    </w:lvl>
    <w:lvl w:ilvl="4" w:tplc="AC303BEC">
      <w:numFmt w:val="decimal"/>
      <w:lvlText w:val=""/>
      <w:lvlJc w:val="left"/>
    </w:lvl>
    <w:lvl w:ilvl="5" w:tplc="56020850">
      <w:numFmt w:val="decimal"/>
      <w:lvlText w:val=""/>
      <w:lvlJc w:val="left"/>
    </w:lvl>
    <w:lvl w:ilvl="6" w:tplc="460483E0">
      <w:numFmt w:val="decimal"/>
      <w:lvlText w:val=""/>
      <w:lvlJc w:val="left"/>
    </w:lvl>
    <w:lvl w:ilvl="7" w:tplc="BA467E38">
      <w:numFmt w:val="decimal"/>
      <w:lvlText w:val=""/>
      <w:lvlJc w:val="left"/>
    </w:lvl>
    <w:lvl w:ilvl="8" w:tplc="A4EC6AFE">
      <w:numFmt w:val="decimal"/>
      <w:lvlText w:val=""/>
      <w:lvlJc w:val="left"/>
    </w:lvl>
  </w:abstractNum>
  <w:abstractNum w:abstractNumId="1" w15:restartNumberingAfterBreak="0">
    <w:nsid w:val="6B4C0BD7"/>
    <w:multiLevelType w:val="hybridMultilevel"/>
    <w:tmpl w:val="C5140C22"/>
    <w:lvl w:ilvl="0" w:tplc="CE6EFE38">
      <w:start w:val="1"/>
      <w:numFmt w:val="bullet"/>
      <w:lvlText w:val="●"/>
      <w:lvlJc w:val="left"/>
      <w:pPr>
        <w:ind w:left="720" w:hanging="360"/>
      </w:pPr>
    </w:lvl>
    <w:lvl w:ilvl="1" w:tplc="666A881C">
      <w:start w:val="1"/>
      <w:numFmt w:val="bullet"/>
      <w:lvlText w:val="○"/>
      <w:lvlJc w:val="left"/>
      <w:pPr>
        <w:ind w:left="1440" w:hanging="360"/>
      </w:pPr>
    </w:lvl>
    <w:lvl w:ilvl="2" w:tplc="0DD01F08">
      <w:start w:val="1"/>
      <w:numFmt w:val="bullet"/>
      <w:lvlText w:val="■"/>
      <w:lvlJc w:val="left"/>
      <w:pPr>
        <w:ind w:left="2160" w:hanging="360"/>
      </w:pPr>
    </w:lvl>
    <w:lvl w:ilvl="3" w:tplc="E3945058">
      <w:start w:val="1"/>
      <w:numFmt w:val="bullet"/>
      <w:lvlText w:val="●"/>
      <w:lvlJc w:val="left"/>
      <w:pPr>
        <w:ind w:left="2880" w:hanging="360"/>
      </w:pPr>
    </w:lvl>
    <w:lvl w:ilvl="4" w:tplc="A35CADA2">
      <w:start w:val="1"/>
      <w:numFmt w:val="bullet"/>
      <w:lvlText w:val="○"/>
      <w:lvlJc w:val="left"/>
      <w:pPr>
        <w:ind w:left="3600" w:hanging="360"/>
      </w:pPr>
    </w:lvl>
    <w:lvl w:ilvl="5" w:tplc="CFD0F266">
      <w:start w:val="1"/>
      <w:numFmt w:val="bullet"/>
      <w:lvlText w:val="■"/>
      <w:lvlJc w:val="left"/>
      <w:pPr>
        <w:ind w:left="4320" w:hanging="360"/>
      </w:pPr>
    </w:lvl>
    <w:lvl w:ilvl="6" w:tplc="D6CCE85E">
      <w:start w:val="1"/>
      <w:numFmt w:val="bullet"/>
      <w:lvlText w:val="●"/>
      <w:lvlJc w:val="left"/>
      <w:pPr>
        <w:ind w:left="5040" w:hanging="360"/>
      </w:pPr>
    </w:lvl>
    <w:lvl w:ilvl="7" w:tplc="0A247B02">
      <w:start w:val="1"/>
      <w:numFmt w:val="bullet"/>
      <w:lvlText w:val="●"/>
      <w:lvlJc w:val="left"/>
      <w:pPr>
        <w:ind w:left="5760" w:hanging="360"/>
      </w:pPr>
    </w:lvl>
    <w:lvl w:ilvl="8" w:tplc="67C0BCFC">
      <w:start w:val="1"/>
      <w:numFmt w:val="bullet"/>
      <w:lvlText w:val="●"/>
      <w:lvlJc w:val="left"/>
      <w:pPr>
        <w:ind w:left="6480" w:hanging="360"/>
      </w:pPr>
    </w:lvl>
  </w:abstractNum>
  <w:num w:numId="1" w16cid:durableId="1875803477">
    <w:abstractNumId w:val="1"/>
    <w:lvlOverride w:ilvl="0">
      <w:startOverride w:val="1"/>
    </w:lvlOverride>
  </w:num>
  <w:num w:numId="2" w16cid:durableId="1676223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518"/>
    <w:rsid w:val="000557B0"/>
    <w:rsid w:val="00280CEA"/>
    <w:rsid w:val="008B04FB"/>
    <w:rsid w:val="00915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3503"/>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C47B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4457</Words>
  <Characters>25406</Characters>
  <Application>Microsoft Office Word</Application>
  <DocSecurity>0</DocSecurity>
  <Lines>211</Lines>
  <Paragraphs>59</Paragraphs>
  <ScaleCrop>false</ScaleCrop>
  <Company/>
  <LinksUpToDate>false</LinksUpToDate>
  <CharactersWithSpaces>29804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African Context Project Management Body of Knowledge: A Framework</dc:title>
  <dc:creator>Prof Degi</dc:creator>
  <cp:lastModifiedBy>Prof. De-Graft Owusu-Manu</cp:lastModifiedBy>
  <cp:revision>2</cp:revision>
  <dcterms:created xsi:type="dcterms:W3CDTF">2026-07-09T04:05:00Z</dcterms:created>
  <dcterms:modified xsi:type="dcterms:W3CDTF">2026-07-09T04:05:00Z</dcterms:modified>
</cp:coreProperties>
</file>