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Arial" w:cs="Arial" w:eastAsia="Arial" w:hAnsi="Arial"/>
          <w:sz w:val="8"/>
          <w:szCs w:val="8"/>
        </w:rPr>
        <w:t xml:space="preserve"/>
      </w:r>
    </w:p>
    <w:p>
      <w:pPr>
        <w:spacing w:after="60"/>
        <w:jc w:val="center"/>
      </w:pPr>
      <w:r>
        <w:rPr>
          <w:rFonts w:ascii="Arial" w:cs="Arial" w:eastAsia="Arial" w:hAnsi="Arial"/>
          <w:b/>
          <w:bCs/>
          <w:color w:val="1A5C2A"/>
          <w:spacing w:val="30"/>
          <w:sz w:val="40"/>
          <w:szCs w:val="40"/>
        </w:rPr>
        <w:t xml:space="preserve">AFRICAN INSTITUTE OF</w:t>
      </w:r>
    </w:p>
    <w:p>
      <w:pPr>
        <w:spacing w:after="60"/>
        <w:jc w:val="center"/>
      </w:pPr>
      <w:r>
        <w:rPr>
          <w:rFonts w:ascii="Arial" w:cs="Arial" w:eastAsia="Arial" w:hAnsi="Arial"/>
          <w:b/>
          <w:bCs/>
          <w:color w:val="1A5C2A"/>
          <w:spacing w:val="20"/>
          <w:sz w:val="40"/>
          <w:szCs w:val="40"/>
        </w:rPr>
        <w:t xml:space="preserve">PROJECT ASSURANCE AND FORENSICS</w:t>
      </w:r>
    </w:p>
    <w:p>
      <w:pPr>
        <w:spacing w:after="240"/>
        <w:jc w:val="center"/>
      </w:pPr>
      <w:r>
        <w:rPr>
          <w:rFonts w:ascii="Arial" w:cs="Arial" w:eastAsia="Arial" w:hAnsi="Arial"/>
          <w:b/>
          <w:bCs/>
          <w:color w:val="C47B0B"/>
          <w:spacing w:val="80"/>
          <w:sz w:val="26"/>
          <w:szCs w:val="26"/>
        </w:rPr>
        <w:t xml:space="preserve">A I P A F</w:t>
      </w:r>
    </w:p>
    <w:p>
      <w:pPr>
        <w:pBdr>
          <w:top w:val="single" w:color="C47B0B" w:sz="12" w:space="6"/>
          <w:bottom w:val="single" w:color="C47B0B" w:sz="12" w:space="6"/>
        </w:pBdr>
        <w:spacing w:after="120" w:before="120"/>
        <w:jc w:val="center"/>
      </w:pPr>
      <w:r>
        <w:rPr>
          <w:rFonts w:ascii="Arial" w:cs="Arial" w:eastAsia="Arial" w:hAnsi="Arial"/>
          <w:i/>
          <w:iCs/>
          <w:color w:val="4D4D4D"/>
          <w:sz w:val="22"/>
          <w:szCs w:val="22"/>
        </w:rPr>
        <w:t xml:space="preserve">Getting Africa’s projects right, and holding them to account when they go wrong.</w:t>
      </w:r>
    </w:p>
    <w:p>
      <w:pPr>
        <w:spacing w:before="480"/>
      </w:pPr>
      <w:r>
        <w:rPr>
          <w:rFonts w:ascii="Arial" w:cs="Arial" w:eastAsia="Arial" w:hAnsi="Arial"/>
          <w:sz w:val="8"/>
          <w:szCs w:val="8"/>
        </w:rPr>
        <w:t xml:space="preserve"/>
      </w:r>
    </w:p>
    <w:p>
      <w:pPr>
        <w:spacing w:after="80"/>
        <w:jc w:val="center"/>
      </w:pPr>
      <w:r>
        <w:rPr>
          <w:rFonts w:ascii="Arial" w:cs="Arial" w:eastAsia="Arial" w:hAnsi="Arial"/>
          <w:b/>
          <w:bCs/>
          <w:color w:val="1A1A1A"/>
          <w:spacing w:val="20"/>
          <w:sz w:val="24"/>
          <w:szCs w:val="24"/>
        </w:rPr>
        <w:t xml:space="preserve">ORGANISATIONAL PROFILE AND FOUNDING FRAMEWORK</w:t>
      </w:r>
    </w:p>
    <w:p>
      <w:pPr>
        <w:spacing w:after="40"/>
        <w:jc w:val="center"/>
      </w:pPr>
      <w:r>
        <w:rPr>
          <w:rFonts w:ascii="Arial" w:cs="Arial" w:eastAsia="Arial" w:hAnsi="Arial"/>
          <w:color w:val="4D4D4D"/>
          <w:sz w:val="22"/>
          <w:szCs w:val="22"/>
        </w:rPr>
        <w:t xml:space="preserve">Founding Concept Note  •  Mandate  •  Credential Architecture  •  Governance</w:t>
      </w:r>
    </w:p>
    <w:p>
      <w:pPr>
        <w:spacing w:before="1400"/>
      </w:pPr>
      <w:r>
        <w:rPr>
          <w:rFonts w:ascii="Arial" w:cs="Arial" w:eastAsia="Arial" w:hAnsi="Arial"/>
          <w:sz w:val="8"/>
          <w:szCs w:val="8"/>
        </w:rPr>
        <w:t xml:space="preserve"/>
      </w:r>
    </w:p>
    <w:p>
      <w:pPr>
        <w:spacing w:after="40"/>
        <w:jc w:val="center"/>
      </w:pPr>
      <w:r>
        <w:rPr>
          <w:rFonts w:ascii="Arial" w:cs="Arial" w:eastAsia="Arial" w:hAnsi="Arial"/>
          <w:b/>
          <w:bCs/>
          <w:color w:val="1A5C2A"/>
          <w:sz w:val="22"/>
          <w:szCs w:val="22"/>
        </w:rPr>
        <w:t xml:space="preserve">Edition 2026</w:t>
      </w:r>
    </w:p>
    <w:p>
      <w:pPr>
        <w:jc w:val="center"/>
      </w:pPr>
      <w:r>
        <w:rPr>
          <w:rFonts w:ascii="Arial" w:cs="Arial" w:eastAsia="Arial" w:hAnsi="Arial"/>
          <w:color w:val="4D4D4D"/>
          <w:sz w:val="19"/>
          <w:szCs w:val="19"/>
        </w:rPr>
        <w:t xml:space="preserve">A Pan-African Professional Body</w:t>
      </w:r>
    </w:p>
    <w:p>
      <w:r>
        <w:br w:type="page"/>
      </w:r>
    </w:p>
    <w:p>
      <w:pPr>
        <w:pStyle w:val="Heading1"/>
        <w:spacing w:after="160" w:before="320"/>
      </w:pPr>
      <w:r>
        <w:rPr>
          <w:rFonts w:ascii="Arial" w:cs="Arial" w:eastAsia="Arial" w:hAnsi="Arial"/>
          <w:b/>
          <w:bCs/>
          <w:color w:val="1A5C2A"/>
          <w:sz w:val="30"/>
          <w:szCs w:val="30"/>
        </w:rPr>
        <w:t xml:space="preserve">Contents</w:t>
      </w:r>
    </w:p>
    <w:p>
      <w:pPr>
        <w:pBdr>
          <w:bottom w:val="single" w:color="C47B0B" w:sz="8" w:space="1"/>
        </w:pBdr>
        <w:spacing w:after="160" w:before="60"/>
      </w:pPr>
      <w:r>
        <w:rPr>
          <w:rFonts w:ascii="Arial" w:cs="Arial" w:eastAsia="Arial" w:hAnsi="Arial"/>
        </w:rPr>
        <w:t xml:space="preserve"/>
      </w:r>
    </w:p>
    <w:p>
      <w:pPr>
        <w:tabs>
          <w:tab w:val="right" w:pos="9200" w:leader="dot"/>
        </w:tabs>
        <w:spacing w:after="20" w:before="120"/>
      </w:pPr>
      <w:r>
        <w:rPr>
          <w:rFonts w:ascii="Arial" w:cs="Arial" w:eastAsia="Arial" w:hAnsi="Arial"/>
          <w:b/>
          <w:bCs/>
          <w:color w:val="1A5C2A"/>
          <w:sz w:val="24"/>
          <w:szCs w:val="24"/>
        </w:rPr>
        <w:t xml:space="preserve">Foreword</w:t>
        <w:ptab w:alignment="right" w:relativeTo="margin" w:leader="dot"/>
        <w:t xml:space="preserve">3</w:t>
      </w:r>
    </w:p>
    <w:p>
      <w:pPr>
        <w:tabs>
          <w:tab w:val="right" w:pos="9200" w:leader="dot"/>
        </w:tabs>
        <w:spacing w:after="20" w:before="120"/>
      </w:pPr>
      <w:r>
        <w:rPr>
          <w:rFonts w:ascii="Arial" w:cs="Arial" w:eastAsia="Arial" w:hAnsi="Arial"/>
          <w:b/>
          <w:bCs/>
          <w:color w:val="1A5C2A"/>
          <w:sz w:val="24"/>
          <w:szCs w:val="24"/>
        </w:rPr>
        <w:t xml:space="preserve">Part One  |  Founding Concept Note</w:t>
        <w:ptab w:alignment="right" w:relativeTo="margin" w:leader="dot"/>
        <w:t xml:space="preserve">4</w:t>
      </w:r>
    </w:p>
    <w:p>
      <w:pPr>
        <w:spacing w:after="20" w:line="264"/>
        <w:ind w:left="300"/>
      </w:pPr>
      <w:r>
        <w:rPr>
          <w:rFonts w:ascii="Arial" w:cs="Arial" w:eastAsia="Arial" w:hAnsi="Arial"/>
          <w:color w:val="4D4D4D"/>
          <w:sz w:val="19"/>
          <w:szCs w:val="19"/>
        </w:rPr>
        <w:t xml:space="preserve">1.1  The problem we exist to address</w:t>
        <w:ptab w:alignment="right" w:relativeTo="margin" w:leader="dot"/>
        <w:t xml:space="preserve">4</w:t>
      </w:r>
    </w:p>
    <w:p>
      <w:pPr>
        <w:spacing w:after="20" w:line="264"/>
        <w:ind w:left="300"/>
      </w:pPr>
      <w:r>
        <w:rPr>
          <w:rFonts w:ascii="Arial" w:cs="Arial" w:eastAsia="Arial" w:hAnsi="Arial"/>
          <w:color w:val="4D4D4D"/>
          <w:sz w:val="19"/>
          <w:szCs w:val="19"/>
        </w:rPr>
        <w:t xml:space="preserve">1.2  The opportunity</w:t>
        <w:ptab w:alignment="right" w:relativeTo="margin" w:leader="dot"/>
        <w:t xml:space="preserve">4</w:t>
      </w:r>
    </w:p>
    <w:p>
      <w:pPr>
        <w:spacing w:after="20" w:line="264"/>
        <w:ind w:left="300"/>
      </w:pPr>
      <w:r>
        <w:rPr>
          <w:rFonts w:ascii="Arial" w:cs="Arial" w:eastAsia="Arial" w:hAnsi="Arial"/>
          <w:color w:val="4D4D4D"/>
          <w:sz w:val="19"/>
          <w:szCs w:val="19"/>
        </w:rPr>
        <w:t xml:space="preserve">1.3  Why one body across the lifecycle</w:t>
        <w:ptab w:alignment="right" w:relativeTo="margin" w:leader="dot"/>
        <w:t xml:space="preserve">5</w:t>
      </w:r>
    </w:p>
    <w:p>
      <w:pPr>
        <w:spacing w:after="20" w:line="264"/>
        <w:ind w:left="300"/>
      </w:pPr>
      <w:r>
        <w:rPr>
          <w:rFonts w:ascii="Arial" w:cs="Arial" w:eastAsia="Arial" w:hAnsi="Arial"/>
          <w:color w:val="4D4D4D"/>
          <w:sz w:val="19"/>
          <w:szCs w:val="19"/>
        </w:rPr>
        <w:t xml:space="preserve">1.4  Scope and continental ambition</w:t>
        <w:ptab w:alignment="right" w:relativeTo="margin" w:leader="dot"/>
        <w:t xml:space="preserve">5</w:t>
      </w:r>
    </w:p>
    <w:p>
      <w:pPr>
        <w:tabs>
          <w:tab w:val="right" w:pos="9200" w:leader="dot"/>
        </w:tabs>
        <w:spacing w:after="20" w:before="120"/>
      </w:pPr>
      <w:r>
        <w:rPr>
          <w:rFonts w:ascii="Arial" w:cs="Arial" w:eastAsia="Arial" w:hAnsi="Arial"/>
          <w:b/>
          <w:bCs/>
          <w:color w:val="1A5C2A"/>
          <w:sz w:val="24"/>
          <w:szCs w:val="24"/>
        </w:rPr>
        <w:t xml:space="preserve">Part Two  |  Identity</w:t>
        <w:ptab w:alignment="right" w:relativeTo="margin" w:leader="dot"/>
        <w:t xml:space="preserve">7</w:t>
      </w:r>
    </w:p>
    <w:p>
      <w:pPr>
        <w:spacing w:after="20" w:line="264"/>
        <w:ind w:left="300"/>
      </w:pPr>
      <w:r>
        <w:rPr>
          <w:rFonts w:ascii="Arial" w:cs="Arial" w:eastAsia="Arial" w:hAnsi="Arial"/>
          <w:color w:val="4D4D4D"/>
          <w:sz w:val="19"/>
          <w:szCs w:val="19"/>
        </w:rPr>
        <w:t xml:space="preserve">2.1  Vision</w:t>
        <w:ptab w:alignment="right" w:relativeTo="margin" w:leader="dot"/>
        <w:t xml:space="preserve">7</w:t>
      </w:r>
    </w:p>
    <w:p>
      <w:pPr>
        <w:spacing w:after="20" w:line="264"/>
        <w:ind w:left="300"/>
      </w:pPr>
      <w:r>
        <w:rPr>
          <w:rFonts w:ascii="Arial" w:cs="Arial" w:eastAsia="Arial" w:hAnsi="Arial"/>
          <w:color w:val="4D4D4D"/>
          <w:sz w:val="19"/>
          <w:szCs w:val="19"/>
        </w:rPr>
        <w:t xml:space="preserve">2.2  Mission</w:t>
        <w:ptab w:alignment="right" w:relativeTo="margin" w:leader="dot"/>
        <w:t xml:space="preserve">7</w:t>
      </w:r>
    </w:p>
    <w:p>
      <w:pPr>
        <w:spacing w:after="20" w:line="264"/>
        <w:ind w:left="300"/>
      </w:pPr>
      <w:r>
        <w:rPr>
          <w:rFonts w:ascii="Arial" w:cs="Arial" w:eastAsia="Arial" w:hAnsi="Arial"/>
          <w:color w:val="4D4D4D"/>
          <w:sz w:val="19"/>
          <w:szCs w:val="19"/>
        </w:rPr>
        <w:t xml:space="preserve">2.3  Core values</w:t>
        <w:ptab w:alignment="right" w:relativeTo="margin" w:leader="dot"/>
        <w:t xml:space="preserve">7</w:t>
      </w:r>
    </w:p>
    <w:p>
      <w:pPr>
        <w:spacing w:after="20" w:line="264"/>
        <w:ind w:left="300"/>
      </w:pPr>
      <w:r>
        <w:rPr>
          <w:rFonts w:ascii="Arial" w:cs="Arial" w:eastAsia="Arial" w:hAnsi="Arial"/>
          <w:color w:val="4D4D4D"/>
          <w:sz w:val="19"/>
          <w:szCs w:val="19"/>
        </w:rPr>
        <w:t xml:space="preserve">2.4  Motto</w:t>
        <w:ptab w:alignment="right" w:relativeTo="margin" w:leader="dot"/>
        <w:t xml:space="preserve">7</w:t>
      </w:r>
    </w:p>
    <w:p>
      <w:pPr>
        <w:tabs>
          <w:tab w:val="right" w:pos="9200" w:leader="dot"/>
        </w:tabs>
        <w:spacing w:after="20" w:before="120"/>
      </w:pPr>
      <w:r>
        <w:rPr>
          <w:rFonts w:ascii="Arial" w:cs="Arial" w:eastAsia="Arial" w:hAnsi="Arial"/>
          <w:b/>
          <w:bCs/>
          <w:color w:val="1A5C2A"/>
          <w:sz w:val="24"/>
          <w:szCs w:val="24"/>
        </w:rPr>
        <w:t xml:space="preserve">Part Three  |  Mandate and Scope</w:t>
        <w:ptab w:alignment="right" w:relativeTo="margin" w:leader="dot"/>
        <w:t xml:space="preserve">8</w:t>
      </w:r>
    </w:p>
    <w:p>
      <w:pPr>
        <w:spacing w:after="20" w:line="264"/>
        <w:ind w:left="300"/>
      </w:pPr>
      <w:r>
        <w:rPr>
          <w:rFonts w:ascii="Arial" w:cs="Arial" w:eastAsia="Arial" w:hAnsi="Arial"/>
          <w:color w:val="4D4D4D"/>
          <w:sz w:val="19"/>
          <w:szCs w:val="19"/>
        </w:rPr>
        <w:t xml:space="preserve">3.1  Objects of the Institute</w:t>
        <w:ptab w:alignment="right" w:relativeTo="margin" w:leader="dot"/>
        <w:t xml:space="preserve">8</w:t>
      </w:r>
    </w:p>
    <w:p>
      <w:pPr>
        <w:spacing w:after="20" w:line="264"/>
        <w:ind w:left="300"/>
      </w:pPr>
      <w:r>
        <w:rPr>
          <w:rFonts w:ascii="Arial" w:cs="Arial" w:eastAsia="Arial" w:hAnsi="Arial"/>
          <w:color w:val="4D4D4D"/>
          <w:sz w:val="19"/>
          <w:szCs w:val="19"/>
        </w:rPr>
        <w:t xml:space="preserve">3.2  Scope of practice</w:t>
        <w:ptab w:alignment="right" w:relativeTo="margin" w:leader="dot"/>
        <w:t xml:space="preserve">8</w:t>
      </w:r>
    </w:p>
    <w:p>
      <w:pPr>
        <w:tabs>
          <w:tab w:val="right" w:pos="9200" w:leader="dot"/>
        </w:tabs>
        <w:spacing w:after="20" w:before="120"/>
      </w:pPr>
      <w:r>
        <w:rPr>
          <w:rFonts w:ascii="Arial" w:cs="Arial" w:eastAsia="Arial" w:hAnsi="Arial"/>
          <w:b/>
          <w:bCs/>
          <w:color w:val="1A5C2A"/>
          <w:sz w:val="24"/>
          <w:szCs w:val="24"/>
        </w:rPr>
        <w:t xml:space="preserve">Part Four  |  Credential Architecture</w:t>
        <w:ptab w:alignment="right" w:relativeTo="margin" w:leader="dot"/>
        <w:t xml:space="preserve">11</w:t>
      </w:r>
    </w:p>
    <w:p>
      <w:pPr>
        <w:spacing w:after="20" w:line="264"/>
        <w:ind w:left="300"/>
      </w:pPr>
      <w:r>
        <w:rPr>
          <w:rFonts w:ascii="Arial" w:cs="Arial" w:eastAsia="Arial" w:hAnsi="Arial"/>
          <w:color w:val="4D4D4D"/>
          <w:sz w:val="19"/>
          <w:szCs w:val="19"/>
        </w:rPr>
        <w:t xml:space="preserve">4.1  The three credential tracks</w:t>
        <w:ptab w:alignment="right" w:relativeTo="margin" w:leader="dot"/>
        <w:t xml:space="preserve">11</w:t>
      </w:r>
    </w:p>
    <w:p>
      <w:pPr>
        <w:spacing w:after="20" w:line="264"/>
        <w:ind w:left="300"/>
      </w:pPr>
      <w:r>
        <w:rPr>
          <w:rFonts w:ascii="Arial" w:cs="Arial" w:eastAsia="Arial" w:hAnsi="Arial"/>
          <w:color w:val="4D4D4D"/>
          <w:sz w:val="19"/>
          <w:szCs w:val="19"/>
        </w:rPr>
        <w:t xml:space="preserve">4.2  The shared foundation</w:t>
        <w:ptab w:alignment="right" w:relativeTo="margin" w:leader="dot"/>
        <w:t xml:space="preserve">12</w:t>
      </w:r>
    </w:p>
    <w:p>
      <w:pPr>
        <w:spacing w:after="20" w:line="264"/>
        <w:ind w:left="300"/>
      </w:pPr>
      <w:r>
        <w:rPr>
          <w:rFonts w:ascii="Arial" w:cs="Arial" w:eastAsia="Arial" w:hAnsi="Arial"/>
          <w:color w:val="4D4D4D"/>
          <w:sz w:val="19"/>
          <w:szCs w:val="19"/>
        </w:rPr>
        <w:t xml:space="preserve">4.3  Entry routes</w:t>
        <w:ptab w:alignment="right" w:relativeTo="margin" w:leader="dot"/>
        <w:t xml:space="preserve">12</w:t>
      </w:r>
    </w:p>
    <w:p>
      <w:pPr>
        <w:spacing w:after="20" w:line="264"/>
        <w:ind w:left="300"/>
      </w:pPr>
      <w:r>
        <w:rPr>
          <w:rFonts w:ascii="Arial" w:cs="Arial" w:eastAsia="Arial" w:hAnsi="Arial"/>
          <w:color w:val="4D4D4D"/>
          <w:sz w:val="19"/>
          <w:szCs w:val="19"/>
        </w:rPr>
        <w:t xml:space="preserve">4.4  Progression and maintenance</w:t>
        <w:ptab w:alignment="right" w:relativeTo="margin" w:leader="dot"/>
        <w:t xml:space="preserve">13</w:t>
      </w:r>
    </w:p>
    <w:p>
      <w:pPr>
        <w:spacing w:after="20" w:line="264"/>
        <w:ind w:left="300"/>
      </w:pPr>
      <w:r>
        <w:rPr>
          <w:rFonts w:ascii="Arial" w:cs="Arial" w:eastAsia="Arial" w:hAnsi="Arial"/>
          <w:color w:val="4D4D4D"/>
          <w:sz w:val="19"/>
          <w:szCs w:val="19"/>
        </w:rPr>
        <w:t xml:space="preserve">4.5  From Certified to Chartered</w:t>
        <w:ptab w:alignment="right" w:relativeTo="margin" w:leader="dot"/>
        <w:t xml:space="preserve">13</w:t>
      </w:r>
    </w:p>
    <w:p>
      <w:pPr>
        <w:tabs>
          <w:tab w:val="right" w:pos="9200" w:leader="dot"/>
        </w:tabs>
        <w:spacing w:after="20" w:before="120"/>
      </w:pPr>
      <w:r>
        <w:rPr>
          <w:rFonts w:ascii="Arial" w:cs="Arial" w:eastAsia="Arial" w:hAnsi="Arial"/>
          <w:b/>
          <w:bCs/>
          <w:color w:val="1A5C2A"/>
          <w:sz w:val="24"/>
          <w:szCs w:val="24"/>
        </w:rPr>
        <w:t xml:space="preserve">Part Five  |  Membership</w:t>
        <w:ptab w:alignment="right" w:relativeTo="margin" w:leader="dot"/>
        <w:t xml:space="preserve">15</w:t>
      </w:r>
    </w:p>
    <w:p>
      <w:pPr>
        <w:tabs>
          <w:tab w:val="right" w:pos="9200" w:leader="dot"/>
        </w:tabs>
        <w:spacing w:after="20" w:before="120"/>
      </w:pPr>
      <w:r>
        <w:rPr>
          <w:rFonts w:ascii="Arial" w:cs="Arial" w:eastAsia="Arial" w:hAnsi="Arial"/>
          <w:b/>
          <w:bCs/>
          <w:color w:val="1A5C2A"/>
          <w:sz w:val="24"/>
          <w:szCs w:val="24"/>
        </w:rPr>
        <w:t xml:space="preserve">Part Six  |  Governance</w:t>
        <w:ptab w:alignment="right" w:relativeTo="margin" w:leader="dot"/>
        <w:t xml:space="preserve">16</w:t>
      </w:r>
    </w:p>
    <w:p>
      <w:pPr>
        <w:spacing w:after="20" w:line="264"/>
        <w:ind w:left="300"/>
      </w:pPr>
      <w:r>
        <w:rPr>
          <w:rFonts w:ascii="Arial" w:cs="Arial" w:eastAsia="Arial" w:hAnsi="Arial"/>
          <w:color w:val="4D4D4D"/>
          <w:sz w:val="19"/>
          <w:szCs w:val="19"/>
        </w:rPr>
        <w:t xml:space="preserve">6.1  Governance structure</w:t>
        <w:ptab w:alignment="right" w:relativeTo="margin" w:leader="dot"/>
        <w:t xml:space="preserve">16</w:t>
      </w:r>
    </w:p>
    <w:p>
      <w:pPr>
        <w:spacing w:after="20" w:line="264"/>
        <w:ind w:left="300"/>
      </w:pPr>
      <w:r>
        <w:rPr>
          <w:rFonts w:ascii="Arial" w:cs="Arial" w:eastAsia="Arial" w:hAnsi="Arial"/>
          <w:color w:val="4D4D4D"/>
          <w:sz w:val="19"/>
          <w:szCs w:val="19"/>
        </w:rPr>
        <w:t xml:space="preserve">6.2  Standing committees</w:t>
        <w:ptab w:alignment="right" w:relativeTo="margin" w:leader="dot"/>
        <w:t xml:space="preserve">16</w:t>
      </w:r>
    </w:p>
    <w:p>
      <w:pPr>
        <w:spacing w:after="20" w:line="264"/>
        <w:ind w:left="300"/>
      </w:pPr>
      <w:r>
        <w:rPr>
          <w:rFonts w:ascii="Arial" w:cs="Arial" w:eastAsia="Arial" w:hAnsi="Arial"/>
          <w:color w:val="4D4D4D"/>
          <w:sz w:val="19"/>
          <w:szCs w:val="19"/>
        </w:rPr>
        <w:t xml:space="preserve">6.3  Continental chapters</w:t>
        <w:ptab w:alignment="right" w:relativeTo="margin" w:leader="dot"/>
        <w:t xml:space="preserve">17</w:t>
      </w:r>
    </w:p>
    <w:p>
      <w:pPr>
        <w:spacing w:after="20" w:line="264"/>
        <w:ind w:left="300"/>
      </w:pPr>
      <w:r>
        <w:rPr>
          <w:rFonts w:ascii="Arial" w:cs="Arial" w:eastAsia="Arial" w:hAnsi="Arial"/>
          <w:color w:val="4D4D4D"/>
          <w:sz w:val="19"/>
          <w:szCs w:val="19"/>
        </w:rPr>
        <w:t xml:space="preserve">6.4  Independence safeguards</w:t>
        <w:ptab w:alignment="right" w:relativeTo="margin" w:leader="dot"/>
        <w:t xml:space="preserve">17</w:t>
      </w:r>
    </w:p>
    <w:p>
      <w:pPr>
        <w:tabs>
          <w:tab w:val="right" w:pos="9200" w:leader="dot"/>
        </w:tabs>
        <w:spacing w:after="20" w:before="120"/>
      </w:pPr>
      <w:r>
        <w:rPr>
          <w:rFonts w:ascii="Arial" w:cs="Arial" w:eastAsia="Arial" w:hAnsi="Arial"/>
          <w:b/>
          <w:bCs/>
          <w:color w:val="1A5C2A"/>
          <w:sz w:val="24"/>
          <w:szCs w:val="24"/>
        </w:rPr>
        <w:t xml:space="preserve">Part Seven  |  Standards and Professional Conduct</w:t>
        <w:ptab w:alignment="right" w:relativeTo="margin" w:leader="dot"/>
        <w:t xml:space="preserve">18</w:t>
      </w:r>
    </w:p>
    <w:p>
      <w:pPr>
        <w:spacing w:after="20" w:line="264"/>
        <w:ind w:left="300"/>
      </w:pPr>
      <w:r>
        <w:rPr>
          <w:rFonts w:ascii="Arial" w:cs="Arial" w:eastAsia="Arial" w:hAnsi="Arial"/>
          <w:color w:val="4D4D4D"/>
          <w:sz w:val="19"/>
          <w:szCs w:val="19"/>
        </w:rPr>
        <w:t xml:space="preserve">7.1  Technical standards</w:t>
        <w:ptab w:alignment="right" w:relativeTo="margin" w:leader="dot"/>
        <w:t xml:space="preserve">18</w:t>
      </w:r>
    </w:p>
    <w:p>
      <w:pPr>
        <w:spacing w:after="20" w:line="264"/>
        <w:ind w:left="300"/>
      </w:pPr>
      <w:r>
        <w:rPr>
          <w:rFonts w:ascii="Arial" w:cs="Arial" w:eastAsia="Arial" w:hAnsi="Arial"/>
          <w:color w:val="4D4D4D"/>
          <w:sz w:val="19"/>
          <w:szCs w:val="19"/>
        </w:rPr>
        <w:t xml:space="preserve">7.2  Code of professional conduct</w:t>
        <w:ptab w:alignment="right" w:relativeTo="margin" w:leader="dot"/>
        <w:t xml:space="preserve">18</w:t>
      </w:r>
    </w:p>
    <w:p>
      <w:pPr>
        <w:spacing w:after="20" w:line="264"/>
        <w:ind w:left="300"/>
      </w:pPr>
      <w:r>
        <w:rPr>
          <w:rFonts w:ascii="Arial" w:cs="Arial" w:eastAsia="Arial" w:hAnsi="Arial"/>
          <w:color w:val="4D4D4D"/>
          <w:sz w:val="19"/>
          <w:szCs w:val="19"/>
        </w:rPr>
        <w:t xml:space="preserve">7.3  Discipline</w:t>
        <w:ptab w:alignment="right" w:relativeTo="margin" w:leader="dot"/>
        <w:t xml:space="preserve">18</w:t>
      </w:r>
    </w:p>
    <w:p>
      <w:pPr>
        <w:tabs>
          <w:tab w:val="right" w:pos="9200" w:leader="dot"/>
        </w:tabs>
        <w:spacing w:after="20" w:before="120"/>
      </w:pPr>
      <w:r>
        <w:rPr>
          <w:rFonts w:ascii="Arial" w:cs="Arial" w:eastAsia="Arial" w:hAnsi="Arial"/>
          <w:b/>
          <w:bCs/>
          <w:color w:val="1A5C2A"/>
          <w:sz w:val="24"/>
          <w:szCs w:val="24"/>
        </w:rPr>
        <w:t xml:space="preserve">Part Eight  |  Establishment Roadmap</w:t>
        <w:ptab w:alignment="right" w:relativeTo="margin" w:leader="dot"/>
        <w:t xml:space="preserve">19</w:t>
      </w:r>
    </w:p>
    <w:p>
      <w:pPr>
        <w:spacing w:after="20" w:line="264"/>
        <w:ind w:left="300"/>
      </w:pPr>
      <w:r>
        <w:rPr>
          <w:rFonts w:ascii="Arial" w:cs="Arial" w:eastAsia="Arial" w:hAnsi="Arial"/>
          <w:color w:val="4D4D4D"/>
          <w:sz w:val="19"/>
          <w:szCs w:val="19"/>
        </w:rPr>
        <w:t xml:space="preserve">8.1  Sustainability</w:t>
        <w:ptab w:alignment="right" w:relativeTo="margin" w:leader="dot"/>
        <w:t xml:space="preserve">19</w:t>
      </w:r>
    </w:p>
    <w:p>
      <w:pPr>
        <w:tabs>
          <w:tab w:val="right" w:pos="9200" w:leader="dot"/>
        </w:tabs>
        <w:spacing w:after="20" w:before="120"/>
      </w:pPr>
      <w:r>
        <w:rPr>
          <w:rFonts w:ascii="Arial" w:cs="Arial" w:eastAsia="Arial" w:hAnsi="Arial"/>
          <w:b/>
          <w:bCs/>
          <w:color w:val="1A5C2A"/>
          <w:sz w:val="24"/>
          <w:szCs w:val="24"/>
        </w:rPr>
        <w:t xml:space="preserve">Part Nine  |  The Founding Members</w:t>
        <w:ptab w:alignment="right" w:relativeTo="margin" w:leader="dot"/>
        <w:t xml:space="preserve">21</w:t>
      </w:r>
    </w:p>
    <w:p>
      <w:pPr>
        <w:tabs>
          <w:tab w:val="right" w:pos="9200" w:leader="dot"/>
        </w:tabs>
        <w:spacing w:after="20" w:before="120"/>
      </w:pPr>
      <w:r>
        <w:rPr>
          <w:rFonts w:ascii="Arial" w:cs="Arial" w:eastAsia="Arial" w:hAnsi="Arial"/>
          <w:b/>
          <w:bCs/>
          <w:color w:val="1A5C2A"/>
          <w:sz w:val="24"/>
          <w:szCs w:val="24"/>
        </w:rPr>
        <w:t xml:space="preserve">Part Ten  |  Membership Prospectus</w:t>
        <w:ptab w:alignment="right" w:relativeTo="margin" w:leader="dot"/>
        <w:t xml:space="preserve">22</w:t>
      </w:r>
    </w:p>
    <w:p>
      <w:pPr>
        <w:tabs>
          <w:tab w:val="right" w:pos="9200" w:leader="dot"/>
        </w:tabs>
        <w:spacing w:after="20" w:before="120"/>
      </w:pPr>
      <w:r>
        <w:rPr>
          <w:rFonts w:ascii="Arial" w:cs="Arial" w:eastAsia="Arial" w:hAnsi="Arial"/>
          <w:b/>
          <w:bCs/>
          <w:color w:val="1A5C2A"/>
          <w:sz w:val="24"/>
          <w:szCs w:val="24"/>
        </w:rPr>
        <w:t xml:space="preserve">A Standard Africa Can Own</w:t>
        <w:ptab w:alignment="right" w:relativeTo="margin" w:leader="dot"/>
        <w:t xml:space="preserve">23</w:t>
      </w:r>
    </w:p>
    <w:p>
      <w:r>
        <w:br w:type="page"/>
      </w:r>
    </w:p>
    <w:p>
      <w:pPr>
        <w:pStyle w:val="Heading1"/>
        <w:spacing w:after="160" w:before="320"/>
      </w:pPr>
      <w:r>
        <w:rPr>
          <w:rFonts w:ascii="Arial" w:cs="Arial" w:eastAsia="Arial" w:hAnsi="Arial"/>
          <w:b/>
          <w:bCs/>
          <w:color w:val="1A5C2A"/>
          <w:sz w:val="30"/>
          <w:szCs w:val="30"/>
        </w:rPr>
        <w:t xml:space="preserve">Foreword</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In much of Africa, development is delivered through projects: a road that opens a farming district to market, a hospital that brings specialist care within reach, a water scheme, a power plant, a housing estate, a digital backbone. When these projects succeed, the gains are real and lasting. When they fail, the cost is rarely only financial. It is the clinic that never opened, the contractor never paid, and the community that stopped believing promises would be kept.</w:t>
      </w:r>
    </w:p>
    <w:p>
      <w:pPr>
        <w:spacing w:after="160" w:line="348"/>
        <w:jc w:val="both"/>
      </w:pPr>
      <w:r>
        <w:rPr>
          <w:rFonts w:ascii="Arial" w:cs="Arial" w:eastAsia="Arial" w:hAnsi="Arial"/>
          <w:color w:val="1A1A1A"/>
          <w:sz w:val="24"/>
          <w:szCs w:val="24"/>
        </w:rPr>
        <w:t xml:space="preserve">Africa does not lack projects. It lacks, in too many cases, three things that turn projects into reliable outcomes: delivery to a sound and accountable standard, independent assurance that a project will do what it promised before the money is committed, and the forensic capability to establish why it did not when it falls short. These belong to one discipline. Delivery builds the project properly. Assurance protects its value before that value is lost. Forensics establishes the truth after the fact, so that failures produce lessons and someone is held to account.</w:t>
      </w:r>
    </w:p>
    <w:p>
      <w:pPr>
        <w:spacing w:after="160" w:line="348"/>
        <w:jc w:val="both"/>
      </w:pPr>
      <w:r>
        <w:rPr>
          <w:rFonts w:ascii="Arial" w:cs="Arial" w:eastAsia="Arial" w:hAnsi="Arial"/>
          <w:color w:val="1A1A1A"/>
          <w:sz w:val="24"/>
          <w:szCs w:val="24"/>
        </w:rPr>
        <w:t xml:space="preserve">The African Institute of Project Assurance and Forensics has been founded to give that discipline a professional home. Its purpose is to define a standard, certify the people who meet it, and build a body of practice that is African in origin and global in credibility.</w:t>
      </w:r>
    </w:p>
    <w:p>
      <w:pPr>
        <w:spacing w:before="200"/>
      </w:pPr>
      <w:r>
        <w:rPr>
          <w:rFonts w:ascii="Arial" w:cs="Arial" w:eastAsia="Arial" w:hAnsi="Arial"/>
          <w:b/>
          <w:bCs/>
          <w:color w:val="1A1A1A"/>
          <w:sz w:val="24"/>
          <w:szCs w:val="24"/>
        </w:rPr>
        <w:t xml:space="preserve">Founder and Convening President</w:t>
      </w:r>
    </w:p>
    <w:p>
      <w:pPr>
        <w:spacing w:after="160" w:line="348"/>
        <w:jc w:val="both"/>
      </w:pPr>
      <w:r>
        <w:rPr>
          <w:rFonts w:ascii="Arial" w:cs="Arial" w:eastAsia="Arial" w:hAnsi="Arial"/>
          <w:color w:val="1A1A1A"/>
          <w:sz w:val="24"/>
          <w:szCs w:val="24"/>
        </w:rPr>
        <w:t xml:space="preserve">African Institute of Project Assurance and Forensics</w:t>
      </w:r>
    </w:p>
    <w:p>
      <w:r>
        <w:br w:type="page"/>
      </w:r>
    </w:p>
    <w:p>
      <w:pPr>
        <w:pStyle w:val="Heading1"/>
        <w:spacing w:after="160" w:before="320"/>
      </w:pPr>
      <w:r>
        <w:rPr>
          <w:rFonts w:ascii="Arial" w:cs="Arial" w:eastAsia="Arial" w:hAnsi="Arial"/>
          <w:b/>
          <w:bCs/>
          <w:color w:val="1A5C2A"/>
          <w:sz w:val="30"/>
          <w:szCs w:val="30"/>
        </w:rPr>
        <w:t xml:space="preserve">Part One  |  Founding Concept Note</w:t>
      </w:r>
    </w:p>
    <w:p>
      <w:pPr>
        <w:pBdr>
          <w:bottom w:val="single" w:color="C47B0B" w:sz="8" w:space="1"/>
        </w:pBdr>
        <w:spacing w:after="160" w:before="60"/>
      </w:pPr>
      <w:r>
        <w:rPr>
          <w:rFonts w:ascii="Arial" w:cs="Arial" w:eastAsia="Arial" w:hAnsi="Arial"/>
        </w:rPr>
        <w:t xml:space="preserve"/>
      </w:r>
    </w:p>
    <w:p>
      <w:pPr>
        <w:pStyle w:val="Heading2"/>
        <w:spacing w:after="120" w:before="260"/>
      </w:pPr>
      <w:r>
        <w:rPr>
          <w:rFonts w:ascii="Arial" w:cs="Arial" w:eastAsia="Arial" w:hAnsi="Arial"/>
          <w:b/>
          <w:bCs/>
          <w:color w:val="1A5C2A"/>
          <w:sz w:val="26"/>
          <w:szCs w:val="26"/>
        </w:rPr>
        <w:t xml:space="preserve">1.1  The problem we exist to address</w:t>
      </w:r>
    </w:p>
    <w:p>
      <w:pPr>
        <w:spacing w:after="160" w:line="348"/>
        <w:jc w:val="both"/>
      </w:pPr>
      <w:r>
        <w:rPr>
          <w:rFonts w:ascii="Arial" w:cs="Arial" w:eastAsia="Arial" w:hAnsi="Arial"/>
          <w:color w:val="1A1A1A"/>
          <w:sz w:val="24"/>
          <w:szCs w:val="24"/>
        </w:rPr>
        <w:t xml:space="preserve">The scale of Africa’s project failure is not a matter of anecdote. Development institutions have documented, for decades, a persistent gap between what is committed to capital projects and what those projects actually deliver. Cost overruns, schedule slippage, abandonment, and disputed completion are common enough across public infrastructure that they are treated in some quarters as an unavoidable feature of doing business. They are not. They are symptoms of weak project governance, and governance can be strengthened.</w:t>
      </w:r>
    </w:p>
    <w:p>
      <w:pPr>
        <w:spacing w:after="160" w:line="348"/>
        <w:jc w:val="both"/>
      </w:pPr>
      <w:r>
        <w:rPr>
          <w:rFonts w:ascii="Arial" w:cs="Arial" w:eastAsia="Arial" w:hAnsi="Arial"/>
          <w:color w:val="1A1A1A"/>
          <w:sz w:val="24"/>
          <w:szCs w:val="24"/>
        </w:rPr>
        <w:t xml:space="preserve">Three failures recur often enough to be treated as structural rather than incidental:</w:t>
      </w:r>
    </w:p>
    <w:p>
      <w:pPr>
        <w:pStyle w:val="ListParagraph"/>
        <w:numPr>
          <w:ilvl w:val="0"/>
          <w:numId w:val="2"/>
        </w:numPr>
        <w:spacing w:after="100" w:line="348"/>
        <w:jc w:val="both"/>
      </w:pPr>
      <w:r>
        <w:rPr>
          <w:rFonts w:ascii="Arial" w:cs="Arial" w:eastAsia="Arial" w:hAnsi="Arial"/>
          <w:b/>
          <w:bCs/>
          <w:color w:val="C47B0B"/>
          <w:sz w:val="24"/>
          <w:szCs w:val="24"/>
        </w:rPr>
        <w:t xml:space="preserve">Weak front-end assurance. </w:t>
      </w:r>
      <w:r>
        <w:rPr>
          <w:rFonts w:ascii="Arial" w:cs="Arial" w:eastAsia="Arial" w:hAnsi="Arial"/>
          <w:color w:val="1A1A1A"/>
          <w:sz w:val="24"/>
          <w:szCs w:val="24"/>
        </w:rPr>
        <w:t xml:space="preserve">Decisions to sanction, finance, and proceed are frequently taken without independent scrutiny of whether the project is deliverable to time, budget, and quality. By the time trouble surfaces, the expensive commitments have already been made.</w:t>
      </w:r>
    </w:p>
    <w:p>
      <w:pPr>
        <w:pStyle w:val="ListParagraph"/>
        <w:numPr>
          <w:ilvl w:val="0"/>
          <w:numId w:val="2"/>
        </w:numPr>
        <w:spacing w:after="100" w:line="348"/>
        <w:jc w:val="both"/>
      </w:pPr>
      <w:r>
        <w:rPr>
          <w:rFonts w:ascii="Arial" w:cs="Arial" w:eastAsia="Arial" w:hAnsi="Arial"/>
          <w:b/>
          <w:bCs/>
          <w:color w:val="C47B0B"/>
          <w:sz w:val="24"/>
          <w:szCs w:val="24"/>
        </w:rPr>
        <w:t xml:space="preserve">A thin diagnostic capability. </w:t>
      </w:r>
      <w:r>
        <w:rPr>
          <w:rFonts w:ascii="Arial" w:cs="Arial" w:eastAsia="Arial" w:hAnsi="Arial"/>
          <w:color w:val="1A1A1A"/>
          <w:sz w:val="24"/>
          <w:szCs w:val="24"/>
        </w:rPr>
        <w:t xml:space="preserve">When a project stalls or a dispute arises, there is often no independent, methodologically sound way to establish what went wrong, who bears responsibility, and how much of the loss was avoidable. Investigations, where they happen at all, are frequently contested, politicised, or simply lost.</w:t>
      </w:r>
    </w:p>
    <w:p>
      <w:pPr>
        <w:pStyle w:val="ListParagraph"/>
        <w:numPr>
          <w:ilvl w:val="0"/>
          <w:numId w:val="2"/>
        </w:numPr>
        <w:spacing w:after="100" w:line="348"/>
        <w:jc w:val="both"/>
      </w:pPr>
      <w:r>
        <w:rPr>
          <w:rFonts w:ascii="Arial" w:cs="Arial" w:eastAsia="Arial" w:hAnsi="Arial"/>
          <w:b/>
          <w:bCs/>
          <w:color w:val="C47B0B"/>
          <w:sz w:val="24"/>
          <w:szCs w:val="24"/>
        </w:rPr>
        <w:t xml:space="preserve">No professional standard. </w:t>
      </w:r>
      <w:r>
        <w:rPr>
          <w:rFonts w:ascii="Arial" w:cs="Arial" w:eastAsia="Arial" w:hAnsi="Arial"/>
          <w:color w:val="1A1A1A"/>
          <w:sz w:val="24"/>
          <w:szCs w:val="24"/>
        </w:rPr>
        <w:t xml:space="preserve">The practitioners who do this work, quantity surveyors, engineers, auditors, planners, lawyers, and forensic accountants, operate without a shared body of knowledge, a common code of conduct, or a recognised credential that tells an employer or a court that the person in front of them is competent to opine.</w:t>
      </w:r>
    </w:p>
    <w:p>
      <w:pPr>
        <w:spacing w:after="160" w:line="348"/>
        <w:jc w:val="both"/>
      </w:pPr>
      <w:r>
        <w:rPr>
          <w:rFonts w:ascii="Arial" w:cs="Arial" w:eastAsia="Arial" w:hAnsi="Arial"/>
          <w:color w:val="1A1A1A"/>
          <w:sz w:val="24"/>
          <w:szCs w:val="24"/>
        </w:rPr>
        <w:t xml:space="preserve">The discipline therefore exists in fragments, practised well by individuals but nowhere organised into a profession. The Institute exists to close that gap.</w:t>
      </w:r>
    </w:p>
    <w:p>
      <w:pPr>
        <w:pStyle w:val="Heading2"/>
        <w:spacing w:after="120" w:before="260"/>
      </w:pPr>
      <w:r>
        <w:rPr>
          <w:rFonts w:ascii="Arial" w:cs="Arial" w:eastAsia="Arial" w:hAnsi="Arial"/>
          <w:b/>
          <w:bCs/>
          <w:color w:val="1A5C2A"/>
          <w:sz w:val="26"/>
          <w:szCs w:val="26"/>
        </w:rPr>
        <w:t xml:space="preserve">1.2  The opportunity</w:t>
      </w:r>
    </w:p>
    <w:p>
      <w:pPr>
        <w:spacing w:after="160" w:line="348"/>
        <w:jc w:val="both"/>
      </w:pPr>
      <w:r>
        <w:rPr>
          <w:rFonts w:ascii="Arial" w:cs="Arial" w:eastAsia="Arial" w:hAnsi="Arial"/>
          <w:color w:val="1A1A1A"/>
          <w:sz w:val="24"/>
          <w:szCs w:val="24"/>
        </w:rPr>
        <w:t xml:space="preserve">Project assurance is already a recognised global discipline. It provides independent and objective oversight of the likely future performance of major projects for those responsible for sanctioning, financing, or insuring them. Governments and infrastructure agencies in several jurisdictions apply formal assurance frameworks to capital projects above defined value thresholds, and treat that assurance as a condition of proceeding rather than an optional extra. The methods are mature. What is largely missing is an African institution that adapts them to African delivery conditions and builds local capacity to apply them.</w:t>
      </w:r>
    </w:p>
    <w:p>
      <w:pPr>
        <w:spacing w:after="160" w:line="348"/>
        <w:jc w:val="both"/>
      </w:pPr>
      <w:r>
        <w:rPr>
          <w:rFonts w:ascii="Arial" w:cs="Arial" w:eastAsia="Arial" w:hAnsi="Arial"/>
          <w:color w:val="1A1A1A"/>
          <w:sz w:val="24"/>
          <w:szCs w:val="24"/>
        </w:rPr>
        <w:t xml:space="preserve">Project forensics, by contrast, is a category still taking shape. The term is not yet owned by an established professional body anywhere. That presents a rare opening. An institution that defines the standard now, and does so credibly, becomes the reference point for the discipline rather than one body among several. That first-mover position is an advantage, provided the underlying work is rigorous enough to earn lasting recognition.</w:t>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The founding proposition</w:t>
            </w:r>
          </w:p>
          <w:p>
            <w:pPr>
              <w:spacing w:after="0" w:line="348"/>
              <w:jc w:val="both"/>
            </w:pPr>
            <w:r>
              <w:rPr>
                <w:rFonts w:ascii="Arial" w:cs="Arial" w:eastAsia="Arial" w:hAnsi="Arial"/>
                <w:color w:val="1A1A1A"/>
                <w:sz w:val="22"/>
                <w:szCs w:val="22"/>
              </w:rPr>
              <w:t xml:space="preserve">AIPAF pairs a mature global discipline (assurance) with an emerging one that no body yet owns (forensics), and organises both into a single profession built for African delivery conditions. Assurance provides broad, established reach. Forensics provides a distinctive position no other body holds.</w:t>
            </w:r>
          </w:p>
        </w:tc>
      </w:tr>
    </w:tbl>
    <w:p>
      <w:pPr>
        <w:pStyle w:val="Heading2"/>
        <w:spacing w:after="120" w:before="260"/>
      </w:pPr>
      <w:r>
        <w:rPr>
          <w:rFonts w:ascii="Arial" w:cs="Arial" w:eastAsia="Arial" w:hAnsi="Arial"/>
          <w:b/>
          <w:bCs/>
          <w:color w:val="1A5C2A"/>
          <w:sz w:val="26"/>
          <w:szCs w:val="26"/>
        </w:rPr>
        <w:t xml:space="preserve">1.3  Why one body across the lifecycle</w:t>
      </w:r>
    </w:p>
    <w:p>
      <w:pPr>
        <w:spacing w:after="160" w:line="348"/>
        <w:jc w:val="both"/>
      </w:pPr>
      <w:r>
        <w:rPr>
          <w:rFonts w:ascii="Arial" w:cs="Arial" w:eastAsia="Arial" w:hAnsi="Arial"/>
          <w:color w:val="1A1A1A"/>
          <w:sz w:val="24"/>
          <w:szCs w:val="24"/>
        </w:rPr>
        <w:t xml:space="preserve">Assurance and forensics are usually treated as separate activities carried out by separate people. The Institute combines them deliberately. The two functions share a method, an evidentiary discipline, and a temperament. Both depend on independence from the delivery team. Both rest on the disciplined gathering and weighing of evidence. Both exist to give a decision-maker confidence in a judgement about a project, whether that judgement concerns a future outcome or a past failure.</w:t>
      </w:r>
    </w:p>
    <w:p>
      <w:pPr>
        <w:spacing w:after="160" w:line="348"/>
        <w:jc w:val="both"/>
      </w:pPr>
      <w:r>
        <w:rPr>
          <w:rFonts w:ascii="Arial" w:cs="Arial" w:eastAsia="Arial" w:hAnsi="Arial"/>
          <w:color w:val="1A1A1A"/>
          <w:sz w:val="24"/>
          <w:szCs w:val="24"/>
        </w:rPr>
        <w:t xml:space="preserve">The pairing also creates a professional lifecycle. A project is delivered, assured at its critical decision points, and, when it fails, investigated. The assurance practitioner and the forensic examiner draw on the same underlying competence, applied at different moments, and the lessons of investigation feed back into assurance practice, a feedback loop that is broken almost everywhere today.</w:t>
      </w:r>
    </w:p>
    <w:p>
      <w:pPr>
        <w:spacing w:after="160" w:line="348"/>
        <w:jc w:val="both"/>
      </w:pPr>
      <w:r>
        <w:rPr>
          <w:rFonts w:ascii="Arial" w:cs="Arial" w:eastAsia="Arial" w:hAnsi="Arial"/>
          <w:color w:val="1A1A1A"/>
          <w:sz w:val="24"/>
          <w:szCs w:val="24"/>
        </w:rPr>
        <w:t xml:space="preserve">Delivery is the third part of that lifecycle, and the Institute certifies it too. A body that assures and investigates projects is well placed to define what sound delivery looks like, and delivery held to that standard is the most effective prevention of all. The delivery credential is kept firmly distinct from the two independent functions: a member may certify a project’s delivery or scrutinise it independently, but never both on the same project. That separation is the condition on which the assurance and forensic work depends.</w:t>
      </w:r>
    </w:p>
    <w:p>
      <w:pPr>
        <w:pStyle w:val="Heading2"/>
        <w:spacing w:after="120" w:before="260"/>
      </w:pPr>
      <w:r>
        <w:rPr>
          <w:rFonts w:ascii="Arial" w:cs="Arial" w:eastAsia="Arial" w:hAnsi="Arial"/>
          <w:b/>
          <w:bCs/>
          <w:color w:val="1A5C2A"/>
          <w:sz w:val="26"/>
          <w:szCs w:val="26"/>
        </w:rPr>
        <w:t xml:space="preserve">1.4  Scope and continental ambition</w:t>
      </w:r>
    </w:p>
    <w:p>
      <w:pPr>
        <w:spacing w:after="160" w:line="348"/>
        <w:jc w:val="both"/>
      </w:pPr>
      <w:r>
        <w:rPr>
          <w:rFonts w:ascii="Arial" w:cs="Arial" w:eastAsia="Arial" w:hAnsi="Arial"/>
          <w:color w:val="1A1A1A"/>
          <w:sz w:val="24"/>
          <w:szCs w:val="24"/>
        </w:rPr>
        <w:t xml:space="preserve">The Institute is Pan-African by design, not by aspiration alone. Africa’s project challenges are shared across borders even where legal systems and procurement rules differ, and a fragmented, country-by-country response has repeatedly proved too weak to shift practice. A continental body can set one standard, certify against it consistently, and give a practitioner qualified in one jurisdiction recognition in others. That portability is part of what turns scattered expertise into a profession.</w:t>
      </w:r>
    </w:p>
    <w:p>
      <w:pPr>
        <w:spacing w:after="160" w:line="348"/>
        <w:jc w:val="both"/>
      </w:pPr>
      <w:r>
        <w:rPr>
          <w:rFonts w:ascii="Arial" w:cs="Arial" w:eastAsia="Arial" w:hAnsi="Arial"/>
          <w:color w:val="1A1A1A"/>
          <w:sz w:val="24"/>
          <w:szCs w:val="24"/>
        </w:rPr>
        <w:t xml:space="preserve">At the same time, the Institute will be built outward from a credible operating base rather than declared continental from the outset. Early activity will concentrate where the founding capacity sits, in Ghana and the surrounding region, with a governance structure and membership framework designed to admit and integrate practitioners and chapters across the continent as the body matures.</w:t>
      </w:r>
    </w:p>
    <w:p>
      <w:r>
        <w:br w:type="page"/>
      </w:r>
    </w:p>
    <w:p>
      <w:pPr>
        <w:pStyle w:val="Heading1"/>
        <w:spacing w:after="160" w:before="320"/>
      </w:pPr>
      <w:r>
        <w:rPr>
          <w:rFonts w:ascii="Arial" w:cs="Arial" w:eastAsia="Arial" w:hAnsi="Arial"/>
          <w:b/>
          <w:bCs/>
          <w:color w:val="1A5C2A"/>
          <w:sz w:val="30"/>
          <w:szCs w:val="30"/>
        </w:rPr>
        <w:t xml:space="preserve">Part Two  |  Identity</w:t>
      </w:r>
    </w:p>
    <w:p>
      <w:pPr>
        <w:pBdr>
          <w:bottom w:val="single" w:color="C47B0B" w:sz="8" w:space="1"/>
        </w:pBdr>
        <w:spacing w:after="160" w:before="60"/>
      </w:pPr>
      <w:r>
        <w:rPr>
          <w:rFonts w:ascii="Arial" w:cs="Arial" w:eastAsia="Arial" w:hAnsi="Arial"/>
        </w:rPr>
        <w:t xml:space="preserve"/>
      </w:r>
    </w:p>
    <w:p>
      <w:pPr>
        <w:pStyle w:val="Heading2"/>
        <w:spacing w:after="120" w:before="260"/>
      </w:pPr>
      <w:r>
        <w:rPr>
          <w:rFonts w:ascii="Arial" w:cs="Arial" w:eastAsia="Arial" w:hAnsi="Arial"/>
          <w:b/>
          <w:bCs/>
          <w:color w:val="1A5C2A"/>
          <w:sz w:val="26"/>
          <w:szCs w:val="26"/>
        </w:rPr>
        <w:t xml:space="preserve">2.1  Vision</w:t>
      </w:r>
    </w:p>
    <w:tbl>
      <w:tblPr>
        <w:tblW w:type="dxa" w:w="9360"/>
        <w:tblBorders>
          <w:top w:val="single" w:color="1A5C2A" w:sz="2"/>
          <w:left w:val="single" w:color="1A5C2A" w:sz="20"/>
          <w:bottom w:val="single" w:color="1A5C2A" w:sz="2"/>
          <w:right w:val="single" w:color="1A5C2A" w:sz="2"/>
          <w:insideH w:val="none"/>
          <w:insideV w:val="none"/>
        </w:tblBorders>
      </w:tblPr>
      <w:tblGrid>
        <w:gridCol w:w="9360"/>
      </w:tblGrid>
      <w:tr>
        <w:tc>
          <w:tcPr>
            <w:tcW w:type="dxa" w:w="9360"/>
            <w:shd w:fill="EAF1EC" w:val="clear"/>
            <w:tcMar>
              <w:top w:type="dxa" w:w="140"/>
              <w:left w:type="dxa" w:w="180"/>
              <w:bottom w:type="dxa" w:w="140"/>
              <w:right w:type="dxa" w:w="180"/>
            </w:tcMar>
          </w:tcPr>
          <w:p>
            <w:pPr>
              <w:spacing w:after="0" w:line="348"/>
              <w:jc w:val="both"/>
            </w:pPr>
            <w:r>
              <w:rPr>
                <w:rFonts w:ascii="Arial" w:cs="Arial" w:eastAsia="Arial" w:hAnsi="Arial"/>
                <w:b w:val="false"/>
                <w:bCs w:val="false"/>
                <w:i/>
                <w:iCs/>
                <w:color w:val="1A5C2A"/>
                <w:sz w:val="22"/>
                <w:szCs w:val="22"/>
              </w:rPr>
              <w:t xml:space="preserve">A continent where every significant project is built to a sound and accountable standard, independently assured before it proceeds, and honestly examined when it fails, upheld by a recognised profession that Africa built for itself.</w:t>
            </w:r>
          </w:p>
        </w:tc>
      </w:tr>
    </w:tbl>
    <w:p>
      <w:pPr>
        <w:pStyle w:val="Heading2"/>
        <w:spacing w:after="120" w:before="260"/>
      </w:pPr>
      <w:r>
        <w:rPr>
          <w:rFonts w:ascii="Arial" w:cs="Arial" w:eastAsia="Arial" w:hAnsi="Arial"/>
          <w:b/>
          <w:bCs/>
          <w:color w:val="1A5C2A"/>
          <w:sz w:val="26"/>
          <w:szCs w:val="26"/>
        </w:rPr>
        <w:t xml:space="preserve">2.2  Mission</w:t>
      </w:r>
    </w:p>
    <w:p>
      <w:pPr>
        <w:spacing w:after="160" w:line="348"/>
        <w:jc w:val="both"/>
      </w:pPr>
      <w:r>
        <w:rPr>
          <w:rFonts w:ascii="Arial" w:cs="Arial" w:eastAsia="Arial" w:hAnsi="Arial"/>
          <w:color w:val="1A1A1A"/>
          <w:sz w:val="24"/>
          <w:szCs w:val="24"/>
        </w:rPr>
        <w:t xml:space="preserve">To establish, uphold, and advance the profession of independent project assurance and project forensics, together with the sound delivery practice on which they rest, across Africa by setting standards of competence and conduct, certifying practitioners against them, building capability through education and research, and providing the institutional home through which the discipline speaks with one credible voice.</w:t>
      </w:r>
    </w:p>
    <w:p>
      <w:pPr>
        <w:pStyle w:val="Heading2"/>
        <w:spacing w:after="120" w:before="260"/>
      </w:pPr>
      <w:r>
        <w:rPr>
          <w:rFonts w:ascii="Arial" w:cs="Arial" w:eastAsia="Arial" w:hAnsi="Arial"/>
          <w:b/>
          <w:bCs/>
          <w:color w:val="1A5C2A"/>
          <w:sz w:val="26"/>
          <w:szCs w:val="26"/>
        </w:rPr>
        <w:t xml:space="preserve">2.3  Core values</w:t>
      </w:r>
    </w:p>
    <w:p>
      <w:pPr>
        <w:spacing w:after="160" w:line="348"/>
        <w:jc w:val="both"/>
      </w:pPr>
      <w:r>
        <w:rPr>
          <w:rFonts w:ascii="Arial" w:cs="Arial" w:eastAsia="Arial" w:hAnsi="Arial"/>
          <w:color w:val="1A1A1A"/>
          <w:sz w:val="24"/>
          <w:szCs w:val="24"/>
        </w:rPr>
        <w:t xml:space="preserve">Each value below carries an operational obligation. A body whose worth rests on the trust others place in its judgements cannot afford values it does not enforce.</w:t>
      </w:r>
    </w:p>
    <w:p>
      <w:pPr>
        <w:pStyle w:val="ListParagraph"/>
        <w:numPr>
          <w:ilvl w:val="0"/>
          <w:numId w:val="2"/>
        </w:numPr>
        <w:spacing w:after="100" w:line="348"/>
        <w:jc w:val="both"/>
      </w:pPr>
      <w:r>
        <w:rPr>
          <w:rFonts w:ascii="Arial" w:cs="Arial" w:eastAsia="Arial" w:hAnsi="Arial"/>
          <w:b/>
          <w:bCs/>
          <w:color w:val="C47B0B"/>
          <w:sz w:val="24"/>
          <w:szCs w:val="24"/>
        </w:rPr>
        <w:t xml:space="preserve">Independence. </w:t>
      </w:r>
      <w:r>
        <w:rPr>
          <w:rFonts w:ascii="Arial" w:cs="Arial" w:eastAsia="Arial" w:hAnsi="Arial"/>
          <w:color w:val="1A1A1A"/>
          <w:sz w:val="24"/>
          <w:szCs w:val="24"/>
        </w:rPr>
        <w:t xml:space="preserve">Our members opine free of the interests of those who deliver, finance, or benefit from a project. Independence is what makes the Institute’s opinions worth relying on.</w:t>
      </w:r>
    </w:p>
    <w:p>
      <w:pPr>
        <w:pStyle w:val="ListParagraph"/>
        <w:numPr>
          <w:ilvl w:val="0"/>
          <w:numId w:val="2"/>
        </w:numPr>
        <w:spacing w:after="100" w:line="348"/>
        <w:jc w:val="both"/>
      </w:pPr>
      <w:r>
        <w:rPr>
          <w:rFonts w:ascii="Arial" w:cs="Arial" w:eastAsia="Arial" w:hAnsi="Arial"/>
          <w:b/>
          <w:bCs/>
          <w:color w:val="C47B0B"/>
          <w:sz w:val="24"/>
          <w:szCs w:val="24"/>
        </w:rPr>
        <w:t xml:space="preserve">Evidence. </w:t>
      </w:r>
      <w:r>
        <w:rPr>
          <w:rFonts w:ascii="Arial" w:cs="Arial" w:eastAsia="Arial" w:hAnsi="Arial"/>
          <w:color w:val="1A1A1A"/>
          <w:sz w:val="24"/>
          <w:szCs w:val="24"/>
        </w:rPr>
        <w:t xml:space="preserve">Judgements rest on facts gathered and weighed by sound method, not on assertion, reputation, or pressure. What cannot be evidenced is not opined.</w:t>
      </w:r>
    </w:p>
    <w:p>
      <w:pPr>
        <w:pStyle w:val="ListParagraph"/>
        <w:numPr>
          <w:ilvl w:val="0"/>
          <w:numId w:val="2"/>
        </w:numPr>
        <w:spacing w:after="100" w:line="348"/>
        <w:jc w:val="both"/>
      </w:pPr>
      <w:r>
        <w:rPr>
          <w:rFonts w:ascii="Arial" w:cs="Arial" w:eastAsia="Arial" w:hAnsi="Arial"/>
          <w:b/>
          <w:bCs/>
          <w:color w:val="C47B0B"/>
          <w:sz w:val="24"/>
          <w:szCs w:val="24"/>
        </w:rPr>
        <w:t xml:space="preserve">Integrity. </w:t>
      </w:r>
      <w:r>
        <w:rPr>
          <w:rFonts w:ascii="Arial" w:cs="Arial" w:eastAsia="Arial" w:hAnsi="Arial"/>
          <w:color w:val="1A1A1A"/>
          <w:sz w:val="24"/>
          <w:szCs w:val="24"/>
        </w:rPr>
        <w:t xml:space="preserve">Members tell the truth as the evidence shows it, including when the truth is unwelcome to a powerful client or a sponsoring authority.</w:t>
      </w:r>
    </w:p>
    <w:p>
      <w:pPr>
        <w:pStyle w:val="ListParagraph"/>
        <w:numPr>
          <w:ilvl w:val="0"/>
          <w:numId w:val="2"/>
        </w:numPr>
        <w:spacing w:after="100" w:line="348"/>
        <w:jc w:val="both"/>
      </w:pPr>
      <w:r>
        <w:rPr>
          <w:rFonts w:ascii="Arial" w:cs="Arial" w:eastAsia="Arial" w:hAnsi="Arial"/>
          <w:b/>
          <w:bCs/>
          <w:color w:val="C47B0B"/>
          <w:sz w:val="24"/>
          <w:szCs w:val="24"/>
        </w:rPr>
        <w:t xml:space="preserve">Competence. </w:t>
      </w:r>
      <w:r>
        <w:rPr>
          <w:rFonts w:ascii="Arial" w:cs="Arial" w:eastAsia="Arial" w:hAnsi="Arial"/>
          <w:color w:val="1A1A1A"/>
          <w:sz w:val="24"/>
          <w:szCs w:val="24"/>
        </w:rPr>
        <w:t xml:space="preserve">A credential from the Institute means the holder can actually do the work to standard, and keeps that competence current.</w:t>
      </w:r>
    </w:p>
    <w:p>
      <w:pPr>
        <w:pStyle w:val="ListParagraph"/>
        <w:numPr>
          <w:ilvl w:val="0"/>
          <w:numId w:val="2"/>
        </w:numPr>
        <w:spacing w:after="100" w:line="348"/>
        <w:jc w:val="both"/>
      </w:pPr>
      <w:r>
        <w:rPr>
          <w:rFonts w:ascii="Arial" w:cs="Arial" w:eastAsia="Arial" w:hAnsi="Arial"/>
          <w:b/>
          <w:bCs/>
          <w:color w:val="C47B0B"/>
          <w:sz w:val="24"/>
          <w:szCs w:val="24"/>
        </w:rPr>
        <w:t xml:space="preserve">Public interest. </w:t>
      </w:r>
      <w:r>
        <w:rPr>
          <w:rFonts w:ascii="Arial" w:cs="Arial" w:eastAsia="Arial" w:hAnsi="Arial"/>
          <w:color w:val="1A1A1A"/>
          <w:sz w:val="24"/>
          <w:szCs w:val="24"/>
        </w:rPr>
        <w:t xml:space="preserve">Where the interests of a client and the interests of the communities a project serves diverge, our members hold the public interest as the higher duty.</w:t>
      </w:r>
    </w:p>
    <w:p>
      <w:pPr>
        <w:pStyle w:val="ListParagraph"/>
        <w:numPr>
          <w:ilvl w:val="0"/>
          <w:numId w:val="2"/>
        </w:numPr>
        <w:spacing w:after="100" w:line="348"/>
        <w:jc w:val="both"/>
      </w:pPr>
      <w:r>
        <w:rPr>
          <w:rFonts w:ascii="Arial" w:cs="Arial" w:eastAsia="Arial" w:hAnsi="Arial"/>
          <w:b/>
          <w:bCs/>
          <w:color w:val="C47B0B"/>
          <w:sz w:val="24"/>
          <w:szCs w:val="24"/>
        </w:rPr>
        <w:t xml:space="preserve">African ownership. </w:t>
      </w:r>
      <w:r>
        <w:rPr>
          <w:rFonts w:ascii="Arial" w:cs="Arial" w:eastAsia="Arial" w:hAnsi="Arial"/>
          <w:color w:val="1A1A1A"/>
          <w:sz w:val="24"/>
          <w:szCs w:val="24"/>
        </w:rPr>
        <w:t xml:space="preserve">The standard is built for African delivery conditions, governed on the continent, and answerable to the people whose projects it concerns.</w:t>
      </w:r>
    </w:p>
    <w:p>
      <w:pPr>
        <w:pStyle w:val="Heading2"/>
        <w:spacing w:after="120" w:before="260"/>
      </w:pPr>
      <w:r>
        <w:rPr>
          <w:rFonts w:ascii="Arial" w:cs="Arial" w:eastAsia="Arial" w:hAnsi="Arial"/>
          <w:b/>
          <w:bCs/>
          <w:color w:val="1A5C2A"/>
          <w:sz w:val="26"/>
          <w:szCs w:val="26"/>
        </w:rPr>
        <w:t xml:space="preserve">2.4  Motto</w:t>
      </w:r>
    </w:p>
    <w:p>
      <w:pPr>
        <w:spacing w:after="120" w:before="120"/>
        <w:jc w:val="center"/>
      </w:pPr>
      <w:r>
        <w:rPr>
          <w:rFonts w:ascii="Arial" w:cs="Arial" w:eastAsia="Arial" w:hAnsi="Arial"/>
          <w:b/>
          <w:bCs/>
          <w:i/>
          <w:iCs/>
          <w:color w:val="1A5C2A"/>
          <w:sz w:val="26"/>
          <w:szCs w:val="26"/>
        </w:rPr>
        <w:t xml:space="preserve">Assure the promise. Establish the truth.</w:t>
      </w:r>
    </w:p>
    <w:p>
      <w:r>
        <w:br w:type="page"/>
      </w:r>
    </w:p>
    <w:p>
      <w:pPr>
        <w:pStyle w:val="Heading1"/>
        <w:spacing w:after="160" w:before="320"/>
      </w:pPr>
      <w:r>
        <w:rPr>
          <w:rFonts w:ascii="Arial" w:cs="Arial" w:eastAsia="Arial" w:hAnsi="Arial"/>
          <w:b/>
          <w:bCs/>
          <w:color w:val="1A5C2A"/>
          <w:sz w:val="30"/>
          <w:szCs w:val="30"/>
        </w:rPr>
        <w:t xml:space="preserve">Part Three  |  Mandate and Scope</w:t>
      </w:r>
    </w:p>
    <w:p>
      <w:pPr>
        <w:pBdr>
          <w:bottom w:val="single" w:color="C47B0B" w:sz="8" w:space="1"/>
        </w:pBdr>
        <w:spacing w:after="160" w:before="60"/>
      </w:pPr>
      <w:r>
        <w:rPr>
          <w:rFonts w:ascii="Arial" w:cs="Arial" w:eastAsia="Arial" w:hAnsi="Arial"/>
        </w:rPr>
        <w:t xml:space="preserve"/>
      </w:r>
    </w:p>
    <w:p>
      <w:pPr>
        <w:pStyle w:val="Heading2"/>
        <w:spacing w:after="120" w:before="260"/>
      </w:pPr>
      <w:r>
        <w:rPr>
          <w:rFonts w:ascii="Arial" w:cs="Arial" w:eastAsia="Arial" w:hAnsi="Arial"/>
          <w:b/>
          <w:bCs/>
          <w:color w:val="1A5C2A"/>
          <w:sz w:val="26"/>
          <w:szCs w:val="26"/>
        </w:rPr>
        <w:t xml:space="preserve">3.1  Objects of the Institute</w:t>
      </w:r>
    </w:p>
    <w:p>
      <w:pPr>
        <w:spacing w:after="160" w:line="348"/>
        <w:jc w:val="both"/>
      </w:pPr>
      <w:r>
        <w:rPr>
          <w:rFonts w:ascii="Arial" w:cs="Arial" w:eastAsia="Arial" w:hAnsi="Arial"/>
          <w:color w:val="1A1A1A"/>
          <w:sz w:val="24"/>
          <w:szCs w:val="24"/>
        </w:rPr>
        <w:t xml:space="preserve">The Institute is constituted to pursue the following objects. They will be reflected in its constitution and governing instruments, and every activity the Institute undertakes should trace back to at least one of them.</w:t>
      </w:r>
    </w:p>
    <w:p>
      <w:pPr>
        <w:pStyle w:val="ListParagraph"/>
        <w:numPr>
          <w:ilvl w:val="0"/>
          <w:numId w:val="3"/>
        </w:numPr>
        <w:spacing w:after="100" w:line="348"/>
        <w:jc w:val="both"/>
      </w:pPr>
      <w:r>
        <w:rPr>
          <w:rFonts w:ascii="Arial" w:cs="Arial" w:eastAsia="Arial" w:hAnsi="Arial"/>
          <w:color w:val="1A1A1A"/>
          <w:sz w:val="24"/>
          <w:szCs w:val="24"/>
        </w:rPr>
        <w:t xml:space="preserve">To define and maintain the body of knowledge, standards of competence, and code of professional conduct for project delivery, assurance, and forensics in Africa.</w:t>
      </w:r>
    </w:p>
    <w:p>
      <w:pPr>
        <w:pStyle w:val="ListParagraph"/>
        <w:numPr>
          <w:ilvl w:val="0"/>
          <w:numId w:val="3"/>
        </w:numPr>
        <w:spacing w:after="100" w:line="348"/>
        <w:jc w:val="both"/>
      </w:pPr>
      <w:r>
        <w:rPr>
          <w:rFonts w:ascii="Arial" w:cs="Arial" w:eastAsia="Arial" w:hAnsi="Arial"/>
          <w:color w:val="1A1A1A"/>
          <w:sz w:val="24"/>
          <w:szCs w:val="24"/>
        </w:rPr>
        <w:t xml:space="preserve">To certify individuals as competent to practise, through examined, evidence-based credentials, and to maintain a public register of those certified.</w:t>
      </w:r>
    </w:p>
    <w:p>
      <w:pPr>
        <w:pStyle w:val="ListParagraph"/>
        <w:numPr>
          <w:ilvl w:val="0"/>
          <w:numId w:val="3"/>
        </w:numPr>
        <w:spacing w:after="100" w:line="348"/>
        <w:jc w:val="both"/>
      </w:pPr>
      <w:r>
        <w:rPr>
          <w:rFonts w:ascii="Arial" w:cs="Arial" w:eastAsia="Arial" w:hAnsi="Arial"/>
          <w:color w:val="1A1A1A"/>
          <w:sz w:val="24"/>
          <w:szCs w:val="24"/>
        </w:rPr>
        <w:t xml:space="preserve">To provide education, training, and continuing professional development that build and sustain the competence the credentials require.</w:t>
      </w:r>
    </w:p>
    <w:p>
      <w:pPr>
        <w:pStyle w:val="ListParagraph"/>
        <w:numPr>
          <w:ilvl w:val="0"/>
          <w:numId w:val="3"/>
        </w:numPr>
        <w:spacing w:after="100" w:line="348"/>
        <w:jc w:val="both"/>
      </w:pPr>
      <w:r>
        <w:rPr>
          <w:rFonts w:ascii="Arial" w:cs="Arial" w:eastAsia="Arial" w:hAnsi="Arial"/>
          <w:color w:val="1A1A1A"/>
          <w:sz w:val="24"/>
          <w:szCs w:val="24"/>
        </w:rPr>
        <w:t xml:space="preserve">To advance research into the causes of project failure and the methods of assurance and forensic investigation, and to publish findings that improve practice.</w:t>
      </w:r>
    </w:p>
    <w:p>
      <w:pPr>
        <w:pStyle w:val="ListParagraph"/>
        <w:numPr>
          <w:ilvl w:val="0"/>
          <w:numId w:val="3"/>
        </w:numPr>
        <w:spacing w:after="100" w:line="348"/>
        <w:jc w:val="both"/>
      </w:pPr>
      <w:r>
        <w:rPr>
          <w:rFonts w:ascii="Arial" w:cs="Arial" w:eastAsia="Arial" w:hAnsi="Arial"/>
          <w:color w:val="1A1A1A"/>
          <w:sz w:val="24"/>
          <w:szCs w:val="24"/>
        </w:rPr>
        <w:t xml:space="preserve">To promote the adoption of independent project assurance by governments, financiers, and project owners across the continent.</w:t>
      </w:r>
    </w:p>
    <w:p>
      <w:pPr>
        <w:pStyle w:val="ListParagraph"/>
        <w:numPr>
          <w:ilvl w:val="0"/>
          <w:numId w:val="3"/>
        </w:numPr>
        <w:spacing w:after="100" w:line="348"/>
        <w:jc w:val="both"/>
      </w:pPr>
      <w:r>
        <w:rPr>
          <w:rFonts w:ascii="Arial" w:cs="Arial" w:eastAsia="Arial" w:hAnsi="Arial"/>
          <w:color w:val="1A1A1A"/>
          <w:sz w:val="24"/>
          <w:szCs w:val="24"/>
        </w:rPr>
        <w:t xml:space="preserve">To provide a recognised, impartial source of expertise for the investigation and resolution of project failures and disputes.</w:t>
      </w:r>
    </w:p>
    <w:p>
      <w:pPr>
        <w:pStyle w:val="ListParagraph"/>
        <w:numPr>
          <w:ilvl w:val="0"/>
          <w:numId w:val="3"/>
        </w:numPr>
        <w:spacing w:after="100" w:line="348"/>
        <w:jc w:val="both"/>
      </w:pPr>
      <w:r>
        <w:rPr>
          <w:rFonts w:ascii="Arial" w:cs="Arial" w:eastAsia="Arial" w:hAnsi="Arial"/>
          <w:color w:val="1A1A1A"/>
          <w:sz w:val="24"/>
          <w:szCs w:val="24"/>
        </w:rPr>
        <w:t xml:space="preserve">To uphold the standing of the profession by disciplining members who fall below its standards of competence or conduct.</w:t>
      </w:r>
    </w:p>
    <w:p>
      <w:pPr>
        <w:pStyle w:val="ListParagraph"/>
        <w:numPr>
          <w:ilvl w:val="0"/>
          <w:numId w:val="3"/>
        </w:numPr>
        <w:spacing w:after="100" w:line="348"/>
        <w:jc w:val="both"/>
      </w:pPr>
      <w:r>
        <w:rPr>
          <w:rFonts w:ascii="Arial" w:cs="Arial" w:eastAsia="Arial" w:hAnsi="Arial"/>
          <w:color w:val="1A1A1A"/>
          <w:sz w:val="24"/>
          <w:szCs w:val="24"/>
        </w:rPr>
        <w:t xml:space="preserve">To represent the profession in dialogue with governments, regulators, professional bodies, and international institutions.</w:t>
      </w:r>
    </w:p>
    <w:p>
      <w:pPr>
        <w:pStyle w:val="Heading2"/>
        <w:spacing w:after="120" w:before="260"/>
      </w:pPr>
      <w:r>
        <w:rPr>
          <w:rFonts w:ascii="Arial" w:cs="Arial" w:eastAsia="Arial" w:hAnsi="Arial"/>
          <w:b/>
          <w:bCs/>
          <w:color w:val="1A5C2A"/>
          <w:sz w:val="26"/>
          <w:szCs w:val="26"/>
        </w:rPr>
        <w:t xml:space="preserve">3.2  Scope of practice</w:t>
      </w:r>
    </w:p>
    <w:p>
      <w:pPr>
        <w:spacing w:after="160" w:line="348"/>
        <w:jc w:val="both"/>
      </w:pPr>
      <w:r>
        <w:rPr>
          <w:rFonts w:ascii="Arial" w:cs="Arial" w:eastAsia="Arial" w:hAnsi="Arial"/>
          <w:color w:val="1A1A1A"/>
          <w:sz w:val="24"/>
          <w:szCs w:val="24"/>
        </w:rPr>
        <w:t xml:space="preserve">The Institute’s mandate spans the full lifecycle of a project, organised around three connected domains. Delivery is the practice of building a project to a sound standard. Assurance and forensics are the two independent functions that scrutinise it, before the fact and after. Delivery differs from the other two in kind: it is exercised on a project, while assurance and forensics are exercised independently of it. That difference is why the Institute keeps delivery and independent scrutiny strictly separate in practice, even as it certifies competence in all three.</w:t>
      </w:r>
    </w:p>
    <w:p>
      <w:pPr>
        <w:pStyle w:val="Heading3"/>
        <w:spacing w:after="100" w:before="200"/>
      </w:pPr>
      <w:r>
        <w:rPr>
          <w:rFonts w:ascii="Arial" w:cs="Arial" w:eastAsia="Arial" w:hAnsi="Arial"/>
          <w:b/>
          <w:bCs/>
          <w:color w:val="C47B0B"/>
          <w:sz w:val="24"/>
          <w:szCs w:val="24"/>
        </w:rPr>
        <w:t xml:space="preserve">The delivery domain</w:t>
      </w:r>
    </w:p>
    <w:p>
      <w:pPr>
        <w:spacing w:after="160" w:line="348"/>
        <w:jc w:val="both"/>
      </w:pPr>
      <w:r>
        <w:rPr>
          <w:rFonts w:ascii="Arial" w:cs="Arial" w:eastAsia="Arial" w:hAnsi="Arial"/>
          <w:color w:val="1A1A1A"/>
          <w:sz w:val="24"/>
          <w:szCs w:val="24"/>
        </w:rPr>
        <w:t xml:space="preserve">The practice of planning, controlling, and completing a project to time, cost, quality, and intended benefit, carried out by or for those who own and execute it. Delivery work under the Institute’s standard is distinguished by being governance-ready and auditable from the outset, built so that it can withstand independent assurance and, if it comes to it, forensic scrutiny. It includes:</w:t>
      </w:r>
    </w:p>
    <w:p>
      <w:pPr>
        <w:pStyle w:val="ListParagraph"/>
        <w:numPr>
          <w:ilvl w:val="0"/>
          <w:numId w:val="2"/>
        </w:numPr>
        <w:spacing w:after="100" w:line="348"/>
        <w:jc w:val="both"/>
      </w:pPr>
      <w:r>
        <w:rPr>
          <w:rFonts w:ascii="Arial" w:cs="Arial" w:eastAsia="Arial" w:hAnsi="Arial"/>
          <w:color w:val="1A1A1A"/>
          <w:sz w:val="24"/>
          <w:szCs w:val="24"/>
        </w:rPr>
        <w:t xml:space="preserve">Project planning, scheduling, and cost control to a defined standard.</w:t>
      </w:r>
    </w:p>
    <w:p>
      <w:pPr>
        <w:pStyle w:val="ListParagraph"/>
        <w:numPr>
          <w:ilvl w:val="0"/>
          <w:numId w:val="2"/>
        </w:numPr>
        <w:spacing w:after="100" w:line="348"/>
        <w:jc w:val="both"/>
      </w:pPr>
      <w:r>
        <w:rPr>
          <w:rFonts w:ascii="Arial" w:cs="Arial" w:eastAsia="Arial" w:hAnsi="Arial"/>
          <w:color w:val="1A1A1A"/>
          <w:sz w:val="24"/>
          <w:szCs w:val="24"/>
        </w:rPr>
        <w:t xml:space="preserve">Scope, risk, and stakeholder management across the project lifecycle.</w:t>
      </w:r>
    </w:p>
    <w:p>
      <w:pPr>
        <w:pStyle w:val="ListParagraph"/>
        <w:numPr>
          <w:ilvl w:val="0"/>
          <w:numId w:val="2"/>
        </w:numPr>
        <w:spacing w:after="100" w:line="348"/>
        <w:jc w:val="both"/>
      </w:pPr>
      <w:r>
        <w:rPr>
          <w:rFonts w:ascii="Arial" w:cs="Arial" w:eastAsia="Arial" w:hAnsi="Arial"/>
          <w:color w:val="1A1A1A"/>
          <w:sz w:val="24"/>
          <w:szCs w:val="24"/>
        </w:rPr>
        <w:t xml:space="preserve">Governance-ready record-keeping and the evidential trail that makes a project auditable.</w:t>
      </w:r>
    </w:p>
    <w:p>
      <w:pPr>
        <w:pStyle w:val="ListParagraph"/>
        <w:numPr>
          <w:ilvl w:val="0"/>
          <w:numId w:val="2"/>
        </w:numPr>
        <w:spacing w:after="100" w:line="348"/>
        <w:jc w:val="both"/>
      </w:pPr>
      <w:r>
        <w:rPr>
          <w:rFonts w:ascii="Arial" w:cs="Arial" w:eastAsia="Arial" w:hAnsi="Arial"/>
          <w:color w:val="1A1A1A"/>
          <w:sz w:val="24"/>
          <w:szCs w:val="24"/>
        </w:rPr>
        <w:t xml:space="preserve">Completion, handover, and the realisation of intended benefit.</w:t>
      </w:r>
    </w:p>
    <w:p>
      <w:pPr>
        <w:pStyle w:val="Heading3"/>
        <w:spacing w:after="100" w:before="200"/>
      </w:pPr>
      <w:r>
        <w:rPr>
          <w:rFonts w:ascii="Arial" w:cs="Arial" w:eastAsia="Arial" w:hAnsi="Arial"/>
          <w:b/>
          <w:bCs/>
          <w:color w:val="C47B0B"/>
          <w:sz w:val="24"/>
          <w:szCs w:val="24"/>
        </w:rPr>
        <w:t xml:space="preserve">The assurance domain</w:t>
      </w:r>
    </w:p>
    <w:p>
      <w:pPr>
        <w:spacing w:after="160" w:line="348"/>
        <w:jc w:val="both"/>
      </w:pPr>
      <w:r>
        <w:rPr>
          <w:rFonts w:ascii="Arial" w:cs="Arial" w:eastAsia="Arial" w:hAnsi="Arial"/>
          <w:color w:val="1A1A1A"/>
          <w:sz w:val="24"/>
          <w:szCs w:val="24"/>
        </w:rPr>
        <w:t xml:space="preserve">Independent, forward-looking review of a project’s likely performance, carried out for those who sanction, finance, insure, or own it. Assurance work is concerned with confidence: whether a project as planned and as progressing can realistically deliver to time, cost, quality, and intended benefit, and what must change if the answer is in doubt. It includes:</w:t>
      </w:r>
    </w:p>
    <w:p>
      <w:pPr>
        <w:pStyle w:val="ListParagraph"/>
        <w:numPr>
          <w:ilvl w:val="0"/>
          <w:numId w:val="2"/>
        </w:numPr>
        <w:spacing w:after="100" w:line="348"/>
        <w:jc w:val="both"/>
      </w:pPr>
      <w:r>
        <w:rPr>
          <w:rFonts w:ascii="Arial" w:cs="Arial" w:eastAsia="Arial" w:hAnsi="Arial"/>
          <w:color w:val="1A1A1A"/>
          <w:sz w:val="24"/>
          <w:szCs w:val="24"/>
        </w:rPr>
        <w:t xml:space="preserve">Front-end and gateway reviews at critical decision points, testing whether a project is ready to proceed to the next stage.</w:t>
      </w:r>
    </w:p>
    <w:p>
      <w:pPr>
        <w:pStyle w:val="ListParagraph"/>
        <w:numPr>
          <w:ilvl w:val="0"/>
          <w:numId w:val="2"/>
        </w:numPr>
        <w:spacing w:after="100" w:line="348"/>
        <w:jc w:val="both"/>
      </w:pPr>
      <w:r>
        <w:rPr>
          <w:rFonts w:ascii="Arial" w:cs="Arial" w:eastAsia="Arial" w:hAnsi="Arial"/>
          <w:color w:val="1A1A1A"/>
          <w:sz w:val="24"/>
          <w:szCs w:val="24"/>
        </w:rPr>
        <w:t xml:space="preserve">Deliverability and delivery-confidence assessment across scope, schedule, cost, and benefit.</w:t>
      </w:r>
    </w:p>
    <w:p>
      <w:pPr>
        <w:pStyle w:val="ListParagraph"/>
        <w:numPr>
          <w:ilvl w:val="0"/>
          <w:numId w:val="2"/>
        </w:numPr>
        <w:spacing w:after="100" w:line="348"/>
        <w:jc w:val="both"/>
      </w:pPr>
      <w:r>
        <w:rPr>
          <w:rFonts w:ascii="Arial" w:cs="Arial" w:eastAsia="Arial" w:hAnsi="Arial"/>
          <w:color w:val="1A1A1A"/>
          <w:sz w:val="24"/>
          <w:szCs w:val="24"/>
        </w:rPr>
        <w:t xml:space="preserve">Independent review of project governance, controls, procurement integrity, and risk management.</w:t>
      </w:r>
    </w:p>
    <w:p>
      <w:pPr>
        <w:pStyle w:val="ListParagraph"/>
        <w:numPr>
          <w:ilvl w:val="0"/>
          <w:numId w:val="2"/>
        </w:numPr>
        <w:spacing w:after="100" w:line="348"/>
        <w:jc w:val="both"/>
      </w:pPr>
      <w:r>
        <w:rPr>
          <w:rFonts w:ascii="Arial" w:cs="Arial" w:eastAsia="Arial" w:hAnsi="Arial"/>
          <w:color w:val="1A1A1A"/>
          <w:sz w:val="24"/>
          <w:szCs w:val="24"/>
        </w:rPr>
        <w:t xml:space="preserve">Health checks of projects already in delivery, and independent advice to boards, funders, and sponsors.</w:t>
      </w:r>
    </w:p>
    <w:p>
      <w:pPr>
        <w:pStyle w:val="Heading3"/>
        <w:spacing w:after="100" w:before="200"/>
      </w:pPr>
      <w:r>
        <w:rPr>
          <w:rFonts w:ascii="Arial" w:cs="Arial" w:eastAsia="Arial" w:hAnsi="Arial"/>
          <w:b/>
          <w:bCs/>
          <w:color w:val="C47B0B"/>
          <w:sz w:val="24"/>
          <w:szCs w:val="24"/>
        </w:rPr>
        <w:t xml:space="preserve">The forensic domain</w:t>
      </w:r>
    </w:p>
    <w:p>
      <w:pPr>
        <w:spacing w:after="160" w:line="348"/>
        <w:jc w:val="both"/>
      </w:pPr>
      <w:r>
        <w:rPr>
          <w:rFonts w:ascii="Arial" w:cs="Arial" w:eastAsia="Arial" w:hAnsi="Arial"/>
          <w:color w:val="1A1A1A"/>
          <w:sz w:val="24"/>
          <w:szCs w:val="24"/>
        </w:rPr>
        <w:t xml:space="preserve">Independent, backward-looking investigation of a project that has failed, stalled, been abandoned, overrun, or fallen into dispute. Forensic work is concerned with truth and accountability: establishing, to an evidentiary standard capable of surviving scrutiny, what happened, why, who bears responsibility, and what the avoidable loss amounts to. It includes:</w:t>
      </w:r>
    </w:p>
    <w:p>
      <w:pPr>
        <w:pStyle w:val="ListParagraph"/>
        <w:numPr>
          <w:ilvl w:val="0"/>
          <w:numId w:val="2"/>
        </w:numPr>
        <w:spacing w:after="100" w:line="348"/>
        <w:jc w:val="both"/>
      </w:pPr>
      <w:r>
        <w:rPr>
          <w:rFonts w:ascii="Arial" w:cs="Arial" w:eastAsia="Arial" w:hAnsi="Arial"/>
          <w:color w:val="1A1A1A"/>
          <w:sz w:val="24"/>
          <w:szCs w:val="24"/>
        </w:rPr>
        <w:t xml:space="preserve">Root-cause analysis of project failure, delay, and cost overrun.</w:t>
      </w:r>
    </w:p>
    <w:p>
      <w:pPr>
        <w:pStyle w:val="ListParagraph"/>
        <w:numPr>
          <w:ilvl w:val="0"/>
          <w:numId w:val="2"/>
        </w:numPr>
        <w:spacing w:after="100" w:line="348"/>
        <w:jc w:val="both"/>
      </w:pPr>
      <w:r>
        <w:rPr>
          <w:rFonts w:ascii="Arial" w:cs="Arial" w:eastAsia="Arial" w:hAnsi="Arial"/>
          <w:color w:val="1A1A1A"/>
          <w:sz w:val="24"/>
          <w:szCs w:val="24"/>
        </w:rPr>
        <w:t xml:space="preserve">Forensic delay analysis and quantum assessment for disputes and claims.</w:t>
      </w:r>
    </w:p>
    <w:p>
      <w:pPr>
        <w:pStyle w:val="ListParagraph"/>
        <w:numPr>
          <w:ilvl w:val="0"/>
          <w:numId w:val="2"/>
        </w:numPr>
        <w:spacing w:after="100" w:line="348"/>
        <w:jc w:val="both"/>
      </w:pPr>
      <w:r>
        <w:rPr>
          <w:rFonts w:ascii="Arial" w:cs="Arial" w:eastAsia="Arial" w:hAnsi="Arial"/>
          <w:color w:val="1A1A1A"/>
          <w:sz w:val="24"/>
          <w:szCs w:val="24"/>
        </w:rPr>
        <w:t xml:space="preserve">Investigation of procurement irregularity, fraud, and value leakage in project delivery.</w:t>
      </w:r>
    </w:p>
    <w:p>
      <w:pPr>
        <w:pStyle w:val="ListParagraph"/>
        <w:numPr>
          <w:ilvl w:val="0"/>
          <w:numId w:val="2"/>
        </w:numPr>
        <w:spacing w:after="100" w:line="348"/>
        <w:jc w:val="both"/>
      </w:pPr>
      <w:r>
        <w:rPr>
          <w:rFonts w:ascii="Arial" w:cs="Arial" w:eastAsia="Arial" w:hAnsi="Arial"/>
          <w:color w:val="1A1A1A"/>
          <w:sz w:val="24"/>
          <w:szCs w:val="24"/>
        </w:rPr>
        <w:t xml:space="preserve">Expert evidence and independent expert determination in project disputes and inquiries.</w:t>
      </w:r>
    </w:p>
    <w:p>
      <w:pPr>
        <w:pStyle w:val="ListParagraph"/>
        <w:numPr>
          <w:ilvl w:val="0"/>
          <w:numId w:val="2"/>
        </w:numPr>
        <w:spacing w:after="100" w:line="348"/>
        <w:jc w:val="both"/>
      </w:pPr>
      <w:r>
        <w:rPr>
          <w:rFonts w:ascii="Arial" w:cs="Arial" w:eastAsia="Arial" w:hAnsi="Arial"/>
          <w:color w:val="1A1A1A"/>
          <w:sz w:val="24"/>
          <w:szCs w:val="24"/>
        </w:rPr>
        <w:t xml:space="preserve">Post-project review that converts the findings of failure into lessons for future assurance.</w:t>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How the domains connect</w:t>
            </w:r>
          </w:p>
          <w:p>
            <w:pPr>
              <w:spacing w:after="0" w:line="348"/>
              <w:jc w:val="both"/>
            </w:pPr>
            <w:r>
              <w:rPr>
                <w:rFonts w:ascii="Arial" w:cs="Arial" w:eastAsia="Arial" w:hAnsi="Arial"/>
                <w:color w:val="1A1A1A"/>
                <w:sz w:val="22"/>
                <w:szCs w:val="22"/>
              </w:rPr>
              <w:t xml:space="preserve">Every forensic investigation produces evidence about why projects fail. That evidence is the raw material of better assurance and better delivery alike. Forensics shows assurance and delivery where failure begins, assurance reduces the failures that forensics must later investigate, and sound delivery removes them at source. The Institute treats this feedback loop as a defining feature of the profession.</w:t>
            </w:r>
          </w:p>
        </w:tc>
      </w:tr>
    </w:tbl>
    <w:p>
      <w:r>
        <w:br w:type="page"/>
      </w:r>
    </w:p>
    <w:p>
      <w:pPr>
        <w:pStyle w:val="Heading1"/>
        <w:spacing w:after="160" w:before="320"/>
      </w:pPr>
      <w:r>
        <w:rPr>
          <w:rFonts w:ascii="Arial" w:cs="Arial" w:eastAsia="Arial" w:hAnsi="Arial"/>
          <w:b/>
          <w:bCs/>
          <w:color w:val="1A5C2A"/>
          <w:sz w:val="30"/>
          <w:szCs w:val="30"/>
        </w:rPr>
        <w:t xml:space="preserve">Part Four  |  Credential Architecture</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A professional body becomes a profession only when its credentials mean something specific and verifiable to an employer, a financier, or a court. The Institute’s core purpose rests on two independent domains, assurance and forensics, and it certifies a flagship designation for each. Alongside them sits a third credential covering the delivery competence on which both domains depend. Together the three form a coherent lifecycle: projects are delivered, assured, and, where they fail, investigated. The design lets a practitioner specialise while keeping the profession coherent, and it gives members a genuine progression path rather than a single terminal qualification.</w:t>
      </w:r>
    </w:p>
    <w:p>
      <w:pPr>
        <w:pStyle w:val="Heading2"/>
        <w:spacing w:after="120" w:before="260"/>
      </w:pPr>
      <w:r>
        <w:rPr>
          <w:rFonts w:ascii="Arial" w:cs="Arial" w:eastAsia="Arial" w:hAnsi="Arial"/>
          <w:b/>
          <w:bCs/>
          <w:color w:val="1A5C2A"/>
          <w:sz w:val="26"/>
          <w:szCs w:val="26"/>
        </w:rPr>
        <w:t xml:space="preserve">4.1  The three credential tracks</w:t>
      </w:r>
    </w:p>
    <w:tbl>
      <w:tblPr>
        <w:tblW w:type="dxa" w:w="9460"/>
        <w:tblBorders>
          <w:top w:val="single" w:color="1A5C2A" w:sz="4"/>
          <w:left w:val="single" w:color="CCCCCC" w:sz="2"/>
          <w:bottom w:val="single" w:color="1A5C2A" w:sz="4"/>
          <w:right w:val="single" w:color="CCCCCC" w:sz="2"/>
          <w:insideH w:val="single" w:color="CCCCCC" w:sz="2"/>
          <w:insideV w:val="single" w:color="CCCCCC" w:sz="2"/>
        </w:tblBorders>
      </w:tblPr>
      <w:tblGrid>
        <w:gridCol w:w="1300"/>
        <w:gridCol w:w="2720"/>
        <w:gridCol w:w="2720"/>
        <w:gridCol w:w="2720"/>
      </w:tblGrid>
      <w:tr>
        <w:trPr>
          <w:tblHeader/>
        </w:trPr>
        <w:tc>
          <w:tcPr>
            <w:tcW w:type="dxa" w:w="13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
            </w:r>
          </w:p>
        </w:tc>
        <w:tc>
          <w:tcPr>
            <w:tcW w:type="dxa" w:w="272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Certified Project Management Practitioner (CPMP)</w:t>
            </w:r>
          </w:p>
        </w:tc>
        <w:tc>
          <w:tcPr>
            <w:tcW w:type="dxa" w:w="272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Certified Project Assurance Practitioner (CPAP)</w:t>
            </w:r>
          </w:p>
        </w:tc>
        <w:tc>
          <w:tcPr>
            <w:tcW w:type="dxa" w:w="272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Certified Project Forensic Examiner (CPFE)</w:t>
            </w:r>
          </w:p>
        </w:tc>
      </w:tr>
      <w:tr>
        <w:tc>
          <w:tcPr>
            <w:tcW w:type="dxa" w:w="13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Function</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Deliver</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Assure</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Investigate</w:t>
            </w:r>
          </w:p>
        </w:tc>
      </w:tr>
      <w:tr>
        <w:tc>
          <w:tcPr>
            <w:tcW w:type="dxa" w:w="13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Orientation</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Delivery. Planning, executing, and controlling projects to an assurance-grade standard.</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Forward-looking. Independent oversight of likely project performance.</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Backward-looking. Independent investigation of project failure and dispute.</w:t>
            </w:r>
          </w:p>
        </w:tc>
      </w:tr>
      <w:tr>
        <w:tc>
          <w:tcPr>
            <w:tcW w:type="dxa" w:w="13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Core question</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Can this project be delivered soundly to time, cost, quality, and benefit?</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Can this project deliver what it promised, and if not, what must change?</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What went wrong, why, who is responsible, and what was the avoidable loss?</w:t>
            </w:r>
          </w:p>
        </w:tc>
      </w:tr>
      <w:tr>
        <w:tc>
          <w:tcPr>
            <w:tcW w:type="dxa" w:w="13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Typical work</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Planning and control</w:t>
            </w:r>
          </w:p>
          <w:p>
            <w:pPr>
              <w:spacing w:after="0" w:line="260"/>
            </w:pPr>
            <w:r>
              <w:rPr>
                <w:rFonts w:ascii="Arial" w:cs="Arial" w:eastAsia="Arial" w:hAnsi="Arial"/>
                <w:b w:val="false"/>
                <w:bCs w:val="false"/>
                <w:color w:val="1A1A1A"/>
                <w:sz w:val="20"/>
                <w:szCs w:val="20"/>
              </w:rPr>
              <w:t xml:space="preserve">Scope, schedule, cost</w:t>
            </w:r>
          </w:p>
          <w:p>
            <w:pPr>
              <w:spacing w:after="0" w:line="260"/>
            </w:pPr>
            <w:r>
              <w:rPr>
                <w:rFonts w:ascii="Arial" w:cs="Arial" w:eastAsia="Arial" w:hAnsi="Arial"/>
                <w:b w:val="false"/>
                <w:bCs w:val="false"/>
                <w:color w:val="1A1A1A"/>
                <w:sz w:val="20"/>
                <w:szCs w:val="20"/>
              </w:rPr>
              <w:t xml:space="preserve">Governance-ready delivery</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Gateway and front-end reviews</w:t>
            </w:r>
          </w:p>
          <w:p>
            <w:pPr>
              <w:spacing w:after="0" w:line="260"/>
            </w:pPr>
            <w:r>
              <w:rPr>
                <w:rFonts w:ascii="Arial" w:cs="Arial" w:eastAsia="Arial" w:hAnsi="Arial"/>
                <w:b w:val="false"/>
                <w:bCs w:val="false"/>
                <w:color w:val="1A1A1A"/>
                <w:sz w:val="20"/>
                <w:szCs w:val="20"/>
              </w:rPr>
              <w:t xml:space="preserve">Delivery-confidence assessment</w:t>
            </w:r>
          </w:p>
          <w:p>
            <w:pPr>
              <w:spacing w:after="0" w:line="260"/>
            </w:pPr>
            <w:r>
              <w:rPr>
                <w:rFonts w:ascii="Arial" w:cs="Arial" w:eastAsia="Arial" w:hAnsi="Arial"/>
                <w:b w:val="false"/>
                <w:bCs w:val="false"/>
                <w:color w:val="1A1A1A"/>
                <w:sz w:val="20"/>
                <w:szCs w:val="20"/>
              </w:rPr>
              <w:t xml:space="preserve">Governance and controls review</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Root-cause and delay analysis</w:t>
            </w:r>
          </w:p>
          <w:p>
            <w:pPr>
              <w:spacing w:after="0" w:line="260"/>
            </w:pPr>
            <w:r>
              <w:rPr>
                <w:rFonts w:ascii="Arial" w:cs="Arial" w:eastAsia="Arial" w:hAnsi="Arial"/>
                <w:b w:val="false"/>
                <w:bCs w:val="false"/>
                <w:color w:val="1A1A1A"/>
                <w:sz w:val="20"/>
                <w:szCs w:val="20"/>
              </w:rPr>
              <w:t xml:space="preserve">Quantum and claims assessment</w:t>
            </w:r>
          </w:p>
          <w:p>
            <w:pPr>
              <w:spacing w:after="0" w:line="260"/>
            </w:pPr>
            <w:r>
              <w:rPr>
                <w:rFonts w:ascii="Arial" w:cs="Arial" w:eastAsia="Arial" w:hAnsi="Arial"/>
                <w:b w:val="false"/>
                <w:bCs w:val="false"/>
                <w:color w:val="1A1A1A"/>
                <w:sz w:val="20"/>
                <w:szCs w:val="20"/>
              </w:rPr>
              <w:t xml:space="preserve">Expert evidence</w:t>
            </w:r>
          </w:p>
        </w:tc>
      </w:tr>
      <w:tr>
        <w:tc>
          <w:tcPr>
            <w:tcW w:type="dxa" w:w="13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Primary clients</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Owners, employers, delivery organisations.</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Boards, funders, sponsors, insurers.</w:t>
            </w:r>
          </w:p>
        </w:tc>
        <w:tc>
          <w:tcPr>
            <w:tcW w:type="dxa" w:w="272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Courts, tribunals, inquiries, auditors.</w:t>
            </w:r>
          </w:p>
        </w:tc>
      </w:tr>
      <w:tr>
        <w:tc>
          <w:tcPr>
            <w:tcW w:type="dxa" w:w="13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Post-nominal</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CPMP</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CPAP</w:t>
            </w:r>
          </w:p>
        </w:tc>
        <w:tc>
          <w:tcPr>
            <w:tcW w:type="dxa" w:w="272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CPFE</w:t>
            </w:r>
          </w:p>
        </w:tc>
      </w:tr>
    </w:tbl>
    <w:p>
      <w:pPr>
        <w:spacing w:after="40"/>
      </w:pPr>
      <w:r>
        <w:rPr>
          <w:rFonts w:ascii="Arial" w:cs="Arial" w:eastAsia="Arial" w:hAnsi="Arial"/>
          <w:sz w:val="24"/>
          <w:szCs w:val="24"/>
        </w:rPr>
        <w:t xml:space="preserve"/>
      </w:r>
    </w:p>
    <w:p>
      <w:pPr>
        <w:spacing w:after="160" w:line="348"/>
        <w:jc w:val="both"/>
      </w:pPr>
      <w:r>
        <w:rPr>
          <w:rFonts w:ascii="Arial" w:cs="Arial" w:eastAsia="Arial" w:hAnsi="Arial"/>
          <w:color w:val="1A1A1A"/>
          <w:sz w:val="24"/>
          <w:szCs w:val="24"/>
        </w:rPr>
        <w:t xml:space="preserve">The three designations are complementary, not a hierarchy. Most members will hold one. A member holding across the lifecycle, in delivery as well as in one or both of the independent domains, is recognised by the Institute as a complete project professional. Delivery and independent scrutiny must stay separate, and the Institute enforces that separation strictly.</w:t>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Why delivery sits alongside independent scrutiny</w:t>
            </w:r>
          </w:p>
          <w:p>
            <w:pPr>
              <w:spacing w:after="80" w:line="348"/>
              <w:jc w:val="both"/>
            </w:pPr>
            <w:r>
              <w:rPr>
                <w:rFonts w:ascii="Arial" w:cs="Arial" w:eastAsia="Arial" w:hAnsi="Arial"/>
                <w:color w:val="1A1A1A"/>
                <w:sz w:val="22"/>
                <w:szCs w:val="22"/>
              </w:rPr>
              <w:t xml:space="preserve">The CPMP is the Institute’s project management professional standard, built for African delivery conditions and designed to stand alongside and compete with the established global credentials. Its distinction is twofold: it is grounded in the financing, procurement, capacity, and institutional realities of African projects, and it certifies delivery to an assurance-grade standard, governance-sound, assurance-ready, and forensically defensible, with the evidential trail that makes a project auditable from the outset.</w:t>
            </w:r>
          </w:p>
          <w:p>
            <w:pPr>
              <w:spacing w:after="0" w:line="348"/>
              <w:jc w:val="both"/>
            </w:pPr>
            <w:r>
              <w:rPr>
                <w:rFonts w:ascii="Arial" w:cs="Arial" w:eastAsia="Arial" w:hAnsi="Arial"/>
                <w:b/>
                <w:bCs/>
                <w:color w:val="C47B0B"/>
                <w:sz w:val="22"/>
                <w:szCs w:val="22"/>
              </w:rPr>
              <w:t xml:space="preserve">Independence firewall. </w:t>
            </w:r>
            <w:r>
              <w:rPr>
                <w:rFonts w:ascii="Arial" w:cs="Arial" w:eastAsia="Arial" w:hAnsi="Arial"/>
                <w:color w:val="1A1A1A"/>
                <w:sz w:val="22"/>
                <w:szCs w:val="22"/>
              </w:rPr>
              <w:t xml:space="preserve">A member may not provide independent assurance or forensic services on a project they delivered, or in which they hold a delivery interest. This separation is written into the code of conduct. Delivery competence and independent scrutiny are certified by the same body but never exercised on the same project by the same member.</w:t>
            </w:r>
          </w:p>
        </w:tc>
      </w:tr>
    </w:tbl>
    <w:p>
      <w:pPr>
        <w:pStyle w:val="Heading2"/>
        <w:spacing w:after="120" w:before="260"/>
      </w:pPr>
      <w:r>
        <w:rPr>
          <w:rFonts w:ascii="Arial" w:cs="Arial" w:eastAsia="Arial" w:hAnsi="Arial"/>
          <w:b/>
          <w:bCs/>
          <w:color w:val="1A5C2A"/>
          <w:sz w:val="26"/>
          <w:szCs w:val="26"/>
        </w:rPr>
        <w:t xml:space="preserve">4.2  The shared foundation</w:t>
      </w:r>
    </w:p>
    <w:p>
      <w:pPr>
        <w:spacing w:after="160" w:line="348"/>
        <w:jc w:val="both"/>
      </w:pPr>
      <w:r>
        <w:rPr>
          <w:rFonts w:ascii="Arial" w:cs="Arial" w:eastAsia="Arial" w:hAnsi="Arial"/>
          <w:color w:val="1A1A1A"/>
          <w:sz w:val="24"/>
          <w:szCs w:val="24"/>
        </w:rPr>
        <w:t xml:space="preserve">All three tracks rest on a common foundation, so that every certified member, whether they deliver, assure, or investigate, shares a base of knowledge and, above all, a common ethical grounding. The foundation comprises three examined components:</w:t>
      </w:r>
    </w:p>
    <w:p>
      <w:pPr>
        <w:pStyle w:val="ListParagraph"/>
        <w:numPr>
          <w:ilvl w:val="0"/>
          <w:numId w:val="2"/>
        </w:numPr>
        <w:spacing w:after="100" w:line="348"/>
        <w:jc w:val="both"/>
      </w:pPr>
      <w:r>
        <w:rPr>
          <w:rFonts w:ascii="Arial" w:cs="Arial" w:eastAsia="Arial" w:hAnsi="Arial"/>
          <w:b/>
          <w:bCs/>
          <w:color w:val="C47B0B"/>
          <w:sz w:val="24"/>
          <w:szCs w:val="24"/>
        </w:rPr>
        <w:t xml:space="preserve">Principles of Project Delivery. </w:t>
      </w:r>
      <w:r>
        <w:rPr>
          <w:rFonts w:ascii="Arial" w:cs="Arial" w:eastAsia="Arial" w:hAnsi="Arial"/>
          <w:color w:val="1A1A1A"/>
          <w:sz w:val="24"/>
          <w:szCs w:val="24"/>
        </w:rPr>
        <w:t xml:space="preserve">The lifecycle, governance, financing, procurement, and controls of projects, with an emphasis on African delivery conditions.</w:t>
      </w:r>
    </w:p>
    <w:p>
      <w:pPr>
        <w:pStyle w:val="ListParagraph"/>
        <w:numPr>
          <w:ilvl w:val="0"/>
          <w:numId w:val="2"/>
        </w:numPr>
        <w:spacing w:after="100" w:line="348"/>
        <w:jc w:val="both"/>
      </w:pPr>
      <w:r>
        <w:rPr>
          <w:rFonts w:ascii="Arial" w:cs="Arial" w:eastAsia="Arial" w:hAnsi="Arial"/>
          <w:b/>
          <w:bCs/>
          <w:color w:val="C47B0B"/>
          <w:sz w:val="24"/>
          <w:szCs w:val="24"/>
        </w:rPr>
        <w:t xml:space="preserve">Evidence and Method. </w:t>
      </w:r>
      <w:r>
        <w:rPr>
          <w:rFonts w:ascii="Arial" w:cs="Arial" w:eastAsia="Arial" w:hAnsi="Arial"/>
          <w:color w:val="1A1A1A"/>
          <w:sz w:val="24"/>
          <w:szCs w:val="24"/>
        </w:rPr>
        <w:t xml:space="preserve">The gathering, handling, and weighing of evidence to a standard that withstands independent scrutiny, common to both assurance and forensic work.</w:t>
      </w:r>
    </w:p>
    <w:p>
      <w:pPr>
        <w:pStyle w:val="ListParagraph"/>
        <w:numPr>
          <w:ilvl w:val="0"/>
          <w:numId w:val="2"/>
        </w:numPr>
        <w:spacing w:after="100" w:line="348"/>
        <w:jc w:val="both"/>
      </w:pPr>
      <w:r>
        <w:rPr>
          <w:rFonts w:ascii="Arial" w:cs="Arial" w:eastAsia="Arial" w:hAnsi="Arial"/>
          <w:b/>
          <w:bCs/>
          <w:color w:val="C47B0B"/>
          <w:sz w:val="24"/>
          <w:szCs w:val="24"/>
        </w:rPr>
        <w:t xml:space="preserve">Professional Ethics and Independence. </w:t>
      </w:r>
      <w:r>
        <w:rPr>
          <w:rFonts w:ascii="Arial" w:cs="Arial" w:eastAsia="Arial" w:hAnsi="Arial"/>
          <w:color w:val="1A1A1A"/>
          <w:sz w:val="24"/>
          <w:szCs w:val="24"/>
        </w:rPr>
        <w:t xml:space="preserve">The code of conduct, the duties of independence and public interest, and the reasoning required to navigate conflicts. This component is mandatory and cannot be waived by any entry route.</w:t>
      </w:r>
    </w:p>
    <w:p>
      <w:pPr>
        <w:pStyle w:val="Heading2"/>
        <w:spacing w:after="120" w:before="260"/>
      </w:pPr>
      <w:r>
        <w:rPr>
          <w:rFonts w:ascii="Arial" w:cs="Arial" w:eastAsia="Arial" w:hAnsi="Arial"/>
          <w:b/>
          <w:bCs/>
          <w:color w:val="1A5C2A"/>
          <w:sz w:val="26"/>
          <w:szCs w:val="26"/>
        </w:rPr>
        <w:t xml:space="preserve">4.3  Entry routes</w:t>
      </w:r>
    </w:p>
    <w:p>
      <w:pPr>
        <w:spacing w:after="160" w:line="348"/>
        <w:jc w:val="both"/>
      </w:pPr>
      <w:r>
        <w:rPr>
          <w:rFonts w:ascii="Arial" w:cs="Arial" w:eastAsia="Arial" w:hAnsi="Arial"/>
          <w:color w:val="1A1A1A"/>
          <w:sz w:val="24"/>
          <w:szCs w:val="24"/>
        </w:rPr>
        <w:t xml:space="preserve">The Institute recognises that competence is built in more than one way. Three routes lead to examination, all converging on the same standard. No route bypasses the foundation examination or the ethics component.</w:t>
      </w:r>
    </w:p>
    <w:tbl>
      <w:tblPr>
        <w:tblW w:type="dxa" w:w="9360"/>
        <w:tblBorders>
          <w:top w:val="single" w:color="1A5C2A" w:sz="4"/>
          <w:left w:val="single" w:color="CCCCCC" w:sz="2"/>
          <w:bottom w:val="single" w:color="1A5C2A" w:sz="4"/>
          <w:right w:val="single" w:color="CCCCCC" w:sz="2"/>
          <w:insideH w:val="single" w:color="CCCCCC" w:sz="2"/>
          <w:insideV w:val="single" w:color="CCCCCC" w:sz="2"/>
        </w:tblBorders>
      </w:tblPr>
      <w:tblGrid>
        <w:gridCol w:w="1900"/>
        <w:gridCol w:w="3830"/>
        <w:gridCol w:w="3630"/>
      </w:tblGrid>
      <w:tr>
        <w:trPr>
          <w:tblHeader/>
        </w:trPr>
        <w:tc>
          <w:tcPr>
            <w:tcW w:type="dxa" w:w="19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Route</w:t>
            </w:r>
          </w:p>
        </w:tc>
        <w:tc>
          <w:tcPr>
            <w:tcW w:type="dxa" w:w="38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For whom</w:t>
            </w:r>
          </w:p>
        </w:tc>
        <w:tc>
          <w:tcPr>
            <w:tcW w:type="dxa" w:w="36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Requirement</w:t>
            </w:r>
          </w:p>
        </w:tc>
      </w:tr>
      <w:tr>
        <w:tc>
          <w:tcPr>
            <w:tcW w:type="dxa" w:w="19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Professional route</w:t>
            </w:r>
          </w:p>
        </w:tc>
        <w:tc>
          <w:tcPr>
            <w:tcW w:type="dxa" w:w="38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Established practitioners from cognate fields (engineering, surveying, audit, law, project management, forensic accounting).</w:t>
            </w:r>
          </w:p>
        </w:tc>
        <w:tc>
          <w:tcPr>
            <w:tcW w:type="dxa" w:w="36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Recognised professional qualification plus assessed relevant experience, then Institute examinations.</w:t>
            </w:r>
          </w:p>
        </w:tc>
      </w:tr>
      <w:tr>
        <w:tc>
          <w:tcPr>
            <w:tcW w:type="dxa" w:w="19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Graduate route</w:t>
            </w:r>
          </w:p>
        </w:tc>
        <w:tc>
          <w:tcPr>
            <w:tcW w:type="dxa" w:w="38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Graduates in relevant disciplines entering the profession.</w:t>
            </w:r>
          </w:p>
        </w:tc>
        <w:tc>
          <w:tcPr>
            <w:tcW w:type="dxa" w:w="36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Relevant degree, structured practical training, logged supervised experience, then examinations.</w:t>
            </w:r>
          </w:p>
        </w:tc>
      </w:tr>
      <w:tr>
        <w:tc>
          <w:tcPr>
            <w:tcW w:type="dxa" w:w="19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Experience route</w:t>
            </w:r>
          </w:p>
        </w:tc>
        <w:tc>
          <w:tcPr>
            <w:tcW w:type="dxa" w:w="38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Skilled practitioners without a formal cognate qualification but with substantial demonstrable practice.</w:t>
            </w:r>
          </w:p>
        </w:tc>
        <w:tc>
          <w:tcPr>
            <w:tcW w:type="dxa" w:w="36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Extended assessed experience, portfolio of work, and the full examination sequence.</w:t>
            </w:r>
          </w:p>
        </w:tc>
      </w:tr>
    </w:tbl>
    <w:p>
      <w:pPr>
        <w:spacing w:after="40"/>
      </w:pPr>
      <w:r>
        <w:rPr>
          <w:rFonts w:ascii="Arial" w:cs="Arial" w:eastAsia="Arial" w:hAnsi="Arial"/>
          <w:sz w:val="24"/>
          <w:szCs w:val="24"/>
        </w:rPr>
        <w:t xml:space="preserve"/>
      </w:r>
    </w:p>
    <w:p>
      <w:pPr>
        <w:pStyle w:val="Heading2"/>
        <w:spacing w:after="120" w:before="260"/>
      </w:pPr>
      <w:r>
        <w:rPr>
          <w:rFonts w:ascii="Arial" w:cs="Arial" w:eastAsia="Arial" w:hAnsi="Arial"/>
          <w:b/>
          <w:bCs/>
          <w:color w:val="1A5C2A"/>
          <w:sz w:val="26"/>
          <w:szCs w:val="26"/>
        </w:rPr>
        <w:t xml:space="preserve">4.4  Progression and maintenance</w:t>
      </w:r>
    </w:p>
    <w:p>
      <w:pPr>
        <w:spacing w:after="160" w:line="348"/>
        <w:jc w:val="both"/>
      </w:pPr>
      <w:r>
        <w:rPr>
          <w:rFonts w:ascii="Arial" w:cs="Arial" w:eastAsia="Arial" w:hAnsi="Arial"/>
          <w:color w:val="1A1A1A"/>
          <w:sz w:val="24"/>
          <w:szCs w:val="24"/>
        </w:rPr>
        <w:t xml:space="preserve">Certification is a beginning, not an endpoint. The Institute’s credentials are held for as long as the holder maintains them, and no longer.</w:t>
      </w:r>
    </w:p>
    <w:p>
      <w:pPr>
        <w:pStyle w:val="ListParagraph"/>
        <w:numPr>
          <w:ilvl w:val="0"/>
          <w:numId w:val="2"/>
        </w:numPr>
        <w:spacing w:after="100" w:line="348"/>
        <w:jc w:val="both"/>
      </w:pPr>
      <w:r>
        <w:rPr>
          <w:rFonts w:ascii="Arial" w:cs="Arial" w:eastAsia="Arial" w:hAnsi="Arial"/>
          <w:b/>
          <w:bCs/>
          <w:color w:val="C47B0B"/>
          <w:sz w:val="24"/>
          <w:szCs w:val="24"/>
        </w:rPr>
        <w:t xml:space="preserve">Continuing professional development. </w:t>
      </w:r>
      <w:r>
        <w:rPr>
          <w:rFonts w:ascii="Arial" w:cs="Arial" w:eastAsia="Arial" w:hAnsi="Arial"/>
          <w:color w:val="1A1A1A"/>
          <w:sz w:val="24"/>
          <w:szCs w:val="24"/>
        </w:rPr>
        <w:t xml:space="preserve">Every certified member completes a minimum annual quantum of assessed CPD. A credential unsupported by current competence lapses.</w:t>
      </w:r>
    </w:p>
    <w:p>
      <w:pPr>
        <w:pStyle w:val="ListParagraph"/>
        <w:numPr>
          <w:ilvl w:val="0"/>
          <w:numId w:val="2"/>
        </w:numPr>
        <w:spacing w:after="100" w:line="348"/>
        <w:jc w:val="both"/>
      </w:pPr>
      <w:r>
        <w:rPr>
          <w:rFonts w:ascii="Arial" w:cs="Arial" w:eastAsia="Arial" w:hAnsi="Arial"/>
          <w:b/>
          <w:bCs/>
          <w:color w:val="C47B0B"/>
          <w:sz w:val="24"/>
          <w:szCs w:val="24"/>
        </w:rPr>
        <w:t xml:space="preserve">A natural entry point. </w:t>
      </w:r>
      <w:r>
        <w:rPr>
          <w:rFonts w:ascii="Arial" w:cs="Arial" w:eastAsia="Arial" w:hAnsi="Arial"/>
          <w:color w:val="1A1A1A"/>
          <w:sz w:val="24"/>
          <w:szCs w:val="24"/>
        </w:rPr>
        <w:t xml:space="preserve">Many members will enter as delivery practitioners through the CPMP, then specialise into assurance or forensics as their careers develop. The delivery credential is a foundation to build on, not a ceiling.</w:t>
      </w:r>
    </w:p>
    <w:p>
      <w:pPr>
        <w:pStyle w:val="ListParagraph"/>
        <w:numPr>
          <w:ilvl w:val="0"/>
          <w:numId w:val="2"/>
        </w:numPr>
        <w:spacing w:after="100" w:line="348"/>
        <w:jc w:val="both"/>
      </w:pPr>
      <w:r>
        <w:rPr>
          <w:rFonts w:ascii="Arial" w:cs="Arial" w:eastAsia="Arial" w:hAnsi="Arial"/>
          <w:b/>
          <w:bCs/>
          <w:color w:val="C47B0B"/>
          <w:sz w:val="24"/>
          <w:szCs w:val="24"/>
        </w:rPr>
        <w:t xml:space="preserve">Additional certification. </w:t>
      </w:r>
      <w:r>
        <w:rPr>
          <w:rFonts w:ascii="Arial" w:cs="Arial" w:eastAsia="Arial" w:hAnsi="Arial"/>
          <w:color w:val="1A1A1A"/>
          <w:sz w:val="24"/>
          <w:szCs w:val="24"/>
        </w:rPr>
        <w:t xml:space="preserve">A member holding one designation may qualify for another by completing the track-specific examinations, the shared foundation being already held. Holding the delivery credential does not, however, entitle a member to assure or investigate their own delivery work.</w:t>
      </w:r>
    </w:p>
    <w:p>
      <w:pPr>
        <w:pStyle w:val="ListParagraph"/>
        <w:numPr>
          <w:ilvl w:val="0"/>
          <w:numId w:val="2"/>
        </w:numPr>
        <w:spacing w:after="100" w:line="348"/>
        <w:jc w:val="both"/>
      </w:pPr>
      <w:r>
        <w:rPr>
          <w:rFonts w:ascii="Arial" w:cs="Arial" w:eastAsia="Arial" w:hAnsi="Arial"/>
          <w:b/>
          <w:bCs/>
          <w:color w:val="C47B0B"/>
          <w:sz w:val="24"/>
          <w:szCs w:val="24"/>
        </w:rPr>
        <w:t xml:space="preserve">Advancement to Fellowship. </w:t>
      </w:r>
      <w:r>
        <w:rPr>
          <w:rFonts w:ascii="Arial" w:cs="Arial" w:eastAsia="Arial" w:hAnsi="Arial"/>
          <w:color w:val="1A1A1A"/>
          <w:sz w:val="24"/>
          <w:szCs w:val="24"/>
        </w:rPr>
        <w:t xml:space="preserve">Sustained distinguished practice, contribution to the profession, or leadership of significant engagements across the lifecycle may, on assessment, lead to election as a Fellow.</w:t>
      </w:r>
    </w:p>
    <w:p>
      <w:pPr>
        <w:pStyle w:val="Heading2"/>
        <w:spacing w:after="120" w:before="260"/>
      </w:pPr>
      <w:r>
        <w:rPr>
          <w:rFonts w:ascii="Arial" w:cs="Arial" w:eastAsia="Arial" w:hAnsi="Arial"/>
          <w:b/>
          <w:bCs/>
          <w:color w:val="1A5C2A"/>
          <w:sz w:val="26"/>
          <w:szCs w:val="26"/>
        </w:rPr>
        <w:t xml:space="preserve">4.5  From Certified to Chartered</w:t>
      </w:r>
    </w:p>
    <w:p>
      <w:pPr>
        <w:spacing w:after="160" w:line="348"/>
        <w:jc w:val="both"/>
      </w:pPr>
      <w:r>
        <w:rPr>
          <w:rFonts w:ascii="Arial" w:cs="Arial" w:eastAsia="Arial" w:hAnsi="Arial"/>
          <w:color w:val="1A1A1A"/>
          <w:sz w:val="24"/>
          <w:szCs w:val="24"/>
        </w:rPr>
        <w:t xml:space="preserve">The Institute’s designations are conferred in two tiers. The Certified designations, examined and earned as set out above, are the qualification to practise. Chartered status is the senior professional standing that sits above them, reserved for members of sustained experience and distinction. The two tiers give members a clear path of advancement, and they let the Institute grow into the standing the more senior title implies.</w:t>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Chartered is earned, not self-awarded</w:t>
            </w:r>
          </w:p>
          <w:p>
            <w:pPr>
              <w:spacing w:after="80" w:line="348"/>
              <w:jc w:val="both"/>
            </w:pPr>
            <w:r>
              <w:rPr>
                <w:rFonts w:ascii="Arial" w:cs="Arial" w:eastAsia="Arial" w:hAnsi="Arial"/>
                <w:color w:val="1A1A1A"/>
                <w:sz w:val="22"/>
                <w:szCs w:val="22"/>
              </w:rPr>
              <w:t xml:space="preserve">In the Commonwealth and Ghanaian tradition, the word Chartered signals recognition conferred by statute or formal charter, not by an organisation’s own choosing. The Institute will therefore confer Chartered designations only once it holds the necessary chartering authority, whether by statutory recognition, an Act, or an equivalent instrument. Until that point it certifies; it does not charter.</w:t>
            </w:r>
          </w:p>
          <w:p>
            <w:pPr>
              <w:spacing w:after="0" w:line="348"/>
              <w:jc w:val="both"/>
            </w:pPr>
            <w:r>
              <w:rPr>
                <w:rFonts w:ascii="Arial" w:cs="Arial" w:eastAsia="Arial" w:hAnsi="Arial"/>
                <w:color w:val="1A1A1A"/>
                <w:sz w:val="22"/>
                <w:szCs w:val="22"/>
              </w:rPr>
              <w:t xml:space="preserve">Holding that discipline is itself a matter of credibility. A body that claims chartered standing before it has earned it undermines the very trust its designations exist to carry.</w:t>
            </w:r>
          </w:p>
        </w:tc>
      </w:tr>
    </w:tbl>
    <w:p>
      <w:pPr>
        <w:spacing w:after="40"/>
      </w:pPr>
      <w:r>
        <w:rPr>
          <w:rFonts w:ascii="Arial" w:cs="Arial" w:eastAsia="Arial" w:hAnsi="Arial"/>
          <w:sz w:val="24"/>
          <w:szCs w:val="24"/>
        </w:rPr>
        <w:t xml:space="preserve"/>
      </w:r>
    </w:p>
    <w:tbl>
      <w:tblPr>
        <w:tblW w:type="dxa" w:w="9360"/>
        <w:tblBorders>
          <w:top w:val="single" w:color="1A5C2A" w:sz="4"/>
          <w:left w:val="single" w:color="CCCCCC" w:sz="2"/>
          <w:bottom w:val="single" w:color="1A5C2A" w:sz="4"/>
          <w:right w:val="single" w:color="CCCCCC" w:sz="2"/>
          <w:insideH w:val="single" w:color="CCCCCC" w:sz="2"/>
          <w:insideV w:val="single" w:color="CCCCCC" w:sz="2"/>
        </w:tblBorders>
      </w:tblPr>
      <w:tblGrid>
        <w:gridCol w:w="1500"/>
        <w:gridCol w:w="3930"/>
        <w:gridCol w:w="3930"/>
      </w:tblGrid>
      <w:tr>
        <w:trPr>
          <w:tblHeader/>
        </w:trPr>
        <w:tc>
          <w:tcPr>
            <w:tcW w:type="dxa" w:w="15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Track</w:t>
            </w:r>
          </w:p>
        </w:tc>
        <w:tc>
          <w:tcPr>
            <w:tcW w:type="dxa" w:w="39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Examined qualification (from certification)</w:t>
            </w:r>
          </w:p>
        </w:tc>
        <w:tc>
          <w:tcPr>
            <w:tcW w:type="dxa" w:w="39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Senior standing (on chartering authority)</w:t>
            </w:r>
          </w:p>
        </w:tc>
      </w:tr>
      <w:tr>
        <w:tc>
          <w:tcPr>
            <w:tcW w:type="dxa" w:w="15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Delivery</w:t>
            </w:r>
          </w:p>
        </w:tc>
        <w:tc>
          <w:tcPr>
            <w:tcW w:type="dxa" w:w="39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Certified Project Management Practitioner (CPMP)</w:t>
            </w:r>
          </w:p>
        </w:tc>
        <w:tc>
          <w:tcPr>
            <w:tcW w:type="dxa" w:w="39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Chartered Project Management Practitioner</w:t>
            </w:r>
          </w:p>
        </w:tc>
      </w:tr>
      <w:tr>
        <w:tc>
          <w:tcPr>
            <w:tcW w:type="dxa" w:w="15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Assurance</w:t>
            </w:r>
          </w:p>
        </w:tc>
        <w:tc>
          <w:tcPr>
            <w:tcW w:type="dxa" w:w="39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Certified Project Assurance Practitioner (CPAP)</w:t>
            </w:r>
          </w:p>
        </w:tc>
        <w:tc>
          <w:tcPr>
            <w:tcW w:type="dxa" w:w="39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Chartered Project Assurance Practitioner</w:t>
            </w:r>
          </w:p>
        </w:tc>
      </w:tr>
      <w:tr>
        <w:tc>
          <w:tcPr>
            <w:tcW w:type="dxa" w:w="15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Forensics</w:t>
            </w:r>
          </w:p>
        </w:tc>
        <w:tc>
          <w:tcPr>
            <w:tcW w:type="dxa" w:w="39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Certified Project Forensic Examiner (CPFE)</w:t>
            </w:r>
          </w:p>
        </w:tc>
        <w:tc>
          <w:tcPr>
            <w:tcW w:type="dxa" w:w="39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Chartered Project Forensic Examiner</w:t>
            </w:r>
          </w:p>
        </w:tc>
      </w:tr>
    </w:tbl>
    <w:p>
      <w:pPr>
        <w:spacing w:after="40"/>
      </w:pPr>
      <w:r>
        <w:rPr>
          <w:rFonts w:ascii="Arial" w:cs="Arial" w:eastAsia="Arial" w:hAnsi="Arial"/>
          <w:sz w:val="24"/>
          <w:szCs w:val="24"/>
        </w:rPr>
        <w:t xml:space="preserve"/>
      </w:r>
    </w:p>
    <w:p>
      <w:pPr>
        <w:spacing w:after="160" w:line="348"/>
        <w:jc w:val="both"/>
      </w:pPr>
      <w:r>
        <w:rPr>
          <w:rFonts w:ascii="Arial" w:cs="Arial" w:eastAsia="Arial" w:hAnsi="Arial"/>
          <w:color w:val="1A1A1A"/>
          <w:sz w:val="24"/>
          <w:szCs w:val="24"/>
        </w:rPr>
        <w:t xml:space="preserve">Progression from Certified to Chartered will rest on assessed criteria: sustained practice at a senior level, a record of significant engagements, continuing professional development maintained without lapse, and unbroken adherence to the code of conduct. Chartered status, once conferred, is held only for as long as those conditions continue to be met.</w:t>
      </w:r>
    </w:p>
    <w:p>
      <w:pPr>
        <w:spacing w:after="160" w:line="348"/>
        <w:jc w:val="both"/>
      </w:pPr>
      <w:r>
        <w:rPr>
          <w:rFonts w:ascii="Arial" w:cs="Arial" w:eastAsia="Arial" w:hAnsi="Arial"/>
          <w:color w:val="1A1A1A"/>
          <w:sz w:val="24"/>
          <w:szCs w:val="24"/>
        </w:rPr>
        <w:t xml:space="preserve">Membership grade and designation tier are distinct. Grade, from Student through to Fellow, describes a member’s standing within the Institute. The designation, Certified or in time Chartered, describes the professional qualification the member holds and is entitled to practise under. The two advance alongside each other, but they are not the same thing.</w:t>
      </w:r>
    </w:p>
    <w:p>
      <w:r>
        <w:br w:type="page"/>
      </w:r>
    </w:p>
    <w:p>
      <w:pPr>
        <w:pStyle w:val="Heading1"/>
        <w:spacing w:after="160" w:before="320"/>
      </w:pPr>
      <w:r>
        <w:rPr>
          <w:rFonts w:ascii="Arial" w:cs="Arial" w:eastAsia="Arial" w:hAnsi="Arial"/>
          <w:b/>
          <w:bCs/>
          <w:color w:val="1A5C2A"/>
          <w:sz w:val="30"/>
          <w:szCs w:val="30"/>
        </w:rPr>
        <w:t xml:space="preserve">Part Five  |  Membership</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Membership grades give the profession its structure and give practitioners a path of progression. Only the certified grades carry the right to practise under the Institute’s designations and to use the corresponding post-nominals.</w:t>
      </w:r>
    </w:p>
    <w:tbl>
      <w:tblPr>
        <w:tblW w:type="dxa" w:w="9360"/>
        <w:tblBorders>
          <w:top w:val="single" w:color="1A5C2A" w:sz="4"/>
          <w:left w:val="single" w:color="CCCCCC" w:sz="2"/>
          <w:bottom w:val="single" w:color="1A5C2A" w:sz="4"/>
          <w:right w:val="single" w:color="CCCCCC" w:sz="2"/>
          <w:insideH w:val="single" w:color="CCCCCC" w:sz="2"/>
          <w:insideV w:val="single" w:color="CCCCCC" w:sz="2"/>
        </w:tblBorders>
      </w:tblPr>
      <w:tblGrid>
        <w:gridCol w:w="1900"/>
        <w:gridCol w:w="4230"/>
        <w:gridCol w:w="3230"/>
      </w:tblGrid>
      <w:tr>
        <w:trPr>
          <w:tblHeader/>
        </w:trPr>
        <w:tc>
          <w:tcPr>
            <w:tcW w:type="dxa" w:w="190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Grade</w:t>
            </w:r>
          </w:p>
        </w:tc>
        <w:tc>
          <w:tcPr>
            <w:tcW w:type="dxa" w:w="42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Who it is for</w:t>
            </w:r>
          </w:p>
        </w:tc>
        <w:tc>
          <w:tcPr>
            <w:tcW w:type="dxa" w:w="3230"/>
            <w:shd w:fill="1A5C2A" w:val="clear"/>
            <w:tcMar>
              <w:top w:type="dxa" w:w="80"/>
              <w:left w:type="dxa" w:w="110"/>
              <w:bottom w:type="dxa" w:w="80"/>
              <w:right w:type="dxa" w:w="110"/>
            </w:tcMar>
          </w:tcPr>
          <w:p>
            <w:pPr>
              <w:spacing w:after="0"/>
            </w:pPr>
            <w:r>
              <w:rPr>
                <w:rFonts w:ascii="Arial" w:cs="Arial" w:eastAsia="Arial" w:hAnsi="Arial"/>
                <w:b/>
                <w:bCs/>
                <w:color w:val="FFFFFF"/>
                <w:sz w:val="20"/>
                <w:szCs w:val="20"/>
              </w:rPr>
              <w:t xml:space="preserve">Rights</w:t>
            </w:r>
          </w:p>
        </w:tc>
      </w:tr>
      <w:tr>
        <w:tc>
          <w:tcPr>
            <w:tcW w:type="dxa" w:w="19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Fellow (FIPAF)</w:t>
            </w:r>
          </w:p>
        </w:tc>
        <w:tc>
          <w:tcPr>
            <w:tcW w:type="dxa" w:w="4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Certified members of distinguished standing and sustained contribution.</w:t>
            </w:r>
          </w:p>
        </w:tc>
        <w:tc>
          <w:tcPr>
            <w:tcW w:type="dxa" w:w="3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Full voting rights; eligible for Council; highest post-nominal.</w:t>
            </w:r>
          </w:p>
        </w:tc>
      </w:tr>
      <w:tr>
        <w:tc>
          <w:tcPr>
            <w:tcW w:type="dxa" w:w="19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Member (MIPAF)</w:t>
            </w:r>
          </w:p>
        </w:tc>
        <w:tc>
          <w:tcPr>
            <w:tcW w:type="dxa" w:w="42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Fully certified practitioners holding CPMP, CPAP, or CPFE.</w:t>
            </w:r>
          </w:p>
        </w:tc>
        <w:tc>
          <w:tcPr>
            <w:tcW w:type="dxa" w:w="32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Full voting rights; may practise under Institute designations.</w:t>
            </w:r>
          </w:p>
        </w:tc>
      </w:tr>
      <w:tr>
        <w:tc>
          <w:tcPr>
            <w:tcW w:type="dxa" w:w="19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Associate (AIPAF)</w:t>
            </w:r>
          </w:p>
        </w:tc>
        <w:tc>
          <w:tcPr>
            <w:tcW w:type="dxa" w:w="4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Practitioners who have passed the foundation and are completing certification.</w:t>
            </w:r>
          </w:p>
        </w:tc>
        <w:tc>
          <w:tcPr>
            <w:tcW w:type="dxa" w:w="3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Limited voting; defined practice under supervision.</w:t>
            </w:r>
          </w:p>
        </w:tc>
      </w:tr>
      <w:tr>
        <w:tc>
          <w:tcPr>
            <w:tcW w:type="dxa" w:w="1900"/>
            <w:shd w:fill="FFFFFF"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Affiliate</w:t>
            </w:r>
          </w:p>
        </w:tc>
        <w:tc>
          <w:tcPr>
            <w:tcW w:type="dxa" w:w="42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Professionals in cognate fields who support the Institute’s aims without seeking certification.</w:t>
            </w:r>
          </w:p>
        </w:tc>
        <w:tc>
          <w:tcPr>
            <w:tcW w:type="dxa" w:w="3230"/>
            <w:shd w:fill="FFFFFF"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Non-voting; access to events, research, and CPD.</w:t>
            </w:r>
          </w:p>
        </w:tc>
      </w:tr>
      <w:tr>
        <w:tc>
          <w:tcPr>
            <w:tcW w:type="dxa" w:w="1900"/>
            <w:shd w:fill="EAF1EC" w:val="clear"/>
            <w:tcMar>
              <w:top w:type="dxa" w:w="70"/>
              <w:left w:type="dxa" w:w="110"/>
              <w:bottom w:type="dxa" w:w="70"/>
              <w:right w:type="dxa" w:w="110"/>
            </w:tcMar>
          </w:tcPr>
          <w:p>
            <w:pPr>
              <w:spacing w:after="0" w:line="260"/>
            </w:pPr>
            <w:r>
              <w:rPr>
                <w:rFonts w:ascii="Arial" w:cs="Arial" w:eastAsia="Arial" w:hAnsi="Arial"/>
                <w:b/>
                <w:bCs/>
                <w:color w:val="1A1A1A"/>
                <w:sz w:val="20"/>
                <w:szCs w:val="20"/>
              </w:rPr>
              <w:t xml:space="preserve">Student</w:t>
            </w:r>
          </w:p>
        </w:tc>
        <w:tc>
          <w:tcPr>
            <w:tcW w:type="dxa" w:w="4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Those enrolled on a route towards certification.</w:t>
            </w:r>
          </w:p>
        </w:tc>
        <w:tc>
          <w:tcPr>
            <w:tcW w:type="dxa" w:w="3230"/>
            <w:shd w:fill="EAF1EC" w:val="clear"/>
            <w:tcMar>
              <w:top w:type="dxa" w:w="70"/>
              <w:left w:type="dxa" w:w="110"/>
              <w:bottom w:type="dxa" w:w="70"/>
              <w:right w:type="dxa" w:w="110"/>
            </w:tcMar>
          </w:tcPr>
          <w:p>
            <w:pPr>
              <w:spacing w:after="0" w:line="260"/>
            </w:pPr>
            <w:r>
              <w:rPr>
                <w:rFonts w:ascii="Arial" w:cs="Arial" w:eastAsia="Arial" w:hAnsi="Arial"/>
                <w:b w:val="false"/>
                <w:bCs w:val="false"/>
                <w:color w:val="1A1A1A"/>
                <w:sz w:val="20"/>
                <w:szCs w:val="20"/>
              </w:rPr>
              <w:t xml:space="preserve">Non-voting; access to learning and mentoring.</w:t>
            </w:r>
          </w:p>
        </w:tc>
      </w:tr>
    </w:tbl>
    <w:p>
      <w:pPr>
        <w:spacing w:after="40"/>
      </w:pPr>
      <w:r>
        <w:rPr>
          <w:rFonts w:ascii="Arial" w:cs="Arial" w:eastAsia="Arial" w:hAnsi="Arial"/>
          <w:sz w:val="24"/>
          <w:szCs w:val="24"/>
        </w:rPr>
        <w:t xml:space="preserve"/>
      </w:r>
    </w:p>
    <w:tbl>
      <w:tblPr>
        <w:tblW w:type="dxa" w:w="9360"/>
        <w:tblBorders>
          <w:top w:val="single" w:color="C47B0B" w:sz="2"/>
          <w:left w:val="single" w:color="C47B0B" w:sz="20"/>
          <w:bottom w:val="single" w:color="C47B0B" w:sz="2"/>
          <w:right w:val="single" w:color="C47B0B" w:sz="2"/>
          <w:insideH w:val="none"/>
          <w:insideV w:val="none"/>
        </w:tblBorders>
      </w:tblPr>
      <w:tblGrid>
        <w:gridCol w:w="9360"/>
      </w:tblGrid>
      <w:tr>
        <w:tc>
          <w:tcPr>
            <w:tcW w:type="dxa" w:w="9360"/>
            <w:shd w:fill="FBF3E6" w:val="clear"/>
            <w:tcMar>
              <w:top w:type="dxa" w:w="140"/>
              <w:left w:type="dxa" w:w="180"/>
              <w:bottom w:type="dxa" w:w="140"/>
              <w:right w:type="dxa" w:w="180"/>
            </w:tcMar>
          </w:tcPr>
          <w:p>
            <w:pPr>
              <w:spacing w:after="80"/>
            </w:pPr>
            <w:r>
              <w:rPr>
                <w:rFonts w:ascii="Arial" w:cs="Arial" w:eastAsia="Arial" w:hAnsi="Arial"/>
                <w:b/>
                <w:bCs/>
                <w:color w:val="C47B0B"/>
                <w:sz w:val="24"/>
                <w:szCs w:val="24"/>
              </w:rPr>
              <w:t xml:space="preserve">A note on the individual post-nominal</w:t>
            </w:r>
          </w:p>
          <w:p>
            <w:pPr>
              <w:spacing w:after="0" w:line="348"/>
              <w:jc w:val="both"/>
            </w:pPr>
            <w:r>
              <w:rPr>
                <w:rFonts w:ascii="Arial" w:cs="Arial" w:eastAsia="Arial" w:hAnsi="Arial"/>
                <w:color w:val="1A1A1A"/>
                <w:sz w:val="22"/>
                <w:szCs w:val="22"/>
              </w:rPr>
              <w:t xml:space="preserve">The Institute’s own abbreviation, AIPAF, names the body. The individual associate grade also carries AIPAF as a post-nominal in the conventional professional-body pattern (as with several established institutes). To avoid confusion, the Institute always writes its own name in full or as ’the Institute’, and reserves the bare letters AIPAF for the membership post-nominal in member listings and correspondence.</w:t>
            </w:r>
          </w:p>
        </w:tc>
      </w:tr>
    </w:tbl>
    <w:p>
      <w:r>
        <w:br w:type="page"/>
      </w:r>
    </w:p>
    <w:p>
      <w:pPr>
        <w:pStyle w:val="Heading1"/>
        <w:spacing w:after="160" w:before="320"/>
      </w:pPr>
      <w:r>
        <w:rPr>
          <w:rFonts w:ascii="Arial" w:cs="Arial" w:eastAsia="Arial" w:hAnsi="Arial"/>
          <w:b/>
          <w:bCs/>
          <w:color w:val="1A5C2A"/>
          <w:sz w:val="30"/>
          <w:szCs w:val="30"/>
        </w:rPr>
        <w:t xml:space="preserve">Part Six  |  Governance</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A body that certifies others must be governed to at least the standard it demands of them. Its independence, its discipline, and its public standing all rest on a governance structure that separates those who set standards from those who are judged against them, and that keeps the Institute’s regulatory functions insulated from commercial or personal pressure.</w:t>
      </w:r>
    </w:p>
    <w:p>
      <w:pPr>
        <w:pStyle w:val="Heading2"/>
        <w:spacing w:after="120" w:before="260"/>
      </w:pPr>
      <w:r>
        <w:rPr>
          <w:rFonts w:ascii="Arial" w:cs="Arial" w:eastAsia="Arial" w:hAnsi="Arial"/>
          <w:b/>
          <w:bCs/>
          <w:color w:val="1A5C2A"/>
          <w:sz w:val="26"/>
          <w:szCs w:val="26"/>
        </w:rPr>
        <w:t xml:space="preserve">6.1  Governance structure</w:t>
      </w:r>
    </w:p>
    <w:p>
      <w:pPr>
        <w:pStyle w:val="Heading3"/>
        <w:spacing w:after="100" w:before="200"/>
      </w:pPr>
      <w:r>
        <w:rPr>
          <w:rFonts w:ascii="Arial" w:cs="Arial" w:eastAsia="Arial" w:hAnsi="Arial"/>
          <w:b/>
          <w:bCs/>
          <w:color w:val="C47B0B"/>
          <w:sz w:val="24"/>
          <w:szCs w:val="24"/>
        </w:rPr>
        <w:t xml:space="preserve">The General Assembly</w:t>
      </w:r>
    </w:p>
    <w:p>
      <w:pPr>
        <w:spacing w:after="160" w:line="348"/>
        <w:jc w:val="both"/>
      </w:pPr>
      <w:r>
        <w:rPr>
          <w:rFonts w:ascii="Arial" w:cs="Arial" w:eastAsia="Arial" w:hAnsi="Arial"/>
          <w:color w:val="1A1A1A"/>
          <w:sz w:val="24"/>
          <w:szCs w:val="24"/>
        </w:rPr>
        <w:t xml:space="preserve">The membership in general meeting is the Institute’s ultimate authority. It elects the Governing Council, receives the annual report and accounts, adopts and amends the constitution, and holds the Council to account. As chapters form across the continent, the Assembly is the body through which continental membership exercises ownership of the Institute.</w:t>
      </w:r>
    </w:p>
    <w:p>
      <w:pPr>
        <w:pStyle w:val="Heading3"/>
        <w:spacing w:after="100" w:before="200"/>
      </w:pPr>
      <w:r>
        <w:rPr>
          <w:rFonts w:ascii="Arial" w:cs="Arial" w:eastAsia="Arial" w:hAnsi="Arial"/>
          <w:b/>
          <w:bCs/>
          <w:color w:val="C47B0B"/>
          <w:sz w:val="24"/>
          <w:szCs w:val="24"/>
        </w:rPr>
        <w:t xml:space="preserve">The Governing Council</w:t>
      </w:r>
    </w:p>
    <w:p>
      <w:pPr>
        <w:spacing w:after="160" w:line="348"/>
        <w:jc w:val="both"/>
      </w:pPr>
      <w:r>
        <w:rPr>
          <w:rFonts w:ascii="Arial" w:cs="Arial" w:eastAsia="Arial" w:hAnsi="Arial"/>
          <w:color w:val="1A1A1A"/>
          <w:sz w:val="24"/>
          <w:szCs w:val="24"/>
        </w:rPr>
        <w:t xml:space="preserve">The Council is the Institute’s board. It sets strategy, oversees the Institute’s finances and management, and carries ultimate responsibility for the standards the Institute upholds. It is elected by the membership, chaired by an elected President, and structured to bring geographical breadth and a balance of assurance and forensic expertise. The Council delegates operational and technical functions to standing committees and to the Secretariat, but retains accountability for all of them.</w:t>
      </w:r>
    </w:p>
    <w:p>
      <w:pPr>
        <w:pStyle w:val="Heading3"/>
        <w:spacing w:after="100" w:before="200"/>
      </w:pPr>
      <w:r>
        <w:rPr>
          <w:rFonts w:ascii="Arial" w:cs="Arial" w:eastAsia="Arial" w:hAnsi="Arial"/>
          <w:b/>
          <w:bCs/>
          <w:color w:val="C47B0B"/>
          <w:sz w:val="24"/>
          <w:szCs w:val="24"/>
        </w:rPr>
        <w:t xml:space="preserve">The Secretariat</w:t>
      </w:r>
    </w:p>
    <w:p>
      <w:pPr>
        <w:spacing w:after="160" w:line="348"/>
        <w:jc w:val="both"/>
      </w:pPr>
      <w:r>
        <w:rPr>
          <w:rFonts w:ascii="Arial" w:cs="Arial" w:eastAsia="Arial" w:hAnsi="Arial"/>
          <w:color w:val="1A1A1A"/>
          <w:sz w:val="24"/>
          <w:szCs w:val="24"/>
        </w:rPr>
        <w:t xml:space="preserve">Led by a Chief Executive or Registrar appointed by the Council, the Secretariat runs the Institute day to day: administering examinations and the register, delivering education and CPD, servicing committees, and managing operations. It executes; it does not set the standards it administers.</w:t>
      </w:r>
    </w:p>
    <w:p>
      <w:pPr>
        <w:pStyle w:val="Heading2"/>
        <w:spacing w:after="120" w:before="260"/>
      </w:pPr>
      <w:r>
        <w:rPr>
          <w:rFonts w:ascii="Arial" w:cs="Arial" w:eastAsia="Arial" w:hAnsi="Arial"/>
          <w:b/>
          <w:bCs/>
          <w:color w:val="1A5C2A"/>
          <w:sz w:val="26"/>
          <w:szCs w:val="26"/>
        </w:rPr>
        <w:t xml:space="preserve">6.2  Standing committees</w:t>
      </w:r>
    </w:p>
    <w:p>
      <w:pPr>
        <w:spacing w:after="160" w:line="348"/>
        <w:jc w:val="both"/>
      </w:pPr>
      <w:r>
        <w:rPr>
          <w:rFonts w:ascii="Arial" w:cs="Arial" w:eastAsia="Arial" w:hAnsi="Arial"/>
          <w:color w:val="1A1A1A"/>
          <w:sz w:val="24"/>
          <w:szCs w:val="24"/>
        </w:rPr>
        <w:t xml:space="preserve">The Council’s work is carried out through committees, each with a defined remit. Keeping these functions in separate hands is what allows the Institute to certify credibly and discipline fairly.</w:t>
      </w:r>
    </w:p>
    <w:p>
      <w:pPr>
        <w:pStyle w:val="ListParagraph"/>
        <w:numPr>
          <w:ilvl w:val="0"/>
          <w:numId w:val="2"/>
        </w:numPr>
        <w:spacing w:after="100" w:line="348"/>
        <w:jc w:val="both"/>
      </w:pPr>
      <w:r>
        <w:rPr>
          <w:rFonts w:ascii="Arial" w:cs="Arial" w:eastAsia="Arial" w:hAnsi="Arial"/>
          <w:b/>
          <w:bCs/>
          <w:color w:val="C47B0B"/>
          <w:sz w:val="24"/>
          <w:szCs w:val="24"/>
        </w:rPr>
        <w:t xml:space="preserve">Standards and Ethics Committee. </w:t>
      </w:r>
      <w:r>
        <w:rPr>
          <w:rFonts w:ascii="Arial" w:cs="Arial" w:eastAsia="Arial" w:hAnsi="Arial"/>
          <w:color w:val="1A1A1A"/>
          <w:sz w:val="24"/>
          <w:szCs w:val="24"/>
        </w:rPr>
        <w:t xml:space="preserve">Owns the body of knowledge, the technical standards, and the code of professional conduct, and keeps them current.</w:t>
      </w:r>
    </w:p>
    <w:p>
      <w:pPr>
        <w:pStyle w:val="ListParagraph"/>
        <w:numPr>
          <w:ilvl w:val="0"/>
          <w:numId w:val="2"/>
        </w:numPr>
        <w:spacing w:after="100" w:line="348"/>
        <w:jc w:val="both"/>
      </w:pPr>
      <w:r>
        <w:rPr>
          <w:rFonts w:ascii="Arial" w:cs="Arial" w:eastAsia="Arial" w:hAnsi="Arial"/>
          <w:b/>
          <w:bCs/>
          <w:color w:val="C47B0B"/>
          <w:sz w:val="24"/>
          <w:szCs w:val="24"/>
        </w:rPr>
        <w:t xml:space="preserve">Education and Examinations Committee. </w:t>
      </w:r>
      <w:r>
        <w:rPr>
          <w:rFonts w:ascii="Arial" w:cs="Arial" w:eastAsia="Arial" w:hAnsi="Arial"/>
          <w:color w:val="1A1A1A"/>
          <w:sz w:val="24"/>
          <w:szCs w:val="24"/>
        </w:rPr>
        <w:t xml:space="preserve">Owns the syllabus, the examinations, and the quality of assessment across all routes and both tracks.</w:t>
      </w:r>
    </w:p>
    <w:p>
      <w:pPr>
        <w:pStyle w:val="ListParagraph"/>
        <w:numPr>
          <w:ilvl w:val="0"/>
          <w:numId w:val="2"/>
        </w:numPr>
        <w:spacing w:after="100" w:line="348"/>
        <w:jc w:val="both"/>
      </w:pPr>
      <w:r>
        <w:rPr>
          <w:rFonts w:ascii="Arial" w:cs="Arial" w:eastAsia="Arial" w:hAnsi="Arial"/>
          <w:b/>
          <w:bCs/>
          <w:color w:val="C47B0B"/>
          <w:sz w:val="24"/>
          <w:szCs w:val="24"/>
        </w:rPr>
        <w:t xml:space="preserve">Membership and Credentials Committee. </w:t>
      </w:r>
      <w:r>
        <w:rPr>
          <w:rFonts w:ascii="Arial" w:cs="Arial" w:eastAsia="Arial" w:hAnsi="Arial"/>
          <w:color w:val="1A1A1A"/>
          <w:sz w:val="24"/>
          <w:szCs w:val="24"/>
        </w:rPr>
        <w:t xml:space="preserve">Governs admission, grading, certification, CPD compliance, and the integrity of the public register.</w:t>
      </w:r>
    </w:p>
    <w:p>
      <w:pPr>
        <w:pStyle w:val="ListParagraph"/>
        <w:numPr>
          <w:ilvl w:val="0"/>
          <w:numId w:val="2"/>
        </w:numPr>
        <w:spacing w:after="100" w:line="348"/>
        <w:jc w:val="both"/>
      </w:pPr>
      <w:r>
        <w:rPr>
          <w:rFonts w:ascii="Arial" w:cs="Arial" w:eastAsia="Arial" w:hAnsi="Arial"/>
          <w:b/>
          <w:bCs/>
          <w:color w:val="C47B0B"/>
          <w:sz w:val="24"/>
          <w:szCs w:val="24"/>
        </w:rPr>
        <w:t xml:space="preserve">Professional Conduct and Disciplinary Committee. </w:t>
      </w:r>
      <w:r>
        <w:rPr>
          <w:rFonts w:ascii="Arial" w:cs="Arial" w:eastAsia="Arial" w:hAnsi="Arial"/>
          <w:color w:val="1A1A1A"/>
          <w:sz w:val="24"/>
          <w:szCs w:val="24"/>
        </w:rPr>
        <w:t xml:space="preserve">Investigates and adjudicates complaints against members. It operates at arm’s length from the Council in its decisions, with a separate appeals route, so that discipline is seen to be fair.</w:t>
      </w:r>
    </w:p>
    <w:p>
      <w:pPr>
        <w:pStyle w:val="ListParagraph"/>
        <w:numPr>
          <w:ilvl w:val="0"/>
          <w:numId w:val="2"/>
        </w:numPr>
        <w:spacing w:after="100" w:line="348"/>
        <w:jc w:val="both"/>
      </w:pPr>
      <w:r>
        <w:rPr>
          <w:rFonts w:ascii="Arial" w:cs="Arial" w:eastAsia="Arial" w:hAnsi="Arial"/>
          <w:b/>
          <w:bCs/>
          <w:color w:val="C47B0B"/>
          <w:sz w:val="24"/>
          <w:szCs w:val="24"/>
        </w:rPr>
        <w:t xml:space="preserve">Research and Publications Committee. </w:t>
      </w:r>
      <w:r>
        <w:rPr>
          <w:rFonts w:ascii="Arial" w:cs="Arial" w:eastAsia="Arial" w:hAnsi="Arial"/>
          <w:color w:val="1A1A1A"/>
          <w:sz w:val="24"/>
          <w:szCs w:val="24"/>
        </w:rPr>
        <w:t xml:space="preserve">Directs the Institute’s research into project failure, assurance, and forensic method, and oversees what it publishes.</w:t>
      </w:r>
    </w:p>
    <w:p>
      <w:pPr>
        <w:pStyle w:val="ListParagraph"/>
        <w:numPr>
          <w:ilvl w:val="0"/>
          <w:numId w:val="2"/>
        </w:numPr>
        <w:spacing w:after="100" w:line="348"/>
        <w:jc w:val="both"/>
      </w:pPr>
      <w:r>
        <w:rPr>
          <w:rFonts w:ascii="Arial" w:cs="Arial" w:eastAsia="Arial" w:hAnsi="Arial"/>
          <w:b/>
          <w:bCs/>
          <w:color w:val="C47B0B"/>
          <w:sz w:val="24"/>
          <w:szCs w:val="24"/>
        </w:rPr>
        <w:t xml:space="preserve">Finance and Audit Committee. </w:t>
      </w:r>
      <w:r>
        <w:rPr>
          <w:rFonts w:ascii="Arial" w:cs="Arial" w:eastAsia="Arial" w:hAnsi="Arial"/>
          <w:color w:val="1A1A1A"/>
          <w:sz w:val="24"/>
          <w:szCs w:val="24"/>
        </w:rPr>
        <w:t xml:space="preserve">Oversees the Institute’s finances, controls, and its own accountability to the standards it asks of others.</w:t>
      </w:r>
    </w:p>
    <w:p>
      <w:pPr>
        <w:pStyle w:val="Heading2"/>
        <w:spacing w:after="120" w:before="260"/>
      </w:pPr>
      <w:r>
        <w:rPr>
          <w:rFonts w:ascii="Arial" w:cs="Arial" w:eastAsia="Arial" w:hAnsi="Arial"/>
          <w:b/>
          <w:bCs/>
          <w:color w:val="1A5C2A"/>
          <w:sz w:val="26"/>
          <w:szCs w:val="26"/>
        </w:rPr>
        <w:t xml:space="preserve">6.3  Continental chapters</w:t>
      </w:r>
    </w:p>
    <w:p>
      <w:pPr>
        <w:spacing w:after="160" w:line="348"/>
        <w:jc w:val="both"/>
      </w:pPr>
      <w:r>
        <w:rPr>
          <w:rFonts w:ascii="Arial" w:cs="Arial" w:eastAsia="Arial" w:hAnsi="Arial"/>
          <w:color w:val="1A1A1A"/>
          <w:sz w:val="24"/>
          <w:szCs w:val="24"/>
        </w:rPr>
        <w:t xml:space="preserve">As membership grows in a country or region, the Institute will establish chapters to carry its work locally: delivering CPD, convening members, and adapting engagement to national procurement and legal contexts, all within one continental standard. Chapters extend the Institute’s reach without fragmenting its credential. The certification, the code, and the register remain continental and central; local delivery is devolved.</w:t>
      </w:r>
    </w:p>
    <w:p>
      <w:pPr>
        <w:pStyle w:val="Heading2"/>
        <w:spacing w:after="120" w:before="260"/>
      </w:pPr>
      <w:r>
        <w:rPr>
          <w:rFonts w:ascii="Arial" w:cs="Arial" w:eastAsia="Arial" w:hAnsi="Arial"/>
          <w:b/>
          <w:bCs/>
          <w:color w:val="1A5C2A"/>
          <w:sz w:val="26"/>
          <w:szCs w:val="26"/>
        </w:rPr>
        <w:t xml:space="preserve">6.4  Independence safeguards</w:t>
      </w:r>
    </w:p>
    <w:p>
      <w:pPr>
        <w:spacing w:after="160" w:line="348"/>
        <w:jc w:val="both"/>
      </w:pPr>
      <w:r>
        <w:rPr>
          <w:rFonts w:ascii="Arial" w:cs="Arial" w:eastAsia="Arial" w:hAnsi="Arial"/>
          <w:color w:val="1A1A1A"/>
          <w:sz w:val="24"/>
          <w:szCs w:val="24"/>
        </w:rPr>
        <w:t xml:space="preserve">Because the Institute’s value rests entirely on trust in its impartiality, three safeguards are built into its governance from the outset:</w:t>
      </w:r>
    </w:p>
    <w:p>
      <w:pPr>
        <w:pStyle w:val="ListParagraph"/>
        <w:numPr>
          <w:ilvl w:val="0"/>
          <w:numId w:val="4"/>
        </w:numPr>
        <w:spacing w:after="100" w:line="348"/>
        <w:jc w:val="both"/>
      </w:pPr>
      <w:r>
        <w:rPr>
          <w:rFonts w:ascii="Arial" w:cs="Arial" w:eastAsia="Arial" w:hAnsi="Arial"/>
          <w:color w:val="1A1A1A"/>
          <w:sz w:val="24"/>
          <w:szCs w:val="24"/>
        </w:rPr>
        <w:t xml:space="preserve">Separation of powers. Those who set standards, those who certify against them, and those who discipline breaches sit in distinct committees with distinct memberships.</w:t>
      </w:r>
    </w:p>
    <w:p>
      <w:pPr>
        <w:pStyle w:val="ListParagraph"/>
        <w:numPr>
          <w:ilvl w:val="0"/>
          <w:numId w:val="4"/>
        </w:numPr>
        <w:spacing w:after="100" w:line="348"/>
        <w:jc w:val="both"/>
      </w:pPr>
      <w:r>
        <w:rPr>
          <w:rFonts w:ascii="Arial" w:cs="Arial" w:eastAsia="Arial" w:hAnsi="Arial"/>
          <w:color w:val="1A1A1A"/>
          <w:sz w:val="24"/>
          <w:szCs w:val="24"/>
        </w:rPr>
        <w:t xml:space="preserve">Conflict-of-interest discipline. Council and committee members declare interests and recuse themselves from any matter in which they are conflicted, under a policy the Institute publishes.</w:t>
      </w:r>
    </w:p>
    <w:p>
      <w:pPr>
        <w:pStyle w:val="ListParagraph"/>
        <w:numPr>
          <w:ilvl w:val="0"/>
          <w:numId w:val="4"/>
        </w:numPr>
        <w:spacing w:after="100" w:line="348"/>
        <w:jc w:val="both"/>
      </w:pPr>
      <w:r>
        <w:rPr>
          <w:rFonts w:ascii="Arial" w:cs="Arial" w:eastAsia="Arial" w:hAnsi="Arial"/>
          <w:color w:val="1A1A1A"/>
          <w:sz w:val="24"/>
          <w:szCs w:val="24"/>
        </w:rPr>
        <w:t xml:space="preserve">Transparency. The register of members, the code of conduct, the standards, and the outcomes of disciplinary process are matters of public record, subject only to due process and fairness to individuals.</w:t>
      </w:r>
    </w:p>
    <w:p>
      <w:r>
        <w:br w:type="page"/>
      </w:r>
    </w:p>
    <w:p>
      <w:pPr>
        <w:pStyle w:val="Heading1"/>
        <w:spacing w:after="160" w:before="320"/>
      </w:pPr>
      <w:r>
        <w:rPr>
          <w:rFonts w:ascii="Arial" w:cs="Arial" w:eastAsia="Arial" w:hAnsi="Arial"/>
          <w:b/>
          <w:bCs/>
          <w:color w:val="1A5C2A"/>
          <w:sz w:val="30"/>
          <w:szCs w:val="30"/>
        </w:rPr>
        <w:t xml:space="preserve">Part Seven  |  Standards and Professional Conduct</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The Institute maintains two instruments that together define what it means to practise under its name: a body of technical standards and a code of professional conduct. Membership is conditional on adherence to both, and the Institute’s disciplinary machinery exists to enforce them.</w:t>
      </w:r>
    </w:p>
    <w:p>
      <w:pPr>
        <w:pStyle w:val="Heading2"/>
        <w:spacing w:after="120" w:before="260"/>
      </w:pPr>
      <w:r>
        <w:rPr>
          <w:rFonts w:ascii="Arial" w:cs="Arial" w:eastAsia="Arial" w:hAnsi="Arial"/>
          <w:b/>
          <w:bCs/>
          <w:color w:val="1A5C2A"/>
          <w:sz w:val="26"/>
          <w:szCs w:val="26"/>
        </w:rPr>
        <w:t xml:space="preserve">7.1  Technical standards</w:t>
      </w:r>
    </w:p>
    <w:p>
      <w:pPr>
        <w:spacing w:after="160" w:line="348"/>
        <w:jc w:val="both"/>
      </w:pPr>
      <w:r>
        <w:rPr>
          <w:rFonts w:ascii="Arial" w:cs="Arial" w:eastAsia="Arial" w:hAnsi="Arial"/>
          <w:color w:val="1A1A1A"/>
          <w:sz w:val="24"/>
          <w:szCs w:val="24"/>
        </w:rPr>
        <w:t xml:space="preserve">The Institute’s technical standards set out how assurance and forensic work should be planned, conducted, evidenced, and reported. They give a member a defensible method and give a client a basis on which to rely on the member’s work. Standards are owned by the Standards and Ethics Committee, reviewed on a published cycle, and revised as practice and research advance.</w:t>
      </w:r>
    </w:p>
    <w:p>
      <w:pPr>
        <w:pStyle w:val="Heading2"/>
        <w:spacing w:after="120" w:before="260"/>
      </w:pPr>
      <w:r>
        <w:rPr>
          <w:rFonts w:ascii="Arial" w:cs="Arial" w:eastAsia="Arial" w:hAnsi="Arial"/>
          <w:b/>
          <w:bCs/>
          <w:color w:val="1A5C2A"/>
          <w:sz w:val="26"/>
          <w:szCs w:val="26"/>
        </w:rPr>
        <w:t xml:space="preserve">7.2  Code of professional conduct</w:t>
      </w:r>
    </w:p>
    <w:p>
      <w:pPr>
        <w:spacing w:after="160" w:line="348"/>
        <w:jc w:val="both"/>
      </w:pPr>
      <w:r>
        <w:rPr>
          <w:rFonts w:ascii="Arial" w:cs="Arial" w:eastAsia="Arial" w:hAnsi="Arial"/>
          <w:color w:val="1A1A1A"/>
          <w:sz w:val="24"/>
          <w:szCs w:val="24"/>
        </w:rPr>
        <w:t xml:space="preserve">The code binds every member. Its core duties reflect the values on which the Institute is founded:</w:t>
      </w:r>
    </w:p>
    <w:p>
      <w:pPr>
        <w:pStyle w:val="ListParagraph"/>
        <w:numPr>
          <w:ilvl w:val="0"/>
          <w:numId w:val="2"/>
        </w:numPr>
        <w:spacing w:after="100" w:line="348"/>
        <w:jc w:val="both"/>
      </w:pPr>
      <w:r>
        <w:rPr>
          <w:rFonts w:ascii="Arial" w:cs="Arial" w:eastAsia="Arial" w:hAnsi="Arial"/>
          <w:color w:val="1A1A1A"/>
          <w:sz w:val="24"/>
          <w:szCs w:val="24"/>
        </w:rPr>
        <w:t xml:space="preserve">To act with independence, and to decline or withdraw from work where independence cannot be maintained.</w:t>
      </w:r>
    </w:p>
    <w:p>
      <w:pPr>
        <w:pStyle w:val="ListParagraph"/>
        <w:numPr>
          <w:ilvl w:val="0"/>
          <w:numId w:val="2"/>
        </w:numPr>
        <w:spacing w:after="100" w:line="348"/>
        <w:jc w:val="both"/>
      </w:pPr>
      <w:r>
        <w:rPr>
          <w:rFonts w:ascii="Arial" w:cs="Arial" w:eastAsia="Arial" w:hAnsi="Arial"/>
          <w:color w:val="1A1A1A"/>
          <w:sz w:val="24"/>
          <w:szCs w:val="24"/>
        </w:rPr>
        <w:t xml:space="preserve">To opine only on what the evidence supports, and to state honestly the limits of that evidence.</w:t>
      </w:r>
    </w:p>
    <w:p>
      <w:pPr>
        <w:pStyle w:val="ListParagraph"/>
        <w:numPr>
          <w:ilvl w:val="0"/>
          <w:numId w:val="2"/>
        </w:numPr>
        <w:spacing w:after="100" w:line="348"/>
        <w:jc w:val="both"/>
      </w:pPr>
      <w:r>
        <w:rPr>
          <w:rFonts w:ascii="Arial" w:cs="Arial" w:eastAsia="Arial" w:hAnsi="Arial"/>
          <w:color w:val="1A1A1A"/>
          <w:sz w:val="24"/>
          <w:szCs w:val="24"/>
        </w:rPr>
        <w:t xml:space="preserve">To hold the public interest above private advantage where the two conflict.</w:t>
      </w:r>
    </w:p>
    <w:p>
      <w:pPr>
        <w:pStyle w:val="ListParagraph"/>
        <w:numPr>
          <w:ilvl w:val="0"/>
          <w:numId w:val="2"/>
        </w:numPr>
        <w:spacing w:after="100" w:line="348"/>
        <w:jc w:val="both"/>
      </w:pPr>
      <w:r>
        <w:rPr>
          <w:rFonts w:ascii="Arial" w:cs="Arial" w:eastAsia="Arial" w:hAnsi="Arial"/>
          <w:color w:val="1A1A1A"/>
          <w:sz w:val="24"/>
          <w:szCs w:val="24"/>
        </w:rPr>
        <w:t xml:space="preserve">To maintain competence, and to practise only within it.</w:t>
      </w:r>
    </w:p>
    <w:p>
      <w:pPr>
        <w:pStyle w:val="ListParagraph"/>
        <w:numPr>
          <w:ilvl w:val="0"/>
          <w:numId w:val="2"/>
        </w:numPr>
        <w:spacing w:after="100" w:line="348"/>
        <w:jc w:val="both"/>
      </w:pPr>
      <w:r>
        <w:rPr>
          <w:rFonts w:ascii="Arial" w:cs="Arial" w:eastAsia="Arial" w:hAnsi="Arial"/>
          <w:color w:val="1A1A1A"/>
          <w:sz w:val="24"/>
          <w:szCs w:val="24"/>
        </w:rPr>
        <w:t xml:space="preserve">To handle confidential and sensitive information with the care it demands.</w:t>
      </w:r>
    </w:p>
    <w:p>
      <w:pPr>
        <w:pStyle w:val="ListParagraph"/>
        <w:numPr>
          <w:ilvl w:val="0"/>
          <w:numId w:val="2"/>
        </w:numPr>
        <w:spacing w:after="100" w:line="348"/>
        <w:jc w:val="both"/>
      </w:pPr>
      <w:r>
        <w:rPr>
          <w:rFonts w:ascii="Arial" w:cs="Arial" w:eastAsia="Arial" w:hAnsi="Arial"/>
          <w:color w:val="1A1A1A"/>
          <w:sz w:val="24"/>
          <w:szCs w:val="24"/>
        </w:rPr>
        <w:t xml:space="preserve">To bring no discredit on the profession by conduct inside or outside professional work.</w:t>
      </w:r>
    </w:p>
    <w:p>
      <w:pPr>
        <w:pStyle w:val="Heading2"/>
        <w:spacing w:after="120" w:before="260"/>
      </w:pPr>
      <w:r>
        <w:rPr>
          <w:rFonts w:ascii="Arial" w:cs="Arial" w:eastAsia="Arial" w:hAnsi="Arial"/>
          <w:b/>
          <w:bCs/>
          <w:color w:val="1A5C2A"/>
          <w:sz w:val="26"/>
          <w:szCs w:val="26"/>
        </w:rPr>
        <w:t xml:space="preserve">7.3  Discipline</w:t>
      </w:r>
    </w:p>
    <w:p>
      <w:pPr>
        <w:spacing w:after="160" w:line="348"/>
        <w:jc w:val="both"/>
      </w:pPr>
      <w:r>
        <w:rPr>
          <w:rFonts w:ascii="Arial" w:cs="Arial" w:eastAsia="Arial" w:hAnsi="Arial"/>
          <w:color w:val="1A1A1A"/>
          <w:sz w:val="24"/>
          <w:szCs w:val="24"/>
        </w:rPr>
        <w:t xml:space="preserve">A credential is only as strong as the willingness to withdraw it. The Institute investigates complaints against members through the Professional Conduct and Disciplinary Committee, under a published procedure that guarantees a fair hearing and a right of appeal. Sanctions range from advice and reprimand to suspension and, in the gravest cases, removal from the register and loss of the right to practise under the Institute’s designations. Disciplinary outcomes are, subject to fairness, a matter of record.</w:t>
      </w:r>
    </w:p>
    <w:p>
      <w:r>
        <w:br w:type="page"/>
      </w:r>
    </w:p>
    <w:p>
      <w:pPr>
        <w:pStyle w:val="Heading1"/>
        <w:spacing w:after="160" w:before="320"/>
      </w:pPr>
      <w:r>
        <w:rPr>
          <w:rFonts w:ascii="Arial" w:cs="Arial" w:eastAsia="Arial" w:hAnsi="Arial"/>
          <w:b/>
          <w:bCs/>
          <w:color w:val="1A5C2A"/>
          <w:sz w:val="30"/>
          <w:szCs w:val="30"/>
        </w:rPr>
        <w:t xml:space="preserve">Part Eight  |  Establishment Roadmap</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The Institute will be built in phases. The standard and the governance come first, then the credential, then scale. Reaching for continental scale before the foundations are sound would cost more in lasting authority than it would gain in early visibility.</w:t>
      </w:r>
    </w:p>
    <w:p>
      <w:pPr>
        <w:pStyle w:val="Heading2"/>
        <w:spacing w:after="120" w:before="260"/>
      </w:pPr>
      <w:r>
        <w:rPr>
          <w:rFonts w:ascii="Arial" w:cs="Arial" w:eastAsia="Arial" w:hAnsi="Arial"/>
          <w:b/>
          <w:bCs/>
          <w:color w:val="1A5C2A"/>
          <w:sz w:val="26"/>
          <w:szCs w:val="26"/>
        </w:rPr>
        <w:t xml:space="preserve">Phase One  |  Foundation</w:t>
      </w:r>
    </w:p>
    <w:p>
      <w:pPr>
        <w:pStyle w:val="ListParagraph"/>
        <w:numPr>
          <w:ilvl w:val="0"/>
          <w:numId w:val="2"/>
        </w:numPr>
        <w:spacing w:after="100" w:line="348"/>
        <w:jc w:val="both"/>
      </w:pPr>
      <w:r>
        <w:rPr>
          <w:rFonts w:ascii="Arial" w:cs="Arial" w:eastAsia="Arial" w:hAnsi="Arial"/>
          <w:color w:val="1A1A1A"/>
          <w:sz w:val="24"/>
          <w:szCs w:val="24"/>
        </w:rPr>
        <w:t xml:space="preserve">Incorporate the Institute and adopt its constitution and governing instruments.</w:t>
      </w:r>
    </w:p>
    <w:p>
      <w:pPr>
        <w:pStyle w:val="ListParagraph"/>
        <w:numPr>
          <w:ilvl w:val="0"/>
          <w:numId w:val="2"/>
        </w:numPr>
        <w:spacing w:after="100" w:line="348"/>
        <w:jc w:val="both"/>
      </w:pPr>
      <w:r>
        <w:rPr>
          <w:rFonts w:ascii="Arial" w:cs="Arial" w:eastAsia="Arial" w:hAnsi="Arial"/>
          <w:color w:val="1A1A1A"/>
          <w:sz w:val="24"/>
          <w:szCs w:val="24"/>
        </w:rPr>
        <w:t xml:space="preserve">Constitute the interim Governing Council and the core committees.</w:t>
      </w:r>
    </w:p>
    <w:p>
      <w:pPr>
        <w:pStyle w:val="ListParagraph"/>
        <w:numPr>
          <w:ilvl w:val="0"/>
          <w:numId w:val="2"/>
        </w:numPr>
        <w:spacing w:after="100" w:line="348"/>
        <w:jc w:val="both"/>
      </w:pPr>
      <w:r>
        <w:rPr>
          <w:rFonts w:ascii="Arial" w:cs="Arial" w:eastAsia="Arial" w:hAnsi="Arial"/>
          <w:color w:val="1A1A1A"/>
          <w:sz w:val="24"/>
          <w:szCs w:val="24"/>
        </w:rPr>
        <w:t xml:space="preserve">Publish the body of knowledge, the technical standards, and the code of professional conduct.</w:t>
      </w:r>
    </w:p>
    <w:p>
      <w:pPr>
        <w:pStyle w:val="ListParagraph"/>
        <w:numPr>
          <w:ilvl w:val="0"/>
          <w:numId w:val="2"/>
        </w:numPr>
        <w:spacing w:after="100" w:line="348"/>
        <w:jc w:val="both"/>
      </w:pPr>
      <w:r>
        <w:rPr>
          <w:rFonts w:ascii="Arial" w:cs="Arial" w:eastAsia="Arial" w:hAnsi="Arial"/>
          <w:color w:val="1A1A1A"/>
          <w:sz w:val="24"/>
          <w:szCs w:val="24"/>
        </w:rPr>
        <w:t xml:space="preserve">Design the three-track credential, the syllabus, and the examination framework.</w:t>
      </w:r>
    </w:p>
    <w:p>
      <w:pPr>
        <w:pStyle w:val="Heading2"/>
        <w:spacing w:after="120" w:before="260"/>
      </w:pPr>
      <w:r>
        <w:rPr>
          <w:rFonts w:ascii="Arial" w:cs="Arial" w:eastAsia="Arial" w:hAnsi="Arial"/>
          <w:b/>
          <w:bCs/>
          <w:color w:val="1A5C2A"/>
          <w:sz w:val="26"/>
          <w:szCs w:val="26"/>
        </w:rPr>
        <w:t xml:space="preserve">Phase Two  |  Credential and founding cohort</w:t>
      </w:r>
    </w:p>
    <w:p>
      <w:pPr>
        <w:pStyle w:val="ListParagraph"/>
        <w:numPr>
          <w:ilvl w:val="0"/>
          <w:numId w:val="2"/>
        </w:numPr>
        <w:spacing w:after="100" w:line="348"/>
        <w:jc w:val="both"/>
      </w:pPr>
      <w:r>
        <w:rPr>
          <w:rFonts w:ascii="Arial" w:cs="Arial" w:eastAsia="Arial" w:hAnsi="Arial"/>
          <w:color w:val="1A1A1A"/>
          <w:sz w:val="24"/>
          <w:szCs w:val="24"/>
        </w:rPr>
        <w:t xml:space="preserve">Open founding membership and admit a first cohort by assessed experience and examination.</w:t>
      </w:r>
    </w:p>
    <w:p>
      <w:pPr>
        <w:pStyle w:val="ListParagraph"/>
        <w:numPr>
          <w:ilvl w:val="0"/>
          <w:numId w:val="2"/>
        </w:numPr>
        <w:spacing w:after="100" w:line="348"/>
        <w:jc w:val="both"/>
      </w:pPr>
      <w:r>
        <w:rPr>
          <w:rFonts w:ascii="Arial" w:cs="Arial" w:eastAsia="Arial" w:hAnsi="Arial"/>
          <w:color w:val="1A1A1A"/>
          <w:sz w:val="24"/>
          <w:szCs w:val="24"/>
        </w:rPr>
        <w:t xml:space="preserve">Deliver the first examinations for CPMP, CPAP, and CPFE.</w:t>
      </w:r>
    </w:p>
    <w:p>
      <w:pPr>
        <w:pStyle w:val="ListParagraph"/>
        <w:numPr>
          <w:ilvl w:val="0"/>
          <w:numId w:val="2"/>
        </w:numPr>
        <w:spacing w:after="100" w:line="348"/>
        <w:jc w:val="both"/>
      </w:pPr>
      <w:r>
        <w:rPr>
          <w:rFonts w:ascii="Arial" w:cs="Arial" w:eastAsia="Arial" w:hAnsi="Arial"/>
          <w:color w:val="1A1A1A"/>
          <w:sz w:val="24"/>
          <w:szCs w:val="24"/>
        </w:rPr>
        <w:t xml:space="preserve">Establish the public register and the CPD framework.</w:t>
      </w:r>
    </w:p>
    <w:p>
      <w:pPr>
        <w:pStyle w:val="ListParagraph"/>
        <w:numPr>
          <w:ilvl w:val="0"/>
          <w:numId w:val="2"/>
        </w:numPr>
        <w:spacing w:after="100" w:line="348"/>
        <w:jc w:val="both"/>
      </w:pPr>
      <w:r>
        <w:rPr>
          <w:rFonts w:ascii="Arial" w:cs="Arial" w:eastAsia="Arial" w:hAnsi="Arial"/>
          <w:color w:val="1A1A1A"/>
          <w:sz w:val="24"/>
          <w:szCs w:val="24"/>
        </w:rPr>
        <w:t xml:space="preserve">Begin the Institute’s research and publication programme.</w:t>
      </w:r>
    </w:p>
    <w:p>
      <w:pPr>
        <w:pStyle w:val="Heading2"/>
        <w:spacing w:after="120" w:before="260"/>
      </w:pPr>
      <w:r>
        <w:rPr>
          <w:rFonts w:ascii="Arial" w:cs="Arial" w:eastAsia="Arial" w:hAnsi="Arial"/>
          <w:b/>
          <w:bCs/>
          <w:color w:val="1A5C2A"/>
          <w:sz w:val="26"/>
          <w:szCs w:val="26"/>
        </w:rPr>
        <w:t xml:space="preserve">Phase Three  |  Recognition and reach</w:t>
      </w:r>
    </w:p>
    <w:p>
      <w:pPr>
        <w:pStyle w:val="ListParagraph"/>
        <w:numPr>
          <w:ilvl w:val="0"/>
          <w:numId w:val="2"/>
        </w:numPr>
        <w:spacing w:after="100" w:line="348"/>
        <w:jc w:val="both"/>
      </w:pPr>
      <w:r>
        <w:rPr>
          <w:rFonts w:ascii="Arial" w:cs="Arial" w:eastAsia="Arial" w:hAnsi="Arial"/>
          <w:color w:val="1A1A1A"/>
          <w:sz w:val="24"/>
          <w:szCs w:val="24"/>
        </w:rPr>
        <w:t xml:space="preserve">Pursue formal recognition and partnership with governments, financiers, and cognate professional bodies.</w:t>
      </w:r>
    </w:p>
    <w:p>
      <w:pPr>
        <w:pStyle w:val="ListParagraph"/>
        <w:numPr>
          <w:ilvl w:val="0"/>
          <w:numId w:val="2"/>
        </w:numPr>
        <w:spacing w:after="100" w:line="348"/>
        <w:jc w:val="both"/>
      </w:pPr>
      <w:r>
        <w:rPr>
          <w:rFonts w:ascii="Arial" w:cs="Arial" w:eastAsia="Arial" w:hAnsi="Arial"/>
          <w:b/>
          <w:bCs/>
          <w:color w:val="C47B0B"/>
          <w:sz w:val="24"/>
          <w:szCs w:val="24"/>
        </w:rPr>
        <w:t xml:space="preserve">Pursue statutory recognition and chartering authority</w:t>
      </w:r>
      <w:r>
        <w:rPr>
          <w:rFonts w:ascii="Arial" w:cs="Arial" w:eastAsia="Arial" w:hAnsi="Arial"/>
          <w:color w:val="1A1A1A"/>
          <w:sz w:val="24"/>
          <w:szCs w:val="24"/>
        </w:rPr>
        <w:t xml:space="preserve">, the milestone that unlocks the Institute’s Chartered designations and elevates the senior tier of the profession.</w:t>
      </w:r>
    </w:p>
    <w:p>
      <w:pPr>
        <w:pStyle w:val="ListParagraph"/>
        <w:numPr>
          <w:ilvl w:val="0"/>
          <w:numId w:val="2"/>
        </w:numPr>
        <w:spacing w:after="100" w:line="348"/>
        <w:jc w:val="both"/>
      </w:pPr>
      <w:r>
        <w:rPr>
          <w:rFonts w:ascii="Arial" w:cs="Arial" w:eastAsia="Arial" w:hAnsi="Arial"/>
          <w:color w:val="1A1A1A"/>
          <w:sz w:val="24"/>
          <w:szCs w:val="24"/>
        </w:rPr>
        <w:t xml:space="preserve">Promote the adoption of independent project assurance in public procurement and project finance.</w:t>
      </w:r>
    </w:p>
    <w:p>
      <w:pPr>
        <w:pStyle w:val="ListParagraph"/>
        <w:numPr>
          <w:ilvl w:val="0"/>
          <w:numId w:val="2"/>
        </w:numPr>
        <w:spacing w:after="100" w:line="348"/>
        <w:jc w:val="both"/>
      </w:pPr>
      <w:r>
        <w:rPr>
          <w:rFonts w:ascii="Arial" w:cs="Arial" w:eastAsia="Arial" w:hAnsi="Arial"/>
          <w:color w:val="1A1A1A"/>
          <w:sz w:val="24"/>
          <w:szCs w:val="24"/>
        </w:rPr>
        <w:t xml:space="preserve">Establish the first continental chapters.</w:t>
      </w:r>
    </w:p>
    <w:p>
      <w:pPr>
        <w:pStyle w:val="ListParagraph"/>
        <w:numPr>
          <w:ilvl w:val="0"/>
          <w:numId w:val="2"/>
        </w:numPr>
        <w:spacing w:after="100" w:line="348"/>
        <w:jc w:val="both"/>
      </w:pPr>
      <w:r>
        <w:rPr>
          <w:rFonts w:ascii="Arial" w:cs="Arial" w:eastAsia="Arial" w:hAnsi="Arial"/>
          <w:color w:val="1A1A1A"/>
          <w:sz w:val="24"/>
          <w:szCs w:val="24"/>
        </w:rPr>
        <w:t xml:space="preserve">Position the Institute as the recognised source of expertise for project investigation and dispute.</w:t>
      </w:r>
    </w:p>
    <w:p>
      <w:pPr>
        <w:pStyle w:val="Heading2"/>
        <w:spacing w:after="120" w:before="260"/>
      </w:pPr>
      <w:r>
        <w:rPr>
          <w:rFonts w:ascii="Arial" w:cs="Arial" w:eastAsia="Arial" w:hAnsi="Arial"/>
          <w:b/>
          <w:bCs/>
          <w:color w:val="1A5C2A"/>
          <w:sz w:val="26"/>
          <w:szCs w:val="26"/>
        </w:rPr>
        <w:t xml:space="preserve">8.1  Sustainability</w:t>
      </w:r>
    </w:p>
    <w:p>
      <w:pPr>
        <w:spacing w:after="160" w:line="348"/>
        <w:jc w:val="both"/>
      </w:pPr>
      <w:r>
        <w:rPr>
          <w:rFonts w:ascii="Arial" w:cs="Arial" w:eastAsia="Arial" w:hAnsi="Arial"/>
          <w:color w:val="1A1A1A"/>
          <w:sz w:val="24"/>
          <w:szCs w:val="24"/>
        </w:rPr>
        <w:t xml:space="preserve">The Institute is constituted as a not-for-profit professional body. Its work is funded by membership subscriptions, examination and certification fees, accredited education and CPD, research and publication, and by partnership with institutions that share its purpose. Surpluses are applied to the Institute’s objects and to the standing of the profession, not distributed. The Finance and Audit Committee holds the Institute to the financial standard it expects of others.</w:t>
      </w:r>
    </w:p>
    <w:p>
      <w:r>
        <w:br w:type="page"/>
      </w:r>
    </w:p>
    <w:p>
      <w:pPr>
        <w:pStyle w:val="Heading1"/>
        <w:spacing w:after="160" w:before="320"/>
      </w:pPr>
      <w:r>
        <w:rPr>
          <w:rFonts w:ascii="Arial" w:cs="Arial" w:eastAsia="Arial" w:hAnsi="Arial"/>
          <w:b/>
          <w:bCs/>
          <w:color w:val="1A5C2A"/>
          <w:sz w:val="30"/>
          <w:szCs w:val="30"/>
        </w:rPr>
        <w:t xml:space="preserve">Part Nine  |  The Founding Members</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The Institute was founded by a group drawn from the academic and professional community in Ghana, brought together by a shared conviction that Africa needs a professional body of its own for the delivery, assurance, and forensic examination of projects. Under the Constitution, the founding members constitute the inaugural Council of the Institute, and hold office until its first annual general meeting, at which the Council is elected.</w:t>
      </w:r>
    </w:p>
    <w:p>
      <w:pPr>
        <w:spacing w:after="160" w:line="348"/>
        <w:jc w:val="both"/>
      </w:pPr>
      <w:r>
        <w:rPr>
          <w:rFonts w:ascii="Arial" w:cs="Arial" w:eastAsia="Arial" w:hAnsi="Arial"/>
          <w:color w:val="1A1A1A"/>
          <w:sz w:val="24"/>
          <w:szCs w:val="24"/>
        </w:rPr>
        <w:t xml:space="preserve">The founding members are:</w:t>
      </w:r>
    </w:p>
    <w:p>
      <w:pPr>
        <w:spacing w:after="120" w:line="344"/>
        <w:jc w:val="both"/>
      </w:pPr>
      <w:r>
        <w:rPr>
          <w:rFonts w:ascii="Arial" w:cs="Arial" w:eastAsia="Arial" w:hAnsi="Arial"/>
          <w:b/>
          <w:bCs/>
          <w:color w:val="1A5C2A"/>
          <w:sz w:val="24"/>
          <w:szCs w:val="24"/>
        </w:rPr>
        <w:t xml:space="preserve">Prof. De-Graft Owusu-Manu, Founder.  </w:t>
      </w:r>
      <w:r>
        <w:rPr>
          <w:rFonts w:ascii="Arial" w:cs="Arial" w:eastAsia="Arial" w:hAnsi="Arial"/>
          <w:color w:val="1A1A1A"/>
          <w:sz w:val="24"/>
          <w:szCs w:val="24"/>
        </w:rPr>
        <w:t xml:space="preserve">Department of Construction Technology and Management, Kwame Nkrumah University of Science and Technology (KNUST), Kumasi.</w:t>
      </w:r>
    </w:p>
    <w:p>
      <w:pPr>
        <w:spacing w:after="120" w:line="344"/>
        <w:jc w:val="both"/>
      </w:pPr>
      <w:r>
        <w:rPr>
          <w:rFonts w:ascii="Arial" w:cs="Arial" w:eastAsia="Arial" w:hAnsi="Arial"/>
          <w:b/>
          <w:bCs/>
          <w:color w:val="1A5C2A"/>
          <w:sz w:val="24"/>
          <w:szCs w:val="24"/>
        </w:rPr>
        <w:t xml:space="preserve">Prof. Ernest Ofori Asamoah.  </w:t>
      </w:r>
      <w:r>
        <w:rPr>
          <w:rFonts w:ascii="Arial" w:cs="Arial" w:eastAsia="Arial" w:hAnsi="Arial"/>
          <w:color w:val="1A1A1A"/>
          <w:sz w:val="24"/>
          <w:szCs w:val="24"/>
        </w:rPr>
        <w:t xml:space="preserve">Kwame Nkrumah University of Science and Technology (KNUST), Kumasi.</w:t>
      </w:r>
    </w:p>
    <w:p>
      <w:pPr>
        <w:spacing w:after="120" w:line="344"/>
        <w:jc w:val="both"/>
      </w:pPr>
      <w:r>
        <w:rPr>
          <w:rFonts w:ascii="Arial" w:cs="Arial" w:eastAsia="Arial" w:hAnsi="Arial"/>
          <w:b/>
          <w:bCs/>
          <w:color w:val="1A5C2A"/>
          <w:sz w:val="24"/>
          <w:szCs w:val="24"/>
        </w:rPr>
        <w:t xml:space="preserve">Prof. Joshua Ayarkwa.  </w:t>
      </w:r>
      <w:r>
        <w:rPr>
          <w:rFonts w:ascii="Arial" w:cs="Arial" w:eastAsia="Arial" w:hAnsi="Arial"/>
          <w:color w:val="1A1A1A"/>
          <w:sz w:val="24"/>
          <w:szCs w:val="24"/>
        </w:rPr>
        <w:t xml:space="preserve">Department of Construction Technology and Management, Kwame Nkrumah University of Science and Technology (KNUST), Kumasi.</w:t>
      </w:r>
    </w:p>
    <w:p>
      <w:pPr>
        <w:spacing w:after="120" w:line="344"/>
        <w:jc w:val="both"/>
      </w:pPr>
      <w:r>
        <w:rPr>
          <w:rFonts w:ascii="Arial" w:cs="Arial" w:eastAsia="Arial" w:hAnsi="Arial"/>
          <w:b/>
          <w:bCs/>
          <w:color w:val="1A5C2A"/>
          <w:sz w:val="24"/>
          <w:szCs w:val="24"/>
        </w:rPr>
        <w:t xml:space="preserve">Prof. Theophilus Adjei Kumi.  </w:t>
      </w:r>
      <w:r>
        <w:rPr>
          <w:rFonts w:ascii="Arial" w:cs="Arial" w:eastAsia="Arial" w:hAnsi="Arial"/>
          <w:color w:val="1A1A1A"/>
          <w:sz w:val="24"/>
          <w:szCs w:val="24"/>
        </w:rPr>
        <w:t xml:space="preserve">Department of Publishing Studies, Kwame Nkrumah University of Science and Technology (KNUST), Kumasi.</w:t>
      </w:r>
    </w:p>
    <w:p>
      <w:pPr>
        <w:spacing w:after="120" w:line="344"/>
        <w:jc w:val="both"/>
      </w:pPr>
      <w:r>
        <w:rPr>
          <w:rFonts w:ascii="Arial" w:cs="Arial" w:eastAsia="Arial" w:hAnsi="Arial"/>
          <w:b/>
          <w:bCs/>
          <w:color w:val="1A5C2A"/>
          <w:sz w:val="24"/>
          <w:szCs w:val="24"/>
        </w:rPr>
        <w:t xml:space="preserve">Dr. (Mrs) Maame Adwoa Ivy Abu.  </w:t>
      </w:r>
      <w:r>
        <w:rPr>
          <w:rFonts w:ascii="Arial" w:cs="Arial" w:eastAsia="Arial" w:hAnsi="Arial"/>
          <w:color w:val="1A1A1A"/>
          <w:sz w:val="24"/>
          <w:szCs w:val="24"/>
        </w:rPr>
        <w:t xml:space="preserve">Department of Construction Technology and Management, Kwame Nkrumah University of Science and Technology (KNUST), Kumasi.</w:t>
      </w:r>
    </w:p>
    <w:p>
      <w:pPr>
        <w:spacing w:after="120" w:line="344"/>
        <w:jc w:val="both"/>
      </w:pPr>
      <w:r>
        <w:rPr>
          <w:rFonts w:ascii="Arial" w:cs="Arial" w:eastAsia="Arial" w:hAnsi="Arial"/>
          <w:b/>
          <w:bCs/>
          <w:color w:val="1A5C2A"/>
          <w:sz w:val="24"/>
          <w:szCs w:val="24"/>
        </w:rPr>
        <w:t xml:space="preserve">Dr. Michael Adesi.  </w:t>
      </w:r>
      <w:r>
        <w:rPr>
          <w:rFonts w:ascii="Arial" w:cs="Arial" w:eastAsia="Arial" w:hAnsi="Arial"/>
          <w:color w:val="1A1A1A"/>
          <w:sz w:val="24"/>
          <w:szCs w:val="24"/>
        </w:rPr>
        <w:t xml:space="preserve">Department of Construction Technology and Management, Kwame Nkrumah University of Science and Technology (KNUST), Kumasi.</w:t>
      </w:r>
    </w:p>
    <w:p>
      <w:pPr>
        <w:spacing w:after="120" w:line="344"/>
        <w:jc w:val="both"/>
      </w:pPr>
      <w:r>
        <w:rPr>
          <w:rFonts w:ascii="Arial" w:cs="Arial" w:eastAsia="Arial" w:hAnsi="Arial"/>
          <w:b/>
          <w:bCs/>
          <w:color w:val="1A5C2A"/>
          <w:sz w:val="24"/>
          <w:szCs w:val="24"/>
        </w:rPr>
        <w:t xml:space="preserve">Mrs Matilda Owusu-Manu, Secretary.  </w:t>
      </w:r>
      <w:r>
        <w:rPr>
          <w:rFonts w:ascii="Arial" w:cs="Arial" w:eastAsia="Arial" w:hAnsi="Arial"/>
          <w:color w:val="1A1A1A"/>
          <w:sz w:val="24"/>
          <w:szCs w:val="24"/>
        </w:rPr>
        <w:t xml:space="preserve">Company Secretary to the Institute.</w:t>
      </w:r>
    </w:p>
    <w:p>
      <w:pPr>
        <w:spacing w:after="160" w:line="348"/>
        <w:jc w:val="both"/>
      </w:pPr>
      <w:r>
        <w:rPr>
          <w:rFonts w:ascii="Arial" w:cs="Arial" w:eastAsia="Arial" w:hAnsi="Arial"/>
          <w:color w:val="1A1A1A"/>
          <w:sz w:val="24"/>
          <w:szCs w:val="24"/>
        </w:rPr>
        <w:t xml:space="preserve">Together the founding members carry the responsibility of establishing the Institute on a sound footing, adopting its founding instruments, and appointing its first office holders, so that the Institute can open its membership and begin the work it was founded to do.</w:t>
      </w:r>
    </w:p>
    <w:p>
      <w:r>
        <w:br w:type="page"/>
      </w:r>
    </w:p>
    <w:p>
      <w:pPr>
        <w:pStyle w:val="Heading1"/>
        <w:spacing w:after="160" w:before="320"/>
      </w:pPr>
      <w:r>
        <w:rPr>
          <w:rFonts w:ascii="Arial" w:cs="Arial" w:eastAsia="Arial" w:hAnsi="Arial"/>
          <w:b/>
          <w:bCs/>
          <w:color w:val="1A5C2A"/>
          <w:sz w:val="30"/>
          <w:szCs w:val="30"/>
        </w:rPr>
        <w:t xml:space="preserve">Part Ten  |  Membership Prospectus</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Membership of the Institute is an invitation to be recognised for competence that meets a standard built for African practice, and to help shape a profession while it is still being formed. This prospectus sets out who the Institute is for, what membership offers, and how to join.</w:t>
      </w:r>
    </w:p>
    <w:p>
      <w:pPr>
        <w:spacing w:after="160" w:line="348"/>
        <w:jc w:val="both"/>
      </w:pPr>
      <w:r>
        <w:rPr>
          <w:rFonts w:ascii="Arial" w:cs="Arial" w:eastAsia="Arial" w:hAnsi="Arial"/>
          <w:color w:val="1A1A1A"/>
          <w:sz w:val="24"/>
          <w:szCs w:val="24"/>
        </w:rPr>
        <w:t xml:space="preserve">The Institute is for the professionals whose work touches the delivery, assurance, or investigation of projects. That includes the project managers, engineers, quantity surveyors, architects, and builders who deliver; the auditors, reviewers, and advisers who assure; and the forensic accountants, lawyers, and expert examiners who investigate when projects fail. It is equally for the academics who teach these disciplines and the students who will practise them next.</w:t>
      </w:r>
    </w:p>
    <w:p>
      <w:pPr>
        <w:spacing w:after="160" w:line="348"/>
        <w:jc w:val="both"/>
      </w:pPr>
      <w:r>
        <w:rPr>
          <w:rFonts w:ascii="Arial" w:cs="Arial" w:eastAsia="Arial" w:hAnsi="Arial"/>
          <w:color w:val="1A1A1A"/>
          <w:sz w:val="24"/>
          <w:szCs w:val="24"/>
        </w:rPr>
        <w:t xml:space="preserve">Membership offers, according to grade:</w:t>
      </w:r>
    </w:p>
    <w:p>
      <w:pPr>
        <w:pStyle w:val="ListParagraph"/>
        <w:numPr>
          <w:ilvl w:val="0"/>
          <w:numId w:val="2"/>
        </w:numPr>
        <w:spacing w:after="100" w:line="348"/>
        <w:jc w:val="both"/>
      </w:pPr>
      <w:r>
        <w:rPr>
          <w:rFonts w:ascii="Arial" w:cs="Arial" w:eastAsia="Arial" w:hAnsi="Arial"/>
          <w:b/>
          <w:bCs/>
          <w:color w:val="C47B0B"/>
          <w:sz w:val="24"/>
          <w:szCs w:val="24"/>
        </w:rPr>
        <w:t xml:space="preserve">A recognised professional designation. </w:t>
      </w:r>
      <w:r>
        <w:rPr>
          <w:rFonts w:ascii="Arial" w:cs="Arial" w:eastAsia="Arial" w:hAnsi="Arial"/>
          <w:color w:val="1A1A1A"/>
          <w:sz w:val="24"/>
          <w:szCs w:val="24"/>
        </w:rPr>
        <w:t xml:space="preserve">The CPMP, CPAP, or CPFE, and the standing each carries with clients, employers, and funders.</w:t>
      </w:r>
    </w:p>
    <w:p>
      <w:pPr>
        <w:pStyle w:val="ListParagraph"/>
        <w:numPr>
          <w:ilvl w:val="0"/>
          <w:numId w:val="2"/>
        </w:numPr>
        <w:spacing w:after="100" w:line="348"/>
        <w:jc w:val="both"/>
      </w:pPr>
      <w:r>
        <w:rPr>
          <w:rFonts w:ascii="Arial" w:cs="Arial" w:eastAsia="Arial" w:hAnsi="Arial"/>
          <w:b/>
          <w:bCs/>
          <w:color w:val="C47B0B"/>
          <w:sz w:val="24"/>
          <w:szCs w:val="24"/>
        </w:rPr>
        <w:t xml:space="preserve">Certification against a relevant standard. </w:t>
      </w:r>
      <w:r>
        <w:rPr>
          <w:rFonts w:ascii="Arial" w:cs="Arial" w:eastAsia="Arial" w:hAnsi="Arial"/>
          <w:color w:val="1A1A1A"/>
          <w:sz w:val="24"/>
          <w:szCs w:val="24"/>
        </w:rPr>
        <w:t xml:space="preserve">A qualification built for the conditions African projects are actually delivered in, rather than imported wholesale from elsewhere.</w:t>
      </w:r>
    </w:p>
    <w:p>
      <w:pPr>
        <w:pStyle w:val="ListParagraph"/>
        <w:numPr>
          <w:ilvl w:val="0"/>
          <w:numId w:val="2"/>
        </w:numPr>
        <w:spacing w:after="100" w:line="348"/>
        <w:jc w:val="both"/>
      </w:pPr>
      <w:r>
        <w:rPr>
          <w:rFonts w:ascii="Arial" w:cs="Arial" w:eastAsia="Arial" w:hAnsi="Arial"/>
          <w:b/>
          <w:bCs/>
          <w:color w:val="C47B0B"/>
          <w:sz w:val="24"/>
          <w:szCs w:val="24"/>
        </w:rPr>
        <w:t xml:space="preserve">Access to knowledge and development. </w:t>
      </w:r>
      <w:r>
        <w:rPr>
          <w:rFonts w:ascii="Arial" w:cs="Arial" w:eastAsia="Arial" w:hAnsi="Arial"/>
          <w:color w:val="1A1A1A"/>
          <w:sz w:val="24"/>
          <w:szCs w:val="24"/>
        </w:rPr>
        <w:t xml:space="preserve">The Institute’s bodies of knowledge, its examinations, and its continuing professional development.</w:t>
      </w:r>
    </w:p>
    <w:p>
      <w:pPr>
        <w:pStyle w:val="ListParagraph"/>
        <w:numPr>
          <w:ilvl w:val="0"/>
          <w:numId w:val="2"/>
        </w:numPr>
        <w:spacing w:after="100" w:line="348"/>
        <w:jc w:val="both"/>
      </w:pPr>
      <w:r>
        <w:rPr>
          <w:rFonts w:ascii="Arial" w:cs="Arial" w:eastAsia="Arial" w:hAnsi="Arial"/>
          <w:b/>
          <w:bCs/>
          <w:color w:val="C47B0B"/>
          <w:sz w:val="24"/>
          <w:szCs w:val="24"/>
        </w:rPr>
        <w:t xml:space="preserve">A place in the profession. </w:t>
      </w:r>
      <w:r>
        <w:rPr>
          <w:rFonts w:ascii="Arial" w:cs="Arial" w:eastAsia="Arial" w:hAnsi="Arial"/>
          <w:color w:val="1A1A1A"/>
          <w:sz w:val="24"/>
          <w:szCs w:val="24"/>
        </w:rPr>
        <w:t xml:space="preserve">Membership of a community of practitioners, and a voice in a profession being built.</w:t>
      </w:r>
    </w:p>
    <w:p>
      <w:pPr>
        <w:pStyle w:val="ListParagraph"/>
        <w:numPr>
          <w:ilvl w:val="0"/>
          <w:numId w:val="2"/>
        </w:numPr>
        <w:spacing w:after="100" w:line="348"/>
        <w:jc w:val="both"/>
      </w:pPr>
      <w:r>
        <w:rPr>
          <w:rFonts w:ascii="Arial" w:cs="Arial" w:eastAsia="Arial" w:hAnsi="Arial"/>
          <w:b/>
          <w:bCs/>
          <w:color w:val="C47B0B"/>
          <w:sz w:val="24"/>
          <w:szCs w:val="24"/>
        </w:rPr>
        <w:t xml:space="preserve">For early members, a founding distinction. </w:t>
      </w:r>
      <w:r>
        <w:rPr>
          <w:rFonts w:ascii="Arial" w:cs="Arial" w:eastAsia="Arial" w:hAnsi="Arial"/>
          <w:color w:val="1A1A1A"/>
          <w:sz w:val="24"/>
          <w:szCs w:val="24"/>
        </w:rPr>
        <w:t xml:space="preserve">Recognition as part of the founding cohort that helped to establish the profession.</w:t>
      </w:r>
    </w:p>
    <w:p>
      <w:pPr>
        <w:spacing w:after="160" w:line="348"/>
        <w:jc w:val="both"/>
      </w:pPr>
      <w:r>
        <w:rPr>
          <w:rFonts w:ascii="Arial" w:cs="Arial" w:eastAsia="Arial" w:hAnsi="Arial"/>
          <w:color w:val="1A1A1A"/>
          <w:sz w:val="24"/>
          <w:szCs w:val="24"/>
        </w:rPr>
        <w:t xml:space="preserve">Membership grows with competence, from Student and Affiliate, through Associate and Member, to Fellow, with each grade marking a stage in a professional life. The grades and the routes into them are set out in Part Five and in the Credential Specification.</w:t>
      </w:r>
    </w:p>
    <w:p>
      <w:pPr>
        <w:spacing w:after="160" w:line="348"/>
        <w:jc w:val="both"/>
      </w:pPr>
      <w:r>
        <w:rPr>
          <w:rFonts w:ascii="Arial" w:cs="Arial" w:eastAsia="Arial" w:hAnsi="Arial"/>
          <w:color w:val="1A1A1A"/>
          <w:sz w:val="24"/>
          <w:szCs w:val="24"/>
        </w:rPr>
        <w:t xml:space="preserve">The Institute is now admitting its founding cohort. Those who join at this stage do so at the establishment of the profession, and are recognised as having helped to found it. Prospective members, and organisations wishing to partner with the Institute, are invited to register their interest with the Secretariat.</w:t>
      </w:r>
    </w:p>
    <w:p>
      <w:r>
        <w:br w:type="page"/>
      </w:r>
    </w:p>
    <w:p>
      <w:pPr>
        <w:pStyle w:val="Heading1"/>
        <w:spacing w:after="160" w:before="320"/>
      </w:pPr>
      <w:r>
        <w:rPr>
          <w:rFonts w:ascii="Arial" w:cs="Arial" w:eastAsia="Arial" w:hAnsi="Arial"/>
          <w:b/>
          <w:bCs/>
          <w:color w:val="1A5C2A"/>
          <w:sz w:val="30"/>
          <w:szCs w:val="30"/>
        </w:rPr>
        <w:t xml:space="preserve">A Standard Africa Can Own</w:t>
      </w:r>
    </w:p>
    <w:p>
      <w:pPr>
        <w:pBdr>
          <w:bottom w:val="single" w:color="C47B0B" w:sz="8" w:space="1"/>
        </w:pBdr>
        <w:spacing w:after="160" w:before="60"/>
      </w:pPr>
      <w:r>
        <w:rPr>
          <w:rFonts w:ascii="Arial" w:cs="Arial" w:eastAsia="Arial" w:hAnsi="Arial"/>
        </w:rPr>
        <w:t xml:space="preserve"/>
      </w:r>
    </w:p>
    <w:p>
      <w:pPr>
        <w:spacing w:after="160" w:line="348"/>
        <w:jc w:val="both"/>
      </w:pPr>
      <w:r>
        <w:rPr>
          <w:rFonts w:ascii="Arial" w:cs="Arial" w:eastAsia="Arial" w:hAnsi="Arial"/>
          <w:color w:val="1A1A1A"/>
          <w:sz w:val="24"/>
          <w:szCs w:val="24"/>
        </w:rPr>
        <w:t xml:space="preserve">The case for the Institute is straightforward. Africa’s projects carry a great deal of public money and public expectation, and too many fail for reasons that were foreseeable and preventable. There is no shortage of capable people who could see the failures coming, or who could establish why they happened. What has been missing is the profession that organises them, holds them to a standard, and gives their judgement the authority it deserves.</w:t>
      </w:r>
    </w:p>
    <w:p>
      <w:pPr>
        <w:spacing w:after="160" w:line="348"/>
        <w:jc w:val="both"/>
      </w:pPr>
      <w:r>
        <w:rPr>
          <w:rFonts w:ascii="Arial" w:cs="Arial" w:eastAsia="Arial" w:hAnsi="Arial"/>
          <w:color w:val="1A1A1A"/>
          <w:sz w:val="24"/>
          <w:szCs w:val="24"/>
        </w:rPr>
        <w:t xml:space="preserve">The African Institute of Project Assurance and Forensics exists to build that profession. Assurance to protect the promise a project makes before the value is lost. Forensics to establish the truth when it is. One standard, defined on the continent, credible beyond it, and owned by the people whose projects it concerns.</w:t>
      </w:r>
    </w:p>
    <w:p>
      <w:pPr>
        <w:spacing w:after="120" w:before="240"/>
        <w:jc w:val="center"/>
      </w:pPr>
      <w:r>
        <w:rPr>
          <w:rFonts w:ascii="Arial" w:cs="Arial" w:eastAsia="Arial" w:hAnsi="Arial"/>
          <w:b/>
          <w:bCs/>
          <w:i/>
          <w:iCs/>
          <w:color w:val="1A5C2A"/>
          <w:sz w:val="24"/>
          <w:szCs w:val="24"/>
        </w:rPr>
        <w:t xml:space="preserve">Assure the promise. Establish the truth.</w:t>
      </w:r>
    </w:p>
    <w:p>
      <w:pPr>
        <w:pBdr>
          <w:bottom w:val="single" w:color="C47B0B" w:sz="8" w:space="1"/>
        </w:pBdr>
        <w:spacing w:after="160" w:before="60"/>
      </w:pPr>
      <w:r>
        <w:rPr>
          <w:rFonts w:ascii="Arial" w:cs="Arial" w:eastAsia="Arial" w:hAnsi="Arial"/>
        </w:rPr>
        <w:t xml:space="preserve"/>
      </w:r>
    </w:p>
    <w:p>
      <w:pPr>
        <w:spacing w:before="200"/>
      </w:pPr>
      <w:r>
        <w:rPr>
          <w:rFonts w:ascii="Arial" w:cs="Arial" w:eastAsia="Arial" w:hAnsi="Arial"/>
          <w:b/>
          <w:bCs/>
          <w:color w:val="1A1A1A"/>
          <w:sz w:val="22"/>
          <w:szCs w:val="22"/>
        </w:rPr>
        <w:t xml:space="preserve">African Institute of Project Assurance and Forensics (AIPAF)</w:t>
      </w:r>
    </w:p>
    <w:p>
      <w:r>
        <w:rPr>
          <w:rFonts w:ascii="Arial" w:cs="Arial" w:eastAsia="Arial" w:hAnsi="Arial"/>
          <w:color w:val="4D4D4D"/>
          <w:sz w:val="19"/>
          <w:szCs w:val="19"/>
        </w:rPr>
        <w:t xml:space="preserve">Organisational Profile and Founding Framework  •  Edition 2026</w:t>
      </w:r>
    </w:p>
    <w:sectPr>
      <w:headerReference w:type="default" r:id="rId7"/>
      <w:footerReference w:type="default" r:id="rId8"/>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7B0B" w:sz="4" w:space="4"/>
      </w:pBdr>
      <w:jc w:val="center"/>
    </w:pPr>
    <w:r>
      <w:rPr>
        <w:rFonts w:ascii="Arial" w:cs="Arial" w:eastAsia="Arial" w:hAnsi="Arial"/>
        <w:color w:val="4D4D4D"/>
        <w:sz w:val="15"/>
        <w:szCs w:val="15"/>
      </w:rPr>
      <w:t xml:space="preserve">AIPAF  •  Organisational Profile 2026  •  </w:t>
    </w:r>
    <w:r>
      <w:rPr>
        <w:rFonts w:ascii="Arial" w:cs="Arial" w:eastAsia="Arial" w:hAnsi="Arial"/>
        <w:color w:val="4D4D4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7B0B" w:sz="4" w:space="4"/>
      </w:pBdr>
      <w:jc w:val="right"/>
    </w:pPr>
    <w:r>
      <w:rPr>
        <w:rFonts w:ascii="Arial" w:cs="Arial" w:eastAsia="Arial" w:hAnsi="Arial"/>
        <w:b/>
        <w:bCs/>
        <w:color w:val="1A5C2A"/>
        <w:sz w:val="15"/>
        <w:szCs w:val="15"/>
      </w:rPr>
      <w:t xml:space="preserve">African Institute of Project Assurance and Forensics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47B0B"/>
      </w:rPr>
    </w:lvl>
  </w:abstractNum>
  <w:abstractNum w:abstractNumId="3" w15:restartNumberingAfterBreak="0">
    <w:multiLevelType w:val="hybridMultilevel"/>
    <w:lvl w:ilvl="0" w15:tentative="1">
      <w:start w:val="1"/>
      <w:numFmt w:val="decimal"/>
      <w:lvlText w:val="%1."/>
      <w:lvlJc w:val="left"/>
      <w:pPr>
        <w:ind w:left="400" w:hanging="260"/>
      </w:pPr>
      <w:rPr>
        <w:b/>
        <w:bCs/>
        <w:color w:val="1A5C2A"/>
      </w:rPr>
    </w:lvl>
  </w:abstractNum>
  <w:abstractNum w:abstractNumId="4" w15:restartNumberingAfterBreak="0">
    <w:multiLevelType w:val="hybridMultilevel"/>
    <w:lvl w:ilvl="0" w15:tentative="1">
      <w:start w:val="1"/>
      <w:numFmt w:val="decimal"/>
      <w:lvlText w:val="%1."/>
      <w:lvlJc w:val="left"/>
      <w:pPr>
        <w:ind w:left="400" w:hanging="260"/>
      </w:pPr>
      <w:rPr>
        <w:b/>
        <w:bCs/>
        <w:color w:val="1A5C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A5C2A"/>
      <w:sz w:val="30"/>
      <w:szCs w:val="30"/>
    </w:rPr>
  </w:style>
  <w:style w:type="paragraph" w:styleId="Heading2">
    <w:name w:val="Heading 2"/>
    <w:basedOn w:val="Normal"/>
    <w:next w:val="Normal"/>
    <w:qFormat/>
    <w:rPr>
      <w:rFonts w:ascii="Arial" w:cs="Arial" w:eastAsia="Arial" w:hAnsi="Arial"/>
      <w:b/>
      <w:bCs/>
      <w:color w:val="1A5C2A"/>
      <w:sz w:val="24"/>
      <w:szCs w:val="24"/>
    </w:rPr>
  </w:style>
  <w:style w:type="paragraph" w:styleId="Heading3">
    <w:name w:val="Heading 3"/>
    <w:basedOn w:val="Normal"/>
    <w:next w:val="Normal"/>
    <w:qFormat/>
    <w:rPr>
      <w:rFonts w:ascii="Arial" w:cs="Arial" w:eastAsia="Arial" w:hAnsi="Arial"/>
      <w:b/>
      <w:bCs/>
      <w:color w:val="C47B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AIPAF Organisational Profile and Founding Framework</dc:title>
  <dc:creator>African Institute of Project Assurance and Forensics</dc:creator>
  <dc:description>Founding concept note, mandate, credential architecture and governance</dc:description>
  <cp:lastModifiedBy>Un-named</cp:lastModifiedBy>
  <cp:revision>1</cp:revision>
  <dcterms:created xsi:type="dcterms:W3CDTF">2026-07-09T02:45:14.917Z</dcterms:created>
  <dcterms:modified xsi:type="dcterms:W3CDTF">2026-07-09T02:45:14.933Z</dcterms:modified>
</cp:coreProperties>
</file>

<file path=docProps/custom.xml><?xml version="1.0" encoding="utf-8"?>
<Properties xmlns="http://schemas.openxmlformats.org/officeDocument/2006/custom-properties" xmlns:vt="http://schemas.openxmlformats.org/officeDocument/2006/docPropsVTypes"/>
</file>