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47B0B"/>
          <w:spacing w:val="40"/>
          <w:sz w:val="18"/>
          <w:szCs w:val="18"/>
        </w:rPr>
        <w:t xml:space="preserve">ANNEX 3 TO PROFESSIONAL BODIES FORM A</w:t>
      </w:r>
    </w:p>
    <w:p>
      <w:pPr>
        <w:spacing w:after="60"/>
      </w:pPr>
      <w:r>
        <w:rPr>
          <w:rFonts w:ascii="Arial" w:cs="Arial" w:eastAsia="Arial" w:hAnsi="Arial"/>
          <w:b/>
          <w:bCs/>
          <w:color w:val="1A5C2A"/>
          <w:sz w:val="32"/>
          <w:szCs w:val="32"/>
        </w:rPr>
        <w:t xml:space="preserve">Statement of Activities</w:t>
      </w:r>
    </w:p>
    <w:p>
      <w:pPr>
        <w:spacing w:after="120"/>
      </w:pPr>
      <w:r>
        <w:rPr>
          <w:rFonts w:ascii="Arial" w:cs="Arial" w:eastAsia="Arial" w:hAnsi="Arial"/>
          <w:color w:val="404040"/>
          <w:sz w:val="24"/>
          <w:szCs w:val="24"/>
        </w:rPr>
        <w:t xml:space="preserve">African Institute of Project Assurance and Forensics (AIPAF)</w:t>
      </w:r>
    </w:p>
    <w:p>
      <w:pPr>
        <w:pBdr>
          <w:bottom w:val="single" w:color="C47B0B" w:sz="8" w:space="6"/>
        </w:pBdr>
        <w:spacing w:after="220"/>
      </w:pPr>
      <w:r>
        <w:rPr>
          <w:rFonts w:ascii="Arial" w:cs="Arial" w:eastAsia="Arial" w:hAnsi="Arial"/>
          <w:sz w:val="12"/>
          <w:szCs w:val="12"/>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Field</w:t>
            </w:r>
          </w:p>
        </w:tc>
        <w:tc>
          <w:tcPr>
            <w:tcW w:type="dxa" w:w="696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Particulars</w:t>
            </w:r>
          </w:p>
        </w:tc>
      </w:tr>
      <w:tr>
        <w:trPr>
          <w:tblHeader w:val="false"/>
        </w:trPr>
        <w:tc>
          <w:tcPr>
            <w:tcW w:type="dxa" w:w="24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Body applying</w:t>
            </w:r>
          </w:p>
        </w:tc>
        <w:tc>
          <w:tcPr>
            <w:tcW w:type="dxa" w:w="69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African Institute of Project Assurance and Forensics</w:t>
            </w:r>
          </w:p>
        </w:tc>
      </w:tr>
      <w:tr>
        <w:trPr>
          <w:tblHeader w:val="false"/>
        </w:trPr>
        <w:tc>
          <w:tcPr>
            <w:tcW w:type="dxa" w:w="24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Statutory basis</w:t>
            </w:r>
          </w:p>
        </w:tc>
        <w:tc>
          <w:tcPr>
            <w:tcW w:type="dxa" w:w="69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Professional Bodies Registration Act, 1973 (NRCD 143), requirement for a statement of the activities of the body for the twelve months preceding the application, or the shorter period of its existence</w:t>
            </w:r>
          </w:p>
        </w:tc>
      </w:tr>
      <w:tr>
        <w:trPr>
          <w:tblHeader w:val="false"/>
        </w:trPr>
        <w:tc>
          <w:tcPr>
            <w:tcW w:type="dxa" w:w="24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Period covered</w:t>
            </w:r>
          </w:p>
        </w:tc>
        <w:tc>
          <w:tcPr>
            <w:tcW w:type="dxa" w:w="69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From the date of the founding resolution to the date of application</w:t>
            </w:r>
          </w:p>
        </w:tc>
      </w:tr>
      <w:tr>
        <w:trPr>
          <w:tblHeader w:val="false"/>
        </w:trPr>
        <w:tc>
          <w:tcPr>
            <w:tcW w:type="dxa" w:w="24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Promoting institution</w:t>
            </w:r>
          </w:p>
        </w:tc>
        <w:tc>
          <w:tcPr>
            <w:tcW w:type="dxa" w:w="69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Green Communities International, www.gcigh.org</w:t>
            </w:r>
          </w:p>
        </w:tc>
      </w:tr>
      <w:tr>
        <w:trPr>
          <w:tblHeader w:val="false"/>
        </w:trPr>
        <w:tc>
          <w:tcPr>
            <w:tcW w:type="dxa" w:w="24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Prepared by</w:t>
            </w:r>
          </w:p>
        </w:tc>
        <w:tc>
          <w:tcPr>
            <w:tcW w:type="dxa" w:w="69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De-Graft Owusu-Manu, Founding Convenor</w:t>
            </w:r>
          </w:p>
        </w:tc>
      </w:tr>
      <w:tr>
        <w:trPr>
          <w:tblHeader w:val="false"/>
        </w:trPr>
        <w:tc>
          <w:tcPr>
            <w:tcW w:type="dxa" w:w="24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Status</w:t>
            </w:r>
          </w:p>
        </w:tc>
        <w:tc>
          <w:tcPr>
            <w:tcW w:type="dxa" w:w="69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Draft for execution. Dates marked for insertion to be completed from the minute book</w:t>
            </w:r>
          </w:p>
        </w:tc>
      </w:tr>
    </w:tbl>
    <w:p>
      <w:pPr>
        <w:spacing w:after="220" w:line="324"/>
        <w:jc w:val="both"/>
      </w:pPr>
      <w:r>
        <w:rPr>
          <w:rFonts w:ascii="Arial" w:cs="Arial" w:eastAsia="Arial" w:hAnsi="Arial"/>
          <w:color w:val="000000"/>
          <w:sz w:val="24"/>
          <w:szCs w:val="24"/>
        </w:rPr>
        <w:t xml:space="preserve"/>
      </w:r>
    </w:p>
    <w:p>
      <w:pPr>
        <w:pStyle w:val="Heading1"/>
        <w:spacing w:after="160" w:before="320"/>
      </w:pPr>
      <w:r>
        <w:rPr>
          <w:rFonts w:ascii="Arial" w:cs="Arial" w:eastAsia="Arial" w:hAnsi="Arial"/>
          <w:b/>
          <w:bCs/>
          <w:color w:val="1A5C2A"/>
          <w:sz w:val="28"/>
          <w:szCs w:val="28"/>
        </w:rPr>
        <w:t xml:space="preserve">1. Basis and scope of this statement</w:t>
      </w:r>
    </w:p>
    <w:p>
      <w:pPr>
        <w:spacing w:after="140" w:line="324"/>
        <w:jc w:val="both"/>
      </w:pPr>
      <w:r>
        <w:rPr>
          <w:rFonts w:ascii="Arial" w:cs="Arial" w:eastAsia="Arial" w:hAnsi="Arial"/>
          <w:color w:val="000000"/>
          <w:sz w:val="24"/>
          <w:szCs w:val="24"/>
        </w:rPr>
        <w:t xml:space="preserve">NRCD 143 requires an application for registration to be accompanied by a statement of the activities of the body over the twelve months immediately preceding the application, or over the shorter period during which the body has existed. The Institute was constituted within the current year, so this statement covers the shorter period.</w:t>
      </w:r>
    </w:p>
    <w:p>
      <w:pPr>
        <w:spacing w:after="140" w:line="324"/>
        <w:jc w:val="both"/>
      </w:pPr>
      <w:r>
        <w:rPr>
          <w:rFonts w:ascii="Arial" w:cs="Arial" w:eastAsia="Arial" w:hAnsi="Arial"/>
          <w:color w:val="000000"/>
          <w:sz w:val="24"/>
          <w:szCs w:val="24"/>
        </w:rPr>
        <w:t xml:space="preserve">Sections 2 to 6 record the activities of the Institute itself. Section 7 records, separately and under its own heading, the antecedent convening and knowledge dissemination work of Green Communities International, the promoting institution. That separation is deliberate. The ICESDA conferences of 2024 and 2025 were convened by Green Communities International, not by the Institute, and presenting them as the Institute own activity record would misstate the position to the Registrar. Recorded as promoter track record, they carry real weight, since they evidence the convening capacity, the professional network and the institutional seriousness behind the application.</w:t>
      </w:r>
    </w:p>
    <w:p>
      <w:pPr>
        <w:pStyle w:val="Heading1"/>
        <w:spacing w:after="160" w:before="320"/>
      </w:pPr>
      <w:r>
        <w:rPr>
          <w:rFonts w:ascii="Arial" w:cs="Arial" w:eastAsia="Arial" w:hAnsi="Arial"/>
          <w:b/>
          <w:bCs/>
          <w:color w:val="1A5C2A"/>
          <w:sz w:val="28"/>
          <w:szCs w:val="28"/>
        </w:rPr>
        <w:t xml:space="preserve">2. Formation and constitution</w:t>
      </w:r>
    </w:p>
    <w:p>
      <w:pPr>
        <w:spacing w:after="140" w:line="324"/>
        <w:jc w:val="both"/>
      </w:pPr>
      <w:r>
        <w:rPr>
          <w:rFonts w:ascii="Arial" w:cs="Arial" w:eastAsia="Arial" w:hAnsi="Arial"/>
          <w:color w:val="000000"/>
          <w:sz w:val="24"/>
          <w:szCs w:val="24"/>
        </w:rPr>
        <w:t xml:space="preserve">The Institute was established as a pan African professional body for project assurance and forensic project practice, covering forensic delay and quantum analysis, project audit and assurance, dispute avoidance, expert determination, and the professional standards governing those fields across the African continent.</w:t>
      </w:r>
    </w:p>
    <w:p>
      <w:pPr>
        <w:spacing w:after="140" w:line="324"/>
        <w:jc w:val="both"/>
      </w:pPr>
      <w:r>
        <w:rPr>
          <w:rFonts w:ascii="Arial" w:cs="Arial" w:eastAsia="Arial" w:hAnsi="Arial"/>
          <w:color w:val="000000"/>
          <w:sz w:val="24"/>
          <w:szCs w:val="24"/>
        </w:rPr>
        <w:t xml:space="preserve">Activity in the period comprised the following.</w:t>
      </w:r>
    </w:p>
    <w:p>
      <w:pPr>
        <w:pStyle w:val="ListParagraph"/>
        <w:numPr>
          <w:ilvl w:val="0"/>
          <w:numId w:val="2"/>
        </w:numPr>
        <w:spacing w:after="90" w:line="324"/>
        <w:jc w:val="both"/>
      </w:pPr>
      <w:r>
        <w:rPr>
          <w:rFonts w:ascii="Arial" w:cs="Arial" w:eastAsia="Arial" w:hAnsi="Arial"/>
          <w:sz w:val="24"/>
          <w:szCs w:val="24"/>
        </w:rPr>
        <w:t xml:space="preserve">Founding resolution adopted by the convening group establishing the Institute and appointing the founding officers. Date to be inserted from the minute book.</w:t>
      </w:r>
    </w:p>
    <w:p>
      <w:pPr>
        <w:pStyle w:val="ListParagraph"/>
        <w:numPr>
          <w:ilvl w:val="0"/>
          <w:numId w:val="2"/>
        </w:numPr>
        <w:spacing w:after="90" w:line="324"/>
        <w:jc w:val="both"/>
      </w:pPr>
      <w:r>
        <w:rPr>
          <w:rFonts w:ascii="Arial" w:cs="Arial" w:eastAsia="Arial" w:hAnsi="Arial"/>
          <w:sz w:val="24"/>
          <w:szCs w:val="24"/>
        </w:rPr>
        <w:t xml:space="preserve">Adoption of the constitution of the Institute, setting out the objects, the classes and admission criteria of membership, the governing council and officers, general meetings and quorum, finance and audit, and the procedure for amendment.</w:t>
      </w:r>
    </w:p>
    <w:p>
      <w:pPr>
        <w:pStyle w:val="ListParagraph"/>
        <w:numPr>
          <w:ilvl w:val="0"/>
          <w:numId w:val="2"/>
        </w:numPr>
        <w:spacing w:after="90" w:line="324"/>
        <w:jc w:val="both"/>
      </w:pPr>
      <w:r>
        <w:rPr>
          <w:rFonts w:ascii="Arial" w:cs="Arial" w:eastAsia="Arial" w:hAnsi="Arial"/>
          <w:sz w:val="24"/>
          <w:szCs w:val="24"/>
        </w:rPr>
        <w:t xml:space="preserve">Adoption of the code of professional conduct, together with the disciplinary rules and the procedure for their enforcement as required by section 6(2) of NRCD 143.</w:t>
      </w:r>
    </w:p>
    <w:p>
      <w:pPr>
        <w:pStyle w:val="ListParagraph"/>
        <w:numPr>
          <w:ilvl w:val="0"/>
          <w:numId w:val="2"/>
        </w:numPr>
        <w:spacing w:after="90" w:line="324"/>
        <w:jc w:val="both"/>
      </w:pPr>
      <w:r>
        <w:rPr>
          <w:rFonts w:ascii="Arial" w:cs="Arial" w:eastAsia="Arial" w:hAnsi="Arial"/>
          <w:sz w:val="24"/>
          <w:szCs w:val="24"/>
        </w:rPr>
        <w:t xml:space="preserve">Constitution of the founding Governing Council and appointment of the Membership and Credentials Committee, the Education and Training Committee, and the Ethics and Disciplinary Committee.</w:t>
      </w:r>
    </w:p>
    <w:p>
      <w:pPr>
        <w:pStyle w:val="Heading1"/>
        <w:spacing w:after="160" w:before="320"/>
      </w:pPr>
      <w:r>
        <w:rPr>
          <w:rFonts w:ascii="Arial" w:cs="Arial" w:eastAsia="Arial" w:hAnsi="Arial"/>
          <w:b/>
          <w:bCs/>
          <w:color w:val="1A5C2A"/>
          <w:sz w:val="28"/>
          <w:szCs w:val="28"/>
        </w:rPr>
        <w:t xml:space="preserve">3. Development of the professional framework</w:t>
      </w:r>
    </w:p>
    <w:p>
      <w:pPr>
        <w:spacing w:after="140" w:line="324"/>
        <w:jc w:val="both"/>
      </w:pPr>
      <w:r>
        <w:rPr>
          <w:rFonts w:ascii="Arial" w:cs="Arial" w:eastAsia="Arial" w:hAnsi="Arial"/>
          <w:color w:val="000000"/>
          <w:sz w:val="24"/>
          <w:szCs w:val="24"/>
        </w:rPr>
        <w:t xml:space="preserve">The substantive technical work of the period went into the instruments that give the Institute standing as a professional body rather than an association. Worth noting that this is the material the Registrar reads as evidence that the body is directed at the advancement of knowledge and the maintenance of a code of ethics within its profession.</w:t>
      </w:r>
    </w:p>
    <w:p>
      <w:pPr>
        <w:pStyle w:val="ListParagraph"/>
        <w:numPr>
          <w:ilvl w:val="0"/>
          <w:numId w:val="2"/>
        </w:numPr>
        <w:spacing w:after="90" w:line="324"/>
        <w:jc w:val="both"/>
      </w:pPr>
      <w:r>
        <w:rPr>
          <w:rFonts w:ascii="Arial" w:cs="Arial" w:eastAsia="Arial" w:hAnsi="Arial"/>
          <w:sz w:val="24"/>
          <w:szCs w:val="24"/>
        </w:rPr>
        <w:t xml:space="preserve">Credential specifications defining the qualification pathways, entry requirements and assessment standards for each grade of membership.</w:t>
      </w:r>
    </w:p>
    <w:p>
      <w:pPr>
        <w:pStyle w:val="ListParagraph"/>
        <w:numPr>
          <w:ilvl w:val="0"/>
          <w:numId w:val="2"/>
        </w:numPr>
        <w:spacing w:after="90" w:line="324"/>
        <w:jc w:val="both"/>
      </w:pPr>
      <w:r>
        <w:rPr>
          <w:rFonts w:ascii="Arial" w:cs="Arial" w:eastAsia="Arial" w:hAnsi="Arial"/>
          <w:sz w:val="24"/>
          <w:szCs w:val="24"/>
        </w:rPr>
        <w:t xml:space="preserve">Syllabuses for the professional examinations and the associated reading and competency frameworks.</w:t>
      </w:r>
    </w:p>
    <w:p>
      <w:pPr>
        <w:pStyle w:val="ListParagraph"/>
        <w:numPr>
          <w:ilvl w:val="0"/>
          <w:numId w:val="2"/>
        </w:numPr>
        <w:spacing w:after="90" w:line="324"/>
        <w:jc w:val="both"/>
      </w:pPr>
      <w:r>
        <w:rPr>
          <w:rFonts w:ascii="Arial" w:cs="Arial" w:eastAsia="Arial" w:hAnsi="Arial"/>
          <w:sz w:val="24"/>
          <w:szCs w:val="24"/>
        </w:rPr>
        <w:t xml:space="preserve">Assessment and admission criteria for the grades of Fellow, Member, Associate and Graduate.</w:t>
      </w:r>
    </w:p>
    <w:p>
      <w:pPr>
        <w:pStyle w:val="ListParagraph"/>
        <w:numPr>
          <w:ilvl w:val="0"/>
          <w:numId w:val="2"/>
        </w:numPr>
        <w:spacing w:after="90" w:line="324"/>
        <w:jc w:val="both"/>
      </w:pPr>
      <w:r>
        <w:rPr>
          <w:rFonts w:ascii="Arial" w:cs="Arial" w:eastAsia="Arial" w:hAnsi="Arial"/>
          <w:sz w:val="24"/>
          <w:szCs w:val="24"/>
        </w:rPr>
        <w:t xml:space="preserve">Continuing professional development framework setting out the annual obligation attaching to each grade.</w:t>
      </w:r>
    </w:p>
    <w:p>
      <w:pPr>
        <w:pStyle w:val="ListParagraph"/>
        <w:numPr>
          <w:ilvl w:val="0"/>
          <w:numId w:val="2"/>
        </w:numPr>
        <w:spacing w:after="90" w:line="324"/>
        <w:jc w:val="both"/>
      </w:pPr>
      <w:r>
        <w:rPr>
          <w:rFonts w:ascii="Arial" w:cs="Arial" w:eastAsia="Arial" w:hAnsi="Arial"/>
          <w:sz w:val="24"/>
          <w:szCs w:val="24"/>
        </w:rPr>
        <w:t xml:space="preserve">Establishment of the institutional website and the digital membership and records infrastructure.</w:t>
      </w:r>
    </w:p>
    <w:p>
      <w:pPr>
        <w:pStyle w:val="Heading1"/>
        <w:spacing w:after="160" w:before="320"/>
      </w:pPr>
      <w:r>
        <w:rPr>
          <w:rFonts w:ascii="Arial" w:cs="Arial" w:eastAsia="Arial" w:hAnsi="Arial"/>
          <w:b/>
          <w:bCs/>
          <w:color w:val="1A5C2A"/>
          <w:sz w:val="28"/>
          <w:szCs w:val="28"/>
        </w:rPr>
        <w:t xml:space="preserve">4. Membership development</w:t>
      </w:r>
    </w:p>
    <w:p>
      <w:pPr>
        <w:spacing w:after="140" w:line="324"/>
        <w:jc w:val="both"/>
      </w:pPr>
      <w:r>
        <w:rPr>
          <w:rFonts w:ascii="Arial" w:cs="Arial" w:eastAsia="Arial" w:hAnsi="Arial"/>
          <w:color w:val="000000"/>
          <w:sz w:val="24"/>
          <w:szCs w:val="24"/>
        </w:rPr>
        <w:t xml:space="preserve">A working register of candidate members was compiled from three sources, being the academic staff of the relevant departments of the College of Art and Built Environment at KNUST, the board, management and professional associates of Green Communities International, and the academic and industry leaders who contributed to ICESDA 2024 and ICESDA 2025. The register is annexed to this application as the Schedule of Members.</w:t>
      </w:r>
    </w:p>
    <w:p>
      <w:pPr>
        <w:spacing w:after="140" w:line="324"/>
        <w:jc w:val="both"/>
      </w:pPr>
      <w:r>
        <w:rPr>
          <w:rFonts w:ascii="Arial" w:cs="Arial" w:eastAsia="Arial" w:hAnsi="Arial"/>
          <w:color w:val="000000"/>
          <w:sz w:val="24"/>
          <w:szCs w:val="24"/>
        </w:rPr>
        <w:t xml:space="preserve">Invitations to membership, accompanied by the constitution, the code of conduct and the membership application form, are being issued against that register. Only candidates who have returned a signed application and accepted the code appear in the schedule filed with the Registrar.</w:t>
      </w:r>
    </w:p>
    <w:p>
      <w:pPr>
        <w:pStyle w:val="Heading1"/>
        <w:spacing w:after="160" w:before="320"/>
      </w:pPr>
      <w:r>
        <w:rPr>
          <w:rFonts w:ascii="Arial" w:cs="Arial" w:eastAsia="Arial" w:hAnsi="Arial"/>
          <w:b/>
          <w:bCs/>
          <w:color w:val="1A5C2A"/>
          <w:sz w:val="28"/>
          <w:szCs w:val="28"/>
        </w:rPr>
        <w:t xml:space="preserve">5. Governance and institutional engagement</w:t>
      </w:r>
    </w:p>
    <w:p>
      <w:pPr>
        <w:pStyle w:val="ListParagraph"/>
        <w:numPr>
          <w:ilvl w:val="0"/>
          <w:numId w:val="2"/>
        </w:numPr>
        <w:spacing w:after="90" w:line="324"/>
        <w:jc w:val="both"/>
      </w:pPr>
      <w:r>
        <w:rPr>
          <w:rFonts w:ascii="Arial" w:cs="Arial" w:eastAsia="Arial" w:hAnsi="Arial"/>
          <w:sz w:val="24"/>
          <w:szCs w:val="24"/>
        </w:rPr>
        <w:t xml:space="preserve">Preparation of the founding governance suite covering the constitution, code of conduct, committee terms of reference and the schedule of delegated authority.</w:t>
      </w:r>
    </w:p>
    <w:p>
      <w:pPr>
        <w:pStyle w:val="ListParagraph"/>
        <w:numPr>
          <w:ilvl w:val="0"/>
          <w:numId w:val="2"/>
        </w:numPr>
        <w:spacing w:after="90" w:line="324"/>
        <w:jc w:val="both"/>
      </w:pPr>
      <w:r>
        <w:rPr>
          <w:rFonts w:ascii="Arial" w:cs="Arial" w:eastAsia="Arial" w:hAnsi="Arial"/>
          <w:sz w:val="24"/>
          <w:szCs w:val="24"/>
        </w:rPr>
        <w:t xml:space="preserve">Engagement with academic institutions across Ghana, Nigeria, South Africa, the United Kingdom and the United States on curriculum recognition and professional accreditation pathways.</w:t>
      </w:r>
    </w:p>
    <w:p>
      <w:pPr>
        <w:pStyle w:val="ListParagraph"/>
        <w:numPr>
          <w:ilvl w:val="0"/>
          <w:numId w:val="2"/>
        </w:numPr>
        <w:spacing w:after="90" w:line="324"/>
        <w:jc w:val="both"/>
      </w:pPr>
      <w:r>
        <w:rPr>
          <w:rFonts w:ascii="Arial" w:cs="Arial" w:eastAsia="Arial" w:hAnsi="Arial"/>
          <w:sz w:val="24"/>
          <w:szCs w:val="24"/>
        </w:rPr>
        <w:t xml:space="preserve">Engagement with industry principals across construction, mining, energy, banking and public infrastructure on the demand for assured and forensically defensible project practice.</w:t>
      </w:r>
    </w:p>
    <w:p>
      <w:pPr>
        <w:pStyle w:val="ListParagraph"/>
        <w:numPr>
          <w:ilvl w:val="0"/>
          <w:numId w:val="2"/>
        </w:numPr>
        <w:spacing w:after="90" w:line="324"/>
        <w:jc w:val="both"/>
      </w:pPr>
      <w:r>
        <w:rPr>
          <w:rFonts w:ascii="Arial" w:cs="Arial" w:eastAsia="Arial" w:hAnsi="Arial"/>
          <w:sz w:val="24"/>
          <w:szCs w:val="24"/>
        </w:rPr>
        <w:t xml:space="preserve">Preparation of this application for registration under NRCD 143, including the constitution, the schedule of members, this statement of activities and the supporting instruments.</w:t>
      </w:r>
    </w:p>
    <w:p>
      <w:pPr>
        <w:pStyle w:val="Heading1"/>
        <w:spacing w:after="160" w:before="320"/>
      </w:pPr>
      <w:r>
        <w:rPr>
          <w:rFonts w:ascii="Arial" w:cs="Arial" w:eastAsia="Arial" w:hAnsi="Arial"/>
          <w:b/>
          <w:bCs/>
          <w:color w:val="1A5C2A"/>
          <w:sz w:val="28"/>
          <w:szCs w:val="28"/>
        </w:rPr>
        <w:t xml:space="preserve">6. Activities of the Institute in the period</w:t>
      </w:r>
    </w:p>
    <w:p>
      <w:pPr>
        <w:spacing w:after="60" w:line="324"/>
        <w:jc w:val="both"/>
      </w:pPr>
      <w:r>
        <w:rPr>
          <w:rFonts w:ascii="Arial" w:cs="Arial" w:eastAsia="Arial" w:hAnsi="Arial"/>
          <w:color w:val="000000"/>
          <w:sz w:val="24"/>
          <w:szCs w:val="24"/>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200"/>
        <w:gridCol w:w="3400"/>
        <w:gridCol w:w="1260"/>
      </w:tblGrid>
      <w:tr>
        <w:trPr>
          <w:tblHeader/>
        </w:trPr>
        <w:tc>
          <w:tcPr>
            <w:tcW w:type="dxa" w:w="15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Date</w:t>
            </w:r>
          </w:p>
        </w:tc>
        <w:tc>
          <w:tcPr>
            <w:tcW w:type="dxa" w:w="32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Activity</w:t>
            </w:r>
          </w:p>
        </w:tc>
        <w:tc>
          <w:tcPr>
            <w:tcW w:type="dxa" w:w="34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Description</w:t>
            </w:r>
          </w:p>
        </w:tc>
        <w:tc>
          <w:tcPr>
            <w:tcW w:type="dxa" w:w="126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Participation</w:t>
            </w:r>
          </w:p>
        </w:tc>
      </w:tr>
      <w:tr>
        <w:trPr>
          <w:tblHeader w:val="false"/>
        </w:trPr>
        <w:tc>
          <w:tcPr>
            <w:tcW w:type="dxa" w:w="1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3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Founding resolution and appointment of officers</w:t>
            </w:r>
          </w:p>
        </w:tc>
        <w:tc>
          <w:tcPr>
            <w:tcW w:type="dxa" w:w="34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Establishment of the Institute and constitution of the founding Governing Council</w:t>
            </w:r>
          </w:p>
        </w:tc>
        <w:tc>
          <w:tcPr>
            <w:tcW w:type="dxa" w:w="12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Founding convenors</w:t>
            </w:r>
          </w:p>
        </w:tc>
      </w:tr>
      <w:tr>
        <w:trPr>
          <w:tblHeader w:val="false"/>
        </w:trPr>
        <w:tc>
          <w:tcPr>
            <w:tcW w:type="dxa" w:w="1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3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Adoption of the constitution</w:t>
            </w:r>
          </w:p>
        </w:tc>
        <w:tc>
          <w:tcPr>
            <w:tcW w:type="dxa" w:w="34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Objects, membership classes, governance, finance, discipline and amendment procedure</w:t>
            </w:r>
          </w:p>
        </w:tc>
        <w:tc>
          <w:tcPr>
            <w:tcW w:type="dxa" w:w="12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Governing Council</w:t>
            </w:r>
          </w:p>
        </w:tc>
      </w:tr>
      <w:tr>
        <w:trPr>
          <w:tblHeader w:val="false"/>
        </w:trPr>
        <w:tc>
          <w:tcPr>
            <w:tcW w:type="dxa" w:w="1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3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Adoption of the code of professional conduct</w:t>
            </w:r>
          </w:p>
        </w:tc>
        <w:tc>
          <w:tcPr>
            <w:tcW w:type="dxa" w:w="34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Ethical standards, disciplinary rules and enforcement procedure under section 6(2)</w:t>
            </w:r>
          </w:p>
        </w:tc>
        <w:tc>
          <w:tcPr>
            <w:tcW w:type="dxa" w:w="12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Governing Council</w:t>
            </w:r>
          </w:p>
        </w:tc>
      </w:tr>
      <w:tr>
        <w:trPr>
          <w:tblHeader w:val="false"/>
        </w:trPr>
        <w:tc>
          <w:tcPr>
            <w:tcW w:type="dxa" w:w="1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3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Credential and syllabus development</w:t>
            </w:r>
          </w:p>
        </w:tc>
        <w:tc>
          <w:tcPr>
            <w:tcW w:type="dxa" w:w="34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Qualification pathways, examination syllabuses and assessment standards for each grade</w:t>
            </w:r>
          </w:p>
        </w:tc>
        <w:tc>
          <w:tcPr>
            <w:tcW w:type="dxa" w:w="12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Education and Training Committee</w:t>
            </w:r>
          </w:p>
        </w:tc>
      </w:tr>
      <w:tr>
        <w:trPr>
          <w:tblHeader w:val="false"/>
        </w:trPr>
        <w:tc>
          <w:tcPr>
            <w:tcW w:type="dxa" w:w="1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3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Launch of the institutional website</w:t>
            </w:r>
          </w:p>
        </w:tc>
        <w:tc>
          <w:tcPr>
            <w:tcW w:type="dxa" w:w="34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Public information, membership application and records infrastructure</w:t>
            </w:r>
          </w:p>
        </w:tc>
        <w:tc>
          <w:tcPr>
            <w:tcW w:type="dxa" w:w="12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Secretariat</w:t>
            </w:r>
          </w:p>
        </w:tc>
      </w:tr>
      <w:tr>
        <w:trPr>
          <w:tblHeader w:val="false"/>
        </w:trPr>
        <w:tc>
          <w:tcPr>
            <w:tcW w:type="dxa" w:w="1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3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Compilation of the membership register</w:t>
            </w:r>
          </w:p>
        </w:tc>
        <w:tc>
          <w:tcPr>
            <w:tcW w:type="dxa" w:w="34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Identification of qualified candidates across academia and industry</w:t>
            </w:r>
          </w:p>
        </w:tc>
        <w:tc>
          <w:tcPr>
            <w:tcW w:type="dxa" w:w="12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Membership and Credentials Committee</w:t>
            </w:r>
          </w:p>
        </w:tc>
      </w:tr>
      <w:tr>
        <w:trPr>
          <w:tblHeader w:val="false"/>
        </w:trPr>
        <w:tc>
          <w:tcPr>
            <w:tcW w:type="dxa" w:w="1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3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Issue of membership invitations</w:t>
            </w:r>
          </w:p>
        </w:tc>
        <w:tc>
          <w:tcPr>
            <w:tcW w:type="dxa" w:w="34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Circulation of the constitution, code of conduct and application form to candidates</w:t>
            </w:r>
          </w:p>
        </w:tc>
        <w:tc>
          <w:tcPr>
            <w:tcW w:type="dxa" w:w="12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Secretariat</w:t>
            </w:r>
          </w:p>
        </w:tc>
      </w:tr>
      <w:tr>
        <w:trPr>
          <w:tblHeader w:val="false"/>
        </w:trPr>
        <w:tc>
          <w:tcPr>
            <w:tcW w:type="dxa" w:w="1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3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Preparation of the application for registration</w:t>
            </w:r>
          </w:p>
        </w:tc>
        <w:tc>
          <w:tcPr>
            <w:tcW w:type="dxa" w:w="34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Assembly of Form A and the supporting statutory annexes</w:t>
            </w:r>
          </w:p>
        </w:tc>
        <w:tc>
          <w:tcPr>
            <w:tcW w:type="dxa" w:w="12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Founding Convenor</w:t>
            </w:r>
          </w:p>
        </w:tc>
      </w:tr>
    </w:tbl>
    <w:p>
      <w:pPr>
        <w:spacing w:after="220" w:line="324"/>
        <w:jc w:val="both"/>
      </w:pPr>
      <w:r>
        <w:rPr>
          <w:rFonts w:ascii="Arial" w:cs="Arial" w:eastAsia="Arial" w:hAnsi="Arial"/>
          <w:color w:val="000000"/>
          <w:sz w:val="24"/>
          <w:szCs w:val="24"/>
        </w:rPr>
        <w:t xml:space="preserve"/>
      </w:r>
    </w:p>
    <w:p>
      <w:pPr>
        <w:pStyle w:val="Heading1"/>
        <w:spacing w:after="160" w:before="320"/>
      </w:pPr>
      <w:r>
        <w:rPr>
          <w:rFonts w:ascii="Arial" w:cs="Arial" w:eastAsia="Arial" w:hAnsi="Arial"/>
          <w:b/>
          <w:bCs/>
          <w:color w:val="1A5C2A"/>
          <w:sz w:val="28"/>
          <w:szCs w:val="28"/>
        </w:rPr>
        <w:t xml:space="preserve">7. Antecedent activity of the promoting institution</w:t>
      </w:r>
    </w:p>
    <w:p>
      <w:pPr>
        <w:spacing w:after="140" w:line="324"/>
        <w:jc w:val="both"/>
      </w:pPr>
      <w:r>
        <w:rPr>
          <w:rFonts w:ascii="Arial" w:cs="Arial" w:eastAsia="Arial" w:hAnsi="Arial"/>
          <w:color w:val="000000"/>
          <w:sz w:val="24"/>
          <w:szCs w:val="24"/>
        </w:rPr>
        <w:t xml:space="preserve">The following activities were convened by Green Communities International, the promoting institution, and are recorded here as evidence of the convening capacity and professional network from which the Institute has been formed. They are not activities of the Institute.</w:t>
      </w:r>
    </w:p>
    <w:p>
      <w:pPr>
        <w:pStyle w:val="Heading2"/>
        <w:spacing w:after="120" w:before="240"/>
      </w:pPr>
      <w:r>
        <w:rPr>
          <w:rFonts w:ascii="Arial" w:cs="Arial" w:eastAsia="Arial" w:hAnsi="Arial"/>
          <w:b/>
          <w:bCs/>
          <w:color w:val="C47B0B"/>
          <w:sz w:val="24"/>
          <w:szCs w:val="24"/>
        </w:rPr>
        <w:t xml:space="preserve">7.1 ICESDA 2024</w:t>
      </w:r>
    </w:p>
    <w:p>
      <w:pPr>
        <w:spacing w:after="140" w:line="324"/>
        <w:jc w:val="both"/>
      </w:pPr>
      <w:r>
        <w:rPr>
          <w:rFonts w:ascii="Arial" w:cs="Arial" w:eastAsia="Arial" w:hAnsi="Arial"/>
          <w:color w:val="000000"/>
          <w:sz w:val="24"/>
          <w:szCs w:val="24"/>
        </w:rPr>
        <w:t xml:space="preserve">The First International Conference on Environment, Social and Governance and Sustainable Development of Africa was convened at Kwame Nkrumah University of Science and Technology, Kumasi, under the theme "Enhancing Environment, Social, Governance and Sustainability for Africa Development". It was the first convening of its kind in Ghana and in the sub region to bring business, political, traditional, religious and academic leadership together with ESG and CSR practitioners.</w:t>
      </w:r>
    </w:p>
    <w:p>
      <w:pPr>
        <w:spacing w:after="140" w:line="324"/>
        <w:jc w:val="both"/>
      </w:pPr>
      <w:r>
        <w:rPr>
          <w:rFonts w:ascii="Arial" w:cs="Arial" w:eastAsia="Arial" w:hAnsi="Arial"/>
          <w:color w:val="000000"/>
          <w:sz w:val="24"/>
          <w:szCs w:val="24"/>
        </w:rPr>
        <w:t xml:space="preserve">The programme carried keynote addresses, technical and academic presentations, breakout sessions, panel discussions, workshops and case studies across ten tracks. Contributors included professorial and executive leadership from KNUST, Birmingham City University, the University of Johannesburg, London South Bank University, Walter Sisulu University, Pentecost University, AAMUSTED, Takoradi Technical University, Koforidua Technical University and Sunyani Technical University, together with principals from the Jospong Group, the McDan Group, Gold Fields Ghana Foundation, Fidelity Bank Ghana, FeDems Group, Injaro Investment Advisors and the African Capacity Building Foundation.</w:t>
      </w:r>
    </w:p>
    <w:p>
      <w:pPr>
        <w:pStyle w:val="Heading2"/>
        <w:spacing w:after="120" w:before="240"/>
      </w:pPr>
      <w:r>
        <w:rPr>
          <w:rFonts w:ascii="Arial" w:cs="Arial" w:eastAsia="Arial" w:hAnsi="Arial"/>
          <w:b/>
          <w:bCs/>
          <w:color w:val="C47B0B"/>
          <w:sz w:val="24"/>
          <w:szCs w:val="24"/>
        </w:rPr>
        <w:t xml:space="preserve">7.2 ICESDA 2025</w:t>
      </w:r>
    </w:p>
    <w:p>
      <w:pPr>
        <w:spacing w:after="140" w:line="324"/>
        <w:jc w:val="both"/>
      </w:pPr>
      <w:r>
        <w:rPr>
          <w:rFonts w:ascii="Arial" w:cs="Arial" w:eastAsia="Arial" w:hAnsi="Arial"/>
          <w:color w:val="000000"/>
          <w:sz w:val="24"/>
          <w:szCs w:val="24"/>
        </w:rPr>
        <w:t xml:space="preserve">The Second International Conference was held from 22 to 24 October 2025 at the GIMPA Executive Conference Centre in Accra, hosted by the Ghana Institute of Management and Public Administration, under the theme "From Cradle to Cradle: Putting ESG and Sustainability First in Africa Green Transition Effort". It drew over 385 in person delegates from across Africa and beyond, with women constituting approximately forty five per cent of delegates and holding roles as speakers, moderators and rapporteurs.</w:t>
      </w:r>
    </w:p>
    <w:p>
      <w:pPr>
        <w:spacing w:after="140" w:line="324"/>
        <w:jc w:val="both"/>
      </w:pPr>
      <w:r>
        <w:rPr>
          <w:rFonts w:ascii="Arial" w:cs="Arial" w:eastAsia="Arial" w:hAnsi="Arial"/>
          <w:color w:val="000000"/>
          <w:sz w:val="24"/>
          <w:szCs w:val="24"/>
        </w:rPr>
        <w:t xml:space="preserve">A pre conference doctoral workshop and masterclass was convened on 22 October 2025 in collaboration with the Africa Centre for Doctoral Studies and Applied Research, covering the doctoral journey, data analysis tools, and bibliometric and systematic literature review methods. The main programme carried keynote addresses, plenary sessions, panel discussions, a Youth and Emerging Scholars Forum, an awards programme across nine categories, and the Adinkratecture exhibition on the Ghanaianisation of the Sustainable Development Goals through Adinkra symbology.</w:t>
      </w:r>
    </w:p>
    <w:p>
      <w:pPr>
        <w:spacing w:after="140" w:line="324"/>
        <w:jc w:val="both"/>
      </w:pPr>
      <w:r>
        <w:rPr>
          <w:rFonts w:ascii="Arial" w:cs="Arial" w:eastAsia="Arial" w:hAnsi="Arial"/>
          <w:color w:val="000000"/>
          <w:sz w:val="24"/>
          <w:szCs w:val="24"/>
        </w:rPr>
        <w:t xml:space="preserve">Academic partners included GIMPA as host, together with KNUST, Pentecost University, Walter Sisulu University, Accra Metropolitan University, the University of Ghana, the Global Institute for Planning and Sustainable Development, the Africa Centre for Doctoral Studies and Applied Research, Wisconsin International University and Kumasi Technical University. Industry and professional partners included the Institution of Engineering and Technology Ghana, UN Global Compact Network Ghana, the Africa Corporate Governance Network, Women in Sustainability Africa, the Ghana Institute of Safety and Environmental Professionals, the Ghana Green Building Council and PanAvest International. Government and regulatory partners included the State Interests and Governance Authority, the National Communications Authority and the Ministry of Education.</w:t>
      </w:r>
    </w:p>
    <w:p>
      <w:pPr>
        <w:pStyle w:val="Heading2"/>
        <w:spacing w:after="120" w:before="240"/>
      </w:pPr>
      <w:r>
        <w:rPr>
          <w:rFonts w:ascii="Arial" w:cs="Arial" w:eastAsia="Arial" w:hAnsi="Arial"/>
          <w:b/>
          <w:bCs/>
          <w:color w:val="C47B0B"/>
          <w:sz w:val="24"/>
          <w:szCs w:val="24"/>
        </w:rPr>
        <w:t xml:space="preserve">7.3 Summary of the promoter record</w:t>
      </w:r>
    </w:p>
    <w:p>
      <w:pPr>
        <w:spacing w:after="60" w:line="324"/>
        <w:jc w:val="both"/>
      </w:pPr>
      <w:r>
        <w:rPr>
          <w:rFonts w:ascii="Arial" w:cs="Arial" w:eastAsia="Arial" w:hAnsi="Arial"/>
          <w:color w:val="000000"/>
          <w:sz w:val="24"/>
          <w:szCs w:val="24"/>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2600"/>
        <w:gridCol w:w="2600"/>
        <w:gridCol w:w="2560"/>
      </w:tblGrid>
      <w:tr>
        <w:trPr>
          <w:tblHeader/>
        </w:trPr>
        <w:tc>
          <w:tcPr>
            <w:tcW w:type="dxa" w:w="16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Period</w:t>
            </w:r>
          </w:p>
        </w:tc>
        <w:tc>
          <w:tcPr>
            <w:tcW w:type="dxa" w:w="26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Activity</w:t>
            </w:r>
          </w:p>
        </w:tc>
        <w:tc>
          <w:tcPr>
            <w:tcW w:type="dxa" w:w="26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Venue and host</w:t>
            </w:r>
          </w:p>
        </w:tc>
        <w:tc>
          <w:tcPr>
            <w:tcW w:type="dxa" w:w="256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Scale</w:t>
            </w:r>
          </w:p>
        </w:tc>
      </w:tr>
      <w:tr>
        <w:trPr>
          <w:tblHeader w:val="false"/>
        </w:trPr>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May 2024</w:t>
            </w:r>
          </w:p>
        </w:tc>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ICESDA 2024, first international conference</w:t>
            </w:r>
          </w:p>
        </w:tc>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Kwame Nkrumah University of Science and Technology, Kumasi, Ghana</w:t>
            </w:r>
          </w:p>
        </w:tc>
        <w:tc>
          <w:tcPr>
            <w:tcW w:type="dxa" w:w="25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Over 28 keynote and plenary speakers; multi track technical programme across ten thematic tracks</w:t>
            </w:r>
          </w:p>
        </w:tc>
      </w:tr>
      <w:tr>
        <w:trPr>
          <w:tblHeader w:val="false"/>
        </w:trPr>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22 to 24 October 2025</w:t>
            </w:r>
          </w:p>
        </w:tc>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ICESDA 2025, second international conference</w:t>
            </w:r>
          </w:p>
        </w:tc>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GIMPA Executive Conference Centre, Accra</w:t>
            </w:r>
          </w:p>
        </w:tc>
        <w:tc>
          <w:tcPr>
            <w:tcW w:type="dxa" w:w="25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Over 385 in person delegates; nine award categories; doctoral workshop</w:t>
            </w:r>
          </w:p>
        </w:tc>
      </w:tr>
      <w:tr>
        <w:trPr>
          <w:tblHeader w:val="false"/>
        </w:trPr>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Continuing</w:t>
            </w:r>
          </w:p>
        </w:tc>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Institutional partnerships and correspondence</w:t>
            </w:r>
          </w:p>
        </w:tc>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Pan African and international</w:t>
            </w:r>
          </w:p>
        </w:tc>
        <w:tc>
          <w:tcPr>
            <w:tcW w:type="dxa" w:w="25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Academic, industry, professional and government partners across Africa, Europe and North America</w:t>
            </w:r>
          </w:p>
        </w:tc>
      </w:tr>
    </w:tbl>
    <w:p>
      <w:pPr>
        <w:spacing w:after="220" w:line="324"/>
        <w:jc w:val="both"/>
      </w:pPr>
      <w:r>
        <w:rPr>
          <w:rFonts w:ascii="Arial" w:cs="Arial" w:eastAsia="Arial" w:hAnsi="Arial"/>
          <w:color w:val="000000"/>
          <w:sz w:val="24"/>
          <w:szCs w:val="24"/>
        </w:rPr>
        <w:t xml:space="preserve"/>
      </w:r>
    </w:p>
    <w:p>
      <w:pPr>
        <w:pStyle w:val="Heading1"/>
        <w:spacing w:after="160" w:before="320"/>
      </w:pPr>
      <w:r>
        <w:rPr>
          <w:rFonts w:ascii="Arial" w:cs="Arial" w:eastAsia="Arial" w:hAnsi="Arial"/>
          <w:b/>
          <w:bCs/>
          <w:color w:val="1A5C2A"/>
          <w:sz w:val="28"/>
          <w:szCs w:val="28"/>
        </w:rPr>
        <w:t xml:space="preserve">8. Planned activities for the coming twelve months</w:t>
      </w:r>
    </w:p>
    <w:p>
      <w:pPr>
        <w:pStyle w:val="ListParagraph"/>
        <w:numPr>
          <w:ilvl w:val="0"/>
          <w:numId w:val="2"/>
        </w:numPr>
        <w:spacing w:after="90" w:line="324"/>
        <w:jc w:val="both"/>
      </w:pPr>
      <w:r>
        <w:rPr>
          <w:rFonts w:ascii="Arial" w:cs="Arial" w:eastAsia="Arial" w:hAnsi="Arial"/>
          <w:sz w:val="24"/>
          <w:szCs w:val="24"/>
        </w:rPr>
        <w:t xml:space="preserve">Completion of the membership invitation and consent programme against the working register.</w:t>
      </w:r>
    </w:p>
    <w:p>
      <w:pPr>
        <w:pStyle w:val="ListParagraph"/>
        <w:numPr>
          <w:ilvl w:val="0"/>
          <w:numId w:val="2"/>
        </w:numPr>
        <w:spacing w:after="90" w:line="324"/>
        <w:jc w:val="both"/>
      </w:pPr>
      <w:r>
        <w:rPr>
          <w:rFonts w:ascii="Arial" w:cs="Arial" w:eastAsia="Arial" w:hAnsi="Arial"/>
          <w:sz w:val="24"/>
          <w:szCs w:val="24"/>
        </w:rPr>
        <w:t xml:space="preserve">Inaugural General Meeting and formal election of the Governing Council and officers.</w:t>
      </w:r>
    </w:p>
    <w:p>
      <w:pPr>
        <w:pStyle w:val="ListParagraph"/>
        <w:numPr>
          <w:ilvl w:val="0"/>
          <w:numId w:val="2"/>
        </w:numPr>
        <w:spacing w:after="90" w:line="324"/>
        <w:jc w:val="both"/>
      </w:pPr>
      <w:r>
        <w:rPr>
          <w:rFonts w:ascii="Arial" w:cs="Arial" w:eastAsia="Arial" w:hAnsi="Arial"/>
          <w:sz w:val="24"/>
          <w:szCs w:val="24"/>
        </w:rPr>
        <w:t xml:space="preserve">First professional examination diet under the adopted syllabuses.</w:t>
      </w:r>
    </w:p>
    <w:p>
      <w:pPr>
        <w:pStyle w:val="ListParagraph"/>
        <w:numPr>
          <w:ilvl w:val="0"/>
          <w:numId w:val="2"/>
        </w:numPr>
        <w:spacing w:after="90" w:line="324"/>
        <w:jc w:val="both"/>
      </w:pPr>
      <w:r>
        <w:rPr>
          <w:rFonts w:ascii="Arial" w:cs="Arial" w:eastAsia="Arial" w:hAnsi="Arial"/>
          <w:sz w:val="24"/>
          <w:szCs w:val="24"/>
        </w:rPr>
        <w:t xml:space="preserve">Publication of the practice standards for forensic delay and quantum analysis and for project assurance engagements.</w:t>
      </w:r>
    </w:p>
    <w:p>
      <w:pPr>
        <w:pStyle w:val="ListParagraph"/>
        <w:numPr>
          <w:ilvl w:val="0"/>
          <w:numId w:val="2"/>
        </w:numPr>
        <w:spacing w:after="90" w:line="324"/>
        <w:jc w:val="both"/>
      </w:pPr>
      <w:r>
        <w:rPr>
          <w:rFonts w:ascii="Arial" w:cs="Arial" w:eastAsia="Arial" w:hAnsi="Arial"/>
          <w:sz w:val="24"/>
          <w:szCs w:val="24"/>
        </w:rPr>
        <w:t xml:space="preserve">Continuing professional development programme for admitted members.</w:t>
      </w:r>
    </w:p>
    <w:p>
      <w:pPr>
        <w:pStyle w:val="ListParagraph"/>
        <w:numPr>
          <w:ilvl w:val="0"/>
          <w:numId w:val="2"/>
        </w:numPr>
        <w:spacing w:after="90" w:line="324"/>
        <w:jc w:val="both"/>
      </w:pPr>
      <w:r>
        <w:rPr>
          <w:rFonts w:ascii="Arial" w:cs="Arial" w:eastAsia="Arial" w:hAnsi="Arial"/>
          <w:sz w:val="24"/>
          <w:szCs w:val="24"/>
        </w:rPr>
        <w:t xml:space="preserve">Institutional partnership agreements with accrediting academic institutions across the continent.</w:t>
      </w:r>
    </w:p>
    <w:p>
      <w:pPr>
        <w:pStyle w:val="Heading1"/>
        <w:spacing w:after="160" w:before="320"/>
      </w:pPr>
      <w:r>
        <w:rPr>
          <w:rFonts w:ascii="Arial" w:cs="Arial" w:eastAsia="Arial" w:hAnsi="Arial"/>
          <w:b/>
          <w:bCs/>
          <w:color w:val="1A5C2A"/>
          <w:sz w:val="28"/>
          <w:szCs w:val="28"/>
        </w:rPr>
        <w:t xml:space="preserve">9. Certification</w:t>
      </w:r>
    </w:p>
    <w:p>
      <w:pPr>
        <w:spacing w:after="140" w:line="324"/>
        <w:jc w:val="both"/>
      </w:pPr>
      <w:r>
        <w:rPr>
          <w:rFonts w:ascii="Arial" w:cs="Arial" w:eastAsia="Arial" w:hAnsi="Arial"/>
          <w:color w:val="000000"/>
          <w:sz w:val="24"/>
          <w:szCs w:val="24"/>
        </w:rPr>
        <w:t xml:space="preserve">We certify that the statement of activities set out above is a true record of the activities of the African Institute of Project Assurance and Forensics for the period covered, and that the activities recorded in section 7 are those of the promoting institution and are so identified.</w:t>
      </w:r>
    </w:p>
    <w:p>
      <w:pPr>
        <w:spacing w:after="400" w:line="324"/>
        <w:jc w:val="both"/>
      </w:pPr>
      <w:r>
        <w:rPr>
          <w:rFonts w:ascii="Arial" w:cs="Arial" w:eastAsia="Arial" w:hAnsi="Arial"/>
          <w:color w:val="000000"/>
          <w:sz w:val="24"/>
          <w:szCs w:val="24"/>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President</w:t>
            </w:r>
          </w:p>
        </w:tc>
        <w:tc>
          <w:tcPr>
            <w:tcW w:type="dxa" w:w="468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Honorary Secretary</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
Signature
</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
Signature
</w:t>
            </w:r>
          </w:p>
        </w:tc>
      </w:tr>
      <w:tr>
        <w:trPr>
          <w:tblHeader w:val="false"/>
        </w:trPr>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Name</w:t>
            </w:r>
          </w:p>
        </w:tc>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Name</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Date</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Date</w:t>
            </w:r>
          </w:p>
        </w:tc>
      </w:tr>
    </w:tbl>
    <w:p>
      <w:pPr>
        <w:spacing w:after="240" w:line="324"/>
        <w:jc w:val="both"/>
      </w:pPr>
      <w:r>
        <w:rPr>
          <w:rFonts w:ascii="Arial" w:cs="Arial" w:eastAsia="Arial" w:hAnsi="Arial"/>
          <w:color w:val="000000"/>
          <w:sz w:val="24"/>
          <w:szCs w:val="24"/>
        </w:rPr>
        <w:t xml:space="preserve"/>
      </w:r>
    </w:p>
    <w:p>
      <w:pPr>
        <w:pStyle w:val="Heading1"/>
        <w:spacing w:after="160" w:before="320"/>
      </w:pPr>
      <w:r>
        <w:rPr>
          <w:rFonts w:ascii="Arial" w:cs="Arial" w:eastAsia="Arial" w:hAnsi="Arial"/>
          <w:b/>
          <w:bCs/>
          <w:color w:val="1A5C2A"/>
          <w:sz w:val="28"/>
          <w:szCs w:val="28"/>
        </w:rPr>
        <w:t xml:space="preserve">10. Completion notes</w:t>
      </w:r>
    </w:p>
    <w:p>
      <w:pPr>
        <w:spacing w:after="140" w:line="324"/>
        <w:jc w:val="both"/>
      </w:pPr>
      <w:r>
        <w:rPr>
          <w:rFonts w:ascii="Arial" w:cs="Arial" w:eastAsia="Arial" w:hAnsi="Arial"/>
          <w:color w:val="000000"/>
          <w:sz w:val="24"/>
          <w:szCs w:val="24"/>
        </w:rPr>
        <w:t xml:space="preserve">Three items require completion from the records of the Institute before execution.</w:t>
      </w:r>
    </w:p>
    <w:p>
      <w:pPr>
        <w:pStyle w:val="ListParagraph"/>
        <w:numPr>
          <w:ilvl w:val="0"/>
          <w:numId w:val="2"/>
        </w:numPr>
        <w:spacing w:after="90" w:line="324"/>
        <w:jc w:val="both"/>
      </w:pPr>
      <w:r>
        <w:rPr>
          <w:rFonts w:ascii="Arial" w:cs="Arial" w:eastAsia="Arial" w:hAnsi="Arial"/>
          <w:sz w:val="24"/>
          <w:szCs w:val="24"/>
        </w:rPr>
        <w:t xml:space="preserve">Dates in section 6 are to be taken from the minute book and the resolutions of the founding meeting.</w:t>
      </w:r>
    </w:p>
    <w:p>
      <w:pPr>
        <w:pStyle w:val="ListParagraph"/>
        <w:numPr>
          <w:ilvl w:val="0"/>
          <w:numId w:val="2"/>
        </w:numPr>
        <w:spacing w:after="90" w:line="324"/>
        <w:jc w:val="both"/>
      </w:pPr>
      <w:r>
        <w:rPr>
          <w:rFonts w:ascii="Arial" w:cs="Arial" w:eastAsia="Arial" w:hAnsi="Arial"/>
          <w:sz w:val="24"/>
          <w:szCs w:val="24"/>
        </w:rPr>
        <w:t xml:space="preserve">The exact conference dates for ICESDA 2024 in section 7.3 are to be inserted from the conference file. The venue is confirmed as Kwame Nkrumah University of Science and Technology, Kumasi.</w:t>
      </w:r>
    </w:p>
    <w:p>
      <w:pPr>
        <w:pStyle w:val="ListParagraph"/>
        <w:numPr>
          <w:ilvl w:val="0"/>
          <w:numId w:val="2"/>
        </w:numPr>
        <w:spacing w:after="90" w:line="324"/>
        <w:jc w:val="both"/>
      </w:pPr>
      <w:r>
        <w:rPr>
          <w:rFonts w:ascii="Arial" w:cs="Arial" w:eastAsia="Arial" w:hAnsi="Arial"/>
          <w:sz w:val="24"/>
          <w:szCs w:val="24"/>
        </w:rPr>
        <w:t xml:space="preserve">The registered office and postal address of the Institute are to be inserted on the face of Form A and should match the address recorded in the constitution.</w:t>
      </w:r>
    </w:p>
    <w:p>
      <w:pPr>
        <w:spacing w:after="140" w:line="324"/>
        <w:jc w:val="both"/>
      </w:pPr>
      <w:r>
        <w:rPr>
          <w:rFonts w:ascii="Arial" w:cs="Arial" w:eastAsia="Arial" w:hAnsi="Arial"/>
          <w:i/>
          <w:iCs/>
          <w:color w:val="000000"/>
          <w:sz w:val="24"/>
          <w:szCs w:val="24"/>
        </w:rPr>
        <w:t xml:space="preserve">Sources for section 7 are the ICESDA 2024 draft conference report and the ICESDA 2025 conference report, both prepared by Green Communities International.</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2A" w:sz="6" w:space="4"/>
      </w:pBdr>
      <w:spacing w:after="0"/>
      <w:jc w:val="right"/>
    </w:pPr>
    <w:r>
      <w:rPr>
        <w:rFonts w:ascii="Arial" w:cs="Arial" w:eastAsia="Arial" w:hAnsi="Arial"/>
        <w:color w:val="595959"/>
        <w:sz w:val="16"/>
        <w:szCs w:val="16"/>
      </w:rPr>
      <w:t xml:space="preserve">AIPAF Statement of Activities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2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AIPAF Statement of Activities</dc:title>
  <dc:creator>African Institute of Project Assurance and Forensics</dc:creator>
  <cp:lastModifiedBy>Un-named</cp:lastModifiedBy>
  <cp:revision>1</cp:revision>
  <dcterms:created xsi:type="dcterms:W3CDTF">2026-08-23T03:59:13.616Z</dcterms:created>
  <dcterms:modified xsi:type="dcterms:W3CDTF">2026-08-23T03:59:13.616Z</dcterms:modified>
</cp:coreProperties>
</file>

<file path=docProps/custom.xml><?xml version="1.0" encoding="utf-8"?>
<Properties xmlns="http://schemas.openxmlformats.org/officeDocument/2006/custom-properties" xmlns:vt="http://schemas.openxmlformats.org/officeDocument/2006/docPropsVTypes"/>
</file>