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C47B0B"/>
          <w:spacing w:val="40"/>
          <w:sz w:val="18"/>
          <w:szCs w:val="18"/>
        </w:rPr>
        <w:t xml:space="preserve">CONSTITUTION INSERT</w:t>
      </w:r>
    </w:p>
    <w:p>
      <w:pPr>
        <w:spacing w:after="60"/>
      </w:pPr>
      <w:r>
        <w:rPr>
          <w:rFonts w:ascii="Arial" w:cs="Arial" w:eastAsia="Arial" w:hAnsi="Arial"/>
          <w:b/>
          <w:bCs/>
          <w:color w:val="1A5C2A"/>
          <w:sz w:val="32"/>
          <w:szCs w:val="32"/>
        </w:rPr>
        <w:t xml:space="preserve">Faculties of the Institute</w:t>
      </w:r>
    </w:p>
    <w:p>
      <w:pPr>
        <w:spacing w:after="120"/>
      </w:pPr>
      <w:r>
        <w:rPr>
          <w:rFonts w:ascii="Arial" w:cs="Arial" w:eastAsia="Arial" w:hAnsi="Arial"/>
          <w:color w:val="404040"/>
          <w:sz w:val="24"/>
          <w:szCs w:val="24"/>
        </w:rPr>
        <w:t xml:space="preserve">Dormant provisions for divisional structure, with consequential amendments</w:t>
      </w:r>
    </w:p>
    <w:p>
      <w:pPr>
        <w:pBdr>
          <w:bottom w:val="single" w:color="C47B0B" w:sz="8" w:space="6"/>
        </w:pBdr>
        <w:spacing w:after="220"/>
      </w:pPr>
      <w:r>
        <w:rPr>
          <w:rFonts w:ascii="Arial" w:cs="Arial" w:eastAsia="Arial" w:hAnsi="Arial"/>
          <w:sz w:val="12"/>
          <w:szCs w:val="12"/>
        </w:rPr>
        <w:t xml:space="preserve"/>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760"/>
      </w:tblGrid>
      <w:tr>
        <w:trPr>
          <w:tblHeader/>
        </w:trPr>
        <w:tc>
          <w:tcPr>
            <w:tcW w:type="dxa" w:w="2600"/>
            <w:shd w:fill="1A5C2A" w:color="auto" w:val="clear"/>
            <w:tcMar>
              <w:top w:type="dxa" w:w="70"/>
              <w:left w:type="dxa" w:w="100"/>
              <w:bottom w:type="dxa" w:w="70"/>
              <w:right w:type="dxa" w:w="100"/>
            </w:tcMar>
          </w:tcPr>
          <w:p>
            <w:pPr>
              <w:spacing w:after="0" w:line="297"/>
              <w:jc w:val="left"/>
            </w:pPr>
            <w:r>
              <w:rPr>
                <w:rFonts w:ascii="Arial" w:cs="Arial" w:eastAsia="Arial" w:hAnsi="Arial"/>
                <w:b/>
                <w:bCs/>
                <w:color w:val="FFFFFF"/>
                <w:sz w:val="22"/>
                <w:szCs w:val="22"/>
              </w:rPr>
              <w:t xml:space="preserve">Field</w:t>
            </w:r>
          </w:p>
        </w:tc>
        <w:tc>
          <w:tcPr>
            <w:tcW w:type="dxa" w:w="6760"/>
            <w:shd w:fill="1A5C2A" w:color="auto" w:val="clear"/>
            <w:tcMar>
              <w:top w:type="dxa" w:w="70"/>
              <w:left w:type="dxa" w:w="100"/>
              <w:bottom w:type="dxa" w:w="70"/>
              <w:right w:type="dxa" w:w="100"/>
            </w:tcMar>
          </w:tcPr>
          <w:p>
            <w:pPr>
              <w:spacing w:after="0" w:line="297"/>
              <w:jc w:val="left"/>
            </w:pPr>
            <w:r>
              <w:rPr>
                <w:rFonts w:ascii="Arial" w:cs="Arial" w:eastAsia="Arial" w:hAnsi="Arial"/>
                <w:b/>
                <w:bCs/>
                <w:color w:val="FFFFFF"/>
                <w:sz w:val="22"/>
                <w:szCs w:val="22"/>
              </w:rPr>
              <w:t xml:space="preserve">Particulars</w:t>
            </w:r>
          </w:p>
        </w:tc>
      </w:tr>
      <w:tr>
        <w:trPr>
          <w:tblHeader w:val="false"/>
        </w:trPr>
        <w:tc>
          <w:tcPr>
            <w:tcW w:type="dxa" w:w="26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Instrument</w:t>
            </w:r>
          </w:p>
        </w:tc>
        <w:tc>
          <w:tcPr>
            <w:tcW w:type="dxa" w:w="676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Constitution of the African Institute of Project Assurance and Forensics</w:t>
            </w:r>
          </w:p>
        </w:tc>
      </w:tr>
      <w:tr>
        <w:trPr>
          <w:tblHeader w:val="false"/>
        </w:trPr>
        <w:tc>
          <w:tcPr>
            <w:tcW w:type="dxa" w:w="26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Insert</w:t>
            </w:r>
          </w:p>
        </w:tc>
        <w:tc>
          <w:tcPr>
            <w:tcW w:type="dxa" w:w="676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New Article to be numbered on insertion, with consequential amendments at Part 5</w:t>
            </w:r>
          </w:p>
        </w:tc>
      </w:tr>
      <w:tr>
        <w:trPr>
          <w:tblHeader w:val="false"/>
        </w:trPr>
        <w:tc>
          <w:tcPr>
            <w:tcW w:type="dxa" w:w="26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Effect on filing</w:t>
            </w:r>
          </w:p>
        </w:tc>
        <w:tc>
          <w:tcPr>
            <w:tcW w:type="dxa" w:w="676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None. No Faculty is constituted on adoption and none is asserted in the application for registration</w:t>
            </w:r>
          </w:p>
        </w:tc>
      </w:tr>
      <w:tr>
        <w:trPr>
          <w:tblHeader w:val="false"/>
        </w:trPr>
        <w:tc>
          <w:tcPr>
            <w:tcW w:type="dxa" w:w="26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Prepared by</w:t>
            </w:r>
          </w:p>
        </w:tc>
        <w:tc>
          <w:tcPr>
            <w:tcW w:type="dxa" w:w="676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Prof. De-Graft Owusu-Manu, Founding Convenor</w:t>
            </w:r>
          </w:p>
        </w:tc>
      </w:tr>
    </w:tbl>
    <w:p>
      <w:pPr>
        <w:spacing w:after="220" w:line="324"/>
        <w:jc w:val="both"/>
      </w:pPr>
      <w:r>
        <w:rPr>
          <w:rFonts w:ascii="Arial" w:cs="Arial" w:eastAsia="Arial" w:hAnsi="Arial"/>
          <w:color w:val="000000"/>
          <w:sz w:val="24"/>
          <w:szCs w:val="24"/>
        </w:rPr>
        <w:t xml:space="preserve"/>
      </w:r>
    </w:p>
    <w:p>
      <w:pPr>
        <w:pStyle w:val="Heading1"/>
        <w:spacing w:after="160" w:before="320"/>
      </w:pPr>
      <w:r>
        <w:rPr>
          <w:rFonts w:ascii="Arial" w:cs="Arial" w:eastAsia="Arial" w:hAnsi="Arial"/>
          <w:b/>
          <w:bCs/>
          <w:color w:val="1A5C2A"/>
          <w:sz w:val="28"/>
          <w:szCs w:val="28"/>
        </w:rPr>
        <w:t xml:space="preserve">1. Purpose of the insert</w:t>
      </w:r>
    </w:p>
    <w:p>
      <w:pPr>
        <w:spacing w:after="150" w:line="324"/>
        <w:jc w:val="both"/>
      </w:pPr>
      <w:r>
        <w:rPr>
          <w:rFonts w:ascii="Arial" w:cs="Arial" w:eastAsia="Arial" w:hAnsi="Arial"/>
          <w:color w:val="000000"/>
          <w:sz w:val="24"/>
          <w:szCs w:val="24"/>
        </w:rPr>
        <w:t xml:space="preserve">The Institute will in time develop distinct bodies of knowledge within its field. Project assurance and project forensics share a common competence applied at different points in the project lifecycle, but project cost engineering and value management each carry a body of knowledge, a method and a literature of their own. A body that eventually examines separately in those areas will need a divisional structure, and the usual instruments for it are Faculties or Divisions of the governing Institute.</w:t>
      </w:r>
    </w:p>
    <w:p>
      <w:pPr>
        <w:spacing w:after="150" w:line="324"/>
        <w:jc w:val="both"/>
      </w:pPr>
      <w:r>
        <w:rPr>
          <w:rFonts w:ascii="Arial" w:cs="Arial" w:eastAsia="Arial" w:hAnsi="Arial"/>
          <w:color w:val="000000"/>
          <w:sz w:val="24"/>
          <w:szCs w:val="24"/>
        </w:rPr>
        <w:t xml:space="preserve">The provisions below create that capacity without exercising it. On adoption, no Faculty exists. The Governing Council may constitute one later by special resolution, at a point when the Institute has the membership and the examining capacity to sustain it.</w:t>
      </w:r>
    </w:p>
    <w:p>
      <w:pPr>
        <w:spacing w:after="150" w:line="324"/>
        <w:jc w:val="both"/>
      </w:pPr>
      <w:r>
        <w:rPr>
          <w:rFonts w:ascii="Arial" w:cs="Arial" w:eastAsia="Arial" w:hAnsi="Arial"/>
          <w:color w:val="000000"/>
          <w:sz w:val="24"/>
          <w:szCs w:val="24"/>
        </w:rPr>
        <w:t xml:space="preserve">The reason for taking the power now rather than later is practical. Amending a constitution after registration requires a special resolution and notification to the Registrar, and the amendment itself invites the Registrar to look again at the scope of the profession. Taking a dormant power at the outset avoids that, and it costs nothing.</w:t>
      </w:r>
    </w:p>
    <w:p>
      <w:pPr>
        <w:pStyle w:val="Heading1"/>
        <w:spacing w:after="160" w:before="320"/>
      </w:pPr>
      <w:r>
        <w:rPr>
          <w:rFonts w:ascii="Arial" w:cs="Arial" w:eastAsia="Arial" w:hAnsi="Arial"/>
          <w:b/>
          <w:bCs/>
          <w:color w:val="1A5C2A"/>
          <w:sz w:val="28"/>
          <w:szCs w:val="28"/>
        </w:rPr>
        <w:t xml:space="preserve">2. Why the Faculties remain dormant at registration</w:t>
      </w:r>
    </w:p>
    <w:p>
      <w:pPr>
        <w:spacing w:after="150" w:line="324"/>
        <w:jc w:val="both"/>
      </w:pPr>
      <w:r>
        <w:rPr>
          <w:rFonts w:ascii="Arial" w:cs="Arial" w:eastAsia="Arial" w:hAnsi="Arial"/>
          <w:color w:val="000000"/>
          <w:sz w:val="24"/>
          <w:szCs w:val="24"/>
        </w:rPr>
        <w:t xml:space="preserve">This bears stating plainly, because the instinct is to set out the divisional structure in full as evidence of institutional seriousness. In this instance it would work against the application.</w:t>
      </w:r>
    </w:p>
    <w:p>
      <w:pPr>
        <w:spacing w:after="150" w:line="324"/>
        <w:jc w:val="both"/>
      </w:pPr>
      <w:r>
        <w:rPr>
          <w:rFonts w:ascii="Arial" w:cs="Arial" w:eastAsia="Arial" w:hAnsi="Arial"/>
          <w:color w:val="000000"/>
          <w:sz w:val="24"/>
          <w:szCs w:val="24"/>
        </w:rPr>
        <w:t xml:space="preserve">Registration under the Professional Bodies Registration Act, 1973 (NRCD 143) turns on the Institute representing at least seventy five per cent of all persons trained and qualified in the profession concerned, and the Registrar does not register more than one professional body in respect of any one profession. A constitution that presents independent divisions on its face invites the question whether each division is a separate profession. If the Registrar answers yes, the coverage test applies division by division, the denominator fragments, and the Institute faces an incumbent in at least one of them, since cost engineering touches territory occupied by the Ghana Institute of Surveyors.</w:t>
      </w:r>
    </w:p>
    <w:p>
      <w:pPr>
        <w:spacing w:after="150" w:line="324"/>
        <w:jc w:val="both"/>
      </w:pPr>
      <w:r>
        <w:rPr>
          <w:rFonts w:ascii="Arial" w:cs="Arial" w:eastAsia="Arial" w:hAnsi="Arial"/>
          <w:color w:val="000000"/>
          <w:sz w:val="24"/>
          <w:szCs w:val="24"/>
        </w:rPr>
        <w:t xml:space="preserve">The application therefore presents a single profession with a single qualification pathway and a single enumerable population, being the graduate roll of the qualifying postgraduate programmes. The Faculties provisions sit in the constitution as a power in reserve, exercisable once the Institute is registered and established, and are not asserted in the application.</w:t>
      </w:r>
    </w:p>
    <w:p>
      <w:pPr>
        <w:pStyle w:val="Heading1"/>
        <w:spacing w:after="160" w:before="320"/>
      </w:pPr>
      <w:r>
        <w:rPr>
          <w:rFonts w:ascii="Arial" w:cs="Arial" w:eastAsia="Arial" w:hAnsi="Arial"/>
          <w:b/>
          <w:bCs/>
          <w:color w:val="1A5C2A"/>
          <w:sz w:val="28"/>
          <w:szCs w:val="28"/>
        </w:rPr>
        <w:t xml:space="preserve">3. Drafted provisions</w:t>
      </w:r>
    </w:p>
    <w:p>
      <w:pPr>
        <w:spacing w:after="150" w:line="324"/>
        <w:jc w:val="both"/>
      </w:pPr>
      <w:r>
        <w:rPr>
          <w:rFonts w:ascii="Arial" w:cs="Arial" w:eastAsia="Arial" w:hAnsi="Arial"/>
          <w:color w:val="000000"/>
          <w:sz w:val="24"/>
          <w:szCs w:val="24"/>
        </w:rPr>
        <w:t xml:space="preserve">Insert as a new Article following the Article on Committees of the Council. Renumber subsequent Articles and update internal cross references. The clause numbers below use 34 as a placeholder.</w:t>
      </w:r>
    </w:p>
    <w:p>
      <w:pPr>
        <w:spacing w:after="200" w:line="324"/>
        <w:jc w:val="both"/>
      </w:pPr>
      <w:r>
        <w:rPr>
          <w:rFonts w:ascii="Arial" w:cs="Arial" w:eastAsia="Arial" w:hAnsi="Arial"/>
          <w:color w:val="000000"/>
          <w:sz w:val="24"/>
          <w:szCs w:val="24"/>
        </w:rPr>
        <w:t xml:space="preserve"/>
      </w:r>
    </w:p>
    <w:p>
      <w:pPr>
        <w:pStyle w:val="Heading2"/>
        <w:spacing w:after="120" w:before="240"/>
      </w:pPr>
      <w:r>
        <w:rPr>
          <w:rFonts w:ascii="Arial" w:cs="Arial" w:eastAsia="Arial" w:hAnsi="Arial"/>
          <w:b/>
          <w:bCs/>
          <w:color w:val="C47B0B"/>
          <w:sz w:val="24"/>
          <w:szCs w:val="24"/>
        </w:rPr>
        <w:t xml:space="preserve">Article 34. Faculties of the Institute</w:t>
      </w:r>
    </w:p>
    <w:p>
      <w:pPr>
        <w:tabs>
          <w:tab w:val="left" w:pos="1080"/>
        </w:tabs>
        <w:spacing w:after="130" w:line="324"/>
        <w:ind w:left="1080" w:hanging="1080"/>
        <w:jc w:val="both"/>
      </w:pPr>
      <w:r>
        <w:rPr>
          <w:rFonts w:ascii="Arial" w:cs="Arial" w:eastAsia="Arial" w:hAnsi="Arial"/>
          <w:b/>
          <w:bCs/>
          <w:sz w:val="24"/>
          <w:szCs w:val="24"/>
        </w:rPr>
        <w:t xml:space="preserve">34.1	</w:t>
      </w:r>
      <w:r>
        <w:rPr>
          <w:rFonts w:ascii="Arial" w:cs="Arial" w:eastAsia="Arial" w:hAnsi="Arial"/>
          <w:sz w:val="24"/>
          <w:szCs w:val="24"/>
        </w:rPr>
        <w:t xml:space="preserve">The Institute may have Faculties, each representing a distinct body of knowledge within the profession of project assurance and forensics.</w:t>
      </w:r>
    </w:p>
    <w:p>
      <w:pPr>
        <w:tabs>
          <w:tab w:val="left" w:pos="1080"/>
        </w:tabs>
        <w:spacing w:after="130" w:line="324"/>
        <w:ind w:left="1080" w:hanging="1080"/>
        <w:jc w:val="both"/>
      </w:pPr>
      <w:r>
        <w:rPr>
          <w:rFonts w:ascii="Arial" w:cs="Arial" w:eastAsia="Arial" w:hAnsi="Arial"/>
          <w:b/>
          <w:bCs/>
          <w:sz w:val="24"/>
          <w:szCs w:val="24"/>
        </w:rPr>
        <w:t xml:space="preserve">34.2	</w:t>
      </w:r>
      <w:r>
        <w:rPr>
          <w:rFonts w:ascii="Arial" w:cs="Arial" w:eastAsia="Arial" w:hAnsi="Arial"/>
          <w:sz w:val="24"/>
          <w:szCs w:val="24"/>
        </w:rPr>
        <w:t xml:space="preserve">No Faculty is constituted on the adoption of this Constitution. A Faculty comes into existence only on the passing of a special resolution of the Governing Council under clause 34.3, and until that time this Article confers a power and creates no body, office or entitlement.</w:t>
      </w:r>
    </w:p>
    <w:p>
      <w:pPr>
        <w:tabs>
          <w:tab w:val="left" w:pos="1080"/>
        </w:tabs>
        <w:spacing w:after="130" w:line="324"/>
        <w:ind w:left="1080" w:hanging="1080"/>
        <w:jc w:val="both"/>
      </w:pPr>
      <w:r>
        <w:rPr>
          <w:rFonts w:ascii="Arial" w:cs="Arial" w:eastAsia="Arial" w:hAnsi="Arial"/>
          <w:b/>
          <w:bCs/>
          <w:sz w:val="24"/>
          <w:szCs w:val="24"/>
        </w:rPr>
        <w:t xml:space="preserve">34.3	</w:t>
      </w:r>
      <w:r>
        <w:rPr>
          <w:rFonts w:ascii="Arial" w:cs="Arial" w:eastAsia="Arial" w:hAnsi="Arial"/>
          <w:sz w:val="24"/>
          <w:szCs w:val="24"/>
        </w:rPr>
        <w:t xml:space="preserve">The Governing Council may by special resolution, passed by not less than two thirds of its members present and voting at a meeting of which not less than twenty one days notice specifying the resolution has been given, constitute a Faculty, and shall in that resolution specify:</w:t>
      </w:r>
    </w:p>
    <w:p>
      <w:pPr>
        <w:tabs>
          <w:tab w:val="left" w:pos="1944"/>
        </w:tabs>
        <w:spacing w:after="110" w:line="324"/>
        <w:ind w:left="1944" w:hanging="648"/>
        <w:jc w:val="both"/>
      </w:pPr>
      <w:r>
        <w:rPr>
          <w:rFonts w:ascii="Arial" w:cs="Arial" w:eastAsia="Arial" w:hAnsi="Arial"/>
          <w:sz w:val="24"/>
          <w:szCs w:val="24"/>
        </w:rPr>
        <w:t xml:space="preserve">(a)	</w:t>
      </w:r>
      <w:r>
        <w:rPr>
          <w:rFonts w:ascii="Arial" w:cs="Arial" w:eastAsia="Arial" w:hAnsi="Arial"/>
          <w:sz w:val="24"/>
          <w:szCs w:val="24"/>
        </w:rPr>
        <w:t xml:space="preserve">the name and the field of knowledge of the Faculty;</w:t>
      </w:r>
    </w:p>
    <w:p>
      <w:pPr>
        <w:tabs>
          <w:tab w:val="left" w:pos="1944"/>
        </w:tabs>
        <w:spacing w:after="110" w:line="324"/>
        <w:ind w:left="1944" w:hanging="648"/>
        <w:jc w:val="both"/>
      </w:pPr>
      <w:r>
        <w:rPr>
          <w:rFonts w:ascii="Arial" w:cs="Arial" w:eastAsia="Arial" w:hAnsi="Arial"/>
          <w:sz w:val="24"/>
          <w:szCs w:val="24"/>
        </w:rPr>
        <w:t xml:space="preserve">(b)	</w:t>
      </w:r>
      <w:r>
        <w:rPr>
          <w:rFonts w:ascii="Arial" w:cs="Arial" w:eastAsia="Arial" w:hAnsi="Arial"/>
          <w:sz w:val="24"/>
          <w:szCs w:val="24"/>
        </w:rPr>
        <w:t xml:space="preserve">the classes of membership of the Institute eligible to enrol in it;</w:t>
      </w:r>
    </w:p>
    <w:p>
      <w:pPr>
        <w:tabs>
          <w:tab w:val="left" w:pos="1944"/>
        </w:tabs>
        <w:spacing w:after="110" w:line="324"/>
        <w:ind w:left="1944" w:hanging="648"/>
        <w:jc w:val="both"/>
      </w:pPr>
      <w:r>
        <w:rPr>
          <w:rFonts w:ascii="Arial" w:cs="Arial" w:eastAsia="Arial" w:hAnsi="Arial"/>
          <w:sz w:val="24"/>
          <w:szCs w:val="24"/>
        </w:rPr>
        <w:t xml:space="preserve">(c)	</w:t>
      </w:r>
      <w:r>
        <w:rPr>
          <w:rFonts w:ascii="Arial" w:cs="Arial" w:eastAsia="Arial" w:hAnsi="Arial"/>
          <w:sz w:val="24"/>
          <w:szCs w:val="24"/>
        </w:rPr>
        <w:t xml:space="preserve">the qualification, examination and continuing professional development requirements, if any, that distinguish it from the general requirements of the Institute;</w:t>
      </w:r>
    </w:p>
    <w:p>
      <w:pPr>
        <w:tabs>
          <w:tab w:val="left" w:pos="1944"/>
        </w:tabs>
        <w:spacing w:after="110" w:line="324"/>
        <w:ind w:left="1944" w:hanging="648"/>
        <w:jc w:val="both"/>
      </w:pPr>
      <w:r>
        <w:rPr>
          <w:rFonts w:ascii="Arial" w:cs="Arial" w:eastAsia="Arial" w:hAnsi="Arial"/>
          <w:sz w:val="24"/>
          <w:szCs w:val="24"/>
        </w:rPr>
        <w:t xml:space="preserve">(d)	</w:t>
      </w:r>
      <w:r>
        <w:rPr>
          <w:rFonts w:ascii="Arial" w:cs="Arial" w:eastAsia="Arial" w:hAnsi="Arial"/>
          <w:sz w:val="24"/>
          <w:szCs w:val="24"/>
        </w:rPr>
        <w:t xml:space="preserve">the composition, term and method of appointment of its Faculty Board; and</w:t>
      </w:r>
    </w:p>
    <w:p>
      <w:pPr>
        <w:tabs>
          <w:tab w:val="left" w:pos="1944"/>
        </w:tabs>
        <w:spacing w:after="110" w:line="324"/>
        <w:ind w:left="1944" w:hanging="648"/>
        <w:jc w:val="both"/>
      </w:pPr>
      <w:r>
        <w:rPr>
          <w:rFonts w:ascii="Arial" w:cs="Arial" w:eastAsia="Arial" w:hAnsi="Arial"/>
          <w:sz w:val="24"/>
          <w:szCs w:val="24"/>
        </w:rPr>
        <w:t xml:space="preserve">(e)	</w:t>
      </w:r>
      <w:r>
        <w:rPr>
          <w:rFonts w:ascii="Arial" w:cs="Arial" w:eastAsia="Arial" w:hAnsi="Arial"/>
          <w:sz w:val="24"/>
          <w:szCs w:val="24"/>
        </w:rPr>
        <w:t xml:space="preserve">the date on which it is to come into operation.</w:t>
      </w:r>
    </w:p>
    <w:p>
      <w:pPr>
        <w:tabs>
          <w:tab w:val="left" w:pos="1080"/>
        </w:tabs>
        <w:spacing w:after="130" w:line="324"/>
        <w:ind w:left="1080" w:hanging="1080"/>
        <w:jc w:val="both"/>
      </w:pPr>
      <w:r>
        <w:rPr>
          <w:rFonts w:ascii="Arial" w:cs="Arial" w:eastAsia="Arial" w:hAnsi="Arial"/>
          <w:b/>
          <w:bCs/>
          <w:sz w:val="24"/>
          <w:szCs w:val="24"/>
        </w:rPr>
        <w:t xml:space="preserve">34.4	</w:t>
      </w:r>
      <w:r>
        <w:rPr>
          <w:rFonts w:ascii="Arial" w:cs="Arial" w:eastAsia="Arial" w:hAnsi="Arial"/>
          <w:sz w:val="24"/>
          <w:szCs w:val="24"/>
        </w:rPr>
        <w:t xml:space="preserve">Before passing a resolution under clause 34.3 the Governing Council shall satisfy itself that:</w:t>
      </w:r>
    </w:p>
    <w:p>
      <w:pPr>
        <w:tabs>
          <w:tab w:val="left" w:pos="1944"/>
        </w:tabs>
        <w:spacing w:after="110" w:line="324"/>
        <w:ind w:left="1944" w:hanging="648"/>
        <w:jc w:val="both"/>
      </w:pPr>
      <w:r>
        <w:rPr>
          <w:rFonts w:ascii="Arial" w:cs="Arial" w:eastAsia="Arial" w:hAnsi="Arial"/>
          <w:sz w:val="24"/>
          <w:szCs w:val="24"/>
        </w:rPr>
        <w:t xml:space="preserve">(a)	</w:t>
      </w:r>
      <w:r>
        <w:rPr>
          <w:rFonts w:ascii="Arial" w:cs="Arial" w:eastAsia="Arial" w:hAnsi="Arial"/>
          <w:sz w:val="24"/>
          <w:szCs w:val="24"/>
        </w:rPr>
        <w:t xml:space="preserve">the field of knowledge is distinct from that of every existing Faculty and is not adequately served within the general structure of the Institute;</w:t>
      </w:r>
    </w:p>
    <w:p>
      <w:pPr>
        <w:tabs>
          <w:tab w:val="left" w:pos="1944"/>
        </w:tabs>
        <w:spacing w:after="110" w:line="324"/>
        <w:ind w:left="1944" w:hanging="648"/>
        <w:jc w:val="both"/>
      </w:pPr>
      <w:r>
        <w:rPr>
          <w:rFonts w:ascii="Arial" w:cs="Arial" w:eastAsia="Arial" w:hAnsi="Arial"/>
          <w:sz w:val="24"/>
          <w:szCs w:val="24"/>
        </w:rPr>
        <w:t xml:space="preserve">(b)	</w:t>
      </w:r>
      <w:r>
        <w:rPr>
          <w:rFonts w:ascii="Arial" w:cs="Arial" w:eastAsia="Arial" w:hAnsi="Arial"/>
          <w:sz w:val="24"/>
          <w:szCs w:val="24"/>
        </w:rPr>
        <w:t xml:space="preserve">the Institute has the examining and administrative capacity to maintain the Faculty to the standard it maintains elsewhere;</w:t>
      </w:r>
    </w:p>
    <w:p>
      <w:pPr>
        <w:tabs>
          <w:tab w:val="left" w:pos="1944"/>
        </w:tabs>
        <w:spacing w:after="110" w:line="324"/>
        <w:ind w:left="1944" w:hanging="648"/>
        <w:jc w:val="both"/>
      </w:pPr>
      <w:r>
        <w:rPr>
          <w:rFonts w:ascii="Arial" w:cs="Arial" w:eastAsia="Arial" w:hAnsi="Arial"/>
          <w:sz w:val="24"/>
          <w:szCs w:val="24"/>
        </w:rPr>
        <w:t xml:space="preserve">(c)	</w:t>
      </w:r>
      <w:r>
        <w:rPr>
          <w:rFonts w:ascii="Arial" w:cs="Arial" w:eastAsia="Arial" w:hAnsi="Arial"/>
          <w:sz w:val="24"/>
          <w:szCs w:val="24"/>
        </w:rPr>
        <w:t xml:space="preserve">a sufficient number of members would enrol in it to sustain its work; and</w:t>
      </w:r>
    </w:p>
    <w:p>
      <w:pPr>
        <w:tabs>
          <w:tab w:val="left" w:pos="1944"/>
        </w:tabs>
        <w:spacing w:after="110" w:line="324"/>
        <w:ind w:left="1944" w:hanging="648"/>
        <w:jc w:val="both"/>
      </w:pPr>
      <w:r>
        <w:rPr>
          <w:rFonts w:ascii="Arial" w:cs="Arial" w:eastAsia="Arial" w:hAnsi="Arial"/>
          <w:sz w:val="24"/>
          <w:szCs w:val="24"/>
        </w:rPr>
        <w:t xml:space="preserve">(d)	</w:t>
      </w:r>
      <w:r>
        <w:rPr>
          <w:rFonts w:ascii="Arial" w:cs="Arial" w:eastAsia="Arial" w:hAnsi="Arial"/>
          <w:sz w:val="24"/>
          <w:szCs w:val="24"/>
        </w:rPr>
        <w:t xml:space="preserve">the constitution of the Faculty would not place the Institute in conflict with the registered field of another professional body, nor put at risk its own registration under the Professional Bodies Registration Act, 1973 (NRCD 143).</w:t>
      </w:r>
    </w:p>
    <w:p>
      <w:pPr>
        <w:tabs>
          <w:tab w:val="left" w:pos="1080"/>
        </w:tabs>
        <w:spacing w:after="130" w:line="324"/>
        <w:ind w:left="1080" w:hanging="1080"/>
        <w:jc w:val="both"/>
      </w:pPr>
      <w:r>
        <w:rPr>
          <w:rFonts w:ascii="Arial" w:cs="Arial" w:eastAsia="Arial" w:hAnsi="Arial"/>
          <w:b/>
          <w:bCs/>
          <w:sz w:val="24"/>
          <w:szCs w:val="24"/>
        </w:rPr>
        <w:t xml:space="preserve">34.5	</w:t>
      </w:r>
      <w:r>
        <w:rPr>
          <w:rFonts w:ascii="Arial" w:cs="Arial" w:eastAsia="Arial" w:hAnsi="Arial"/>
          <w:sz w:val="24"/>
          <w:szCs w:val="24"/>
        </w:rPr>
        <w:t xml:space="preserve">A Faculty is a division of the Institute and not a separate body. It has no separate legal personality, holds no property in its own name, enters into no contract, and may not represent itself as a professional body independent of the Institute. The profession of the Institute remains single and indivisible notwithstanding the constitution of any Faculty.</w:t>
      </w:r>
    </w:p>
    <w:p>
      <w:pPr>
        <w:tabs>
          <w:tab w:val="left" w:pos="1080"/>
        </w:tabs>
        <w:spacing w:after="130" w:line="324"/>
        <w:ind w:left="1080" w:hanging="1080"/>
        <w:jc w:val="both"/>
      </w:pPr>
      <w:r>
        <w:rPr>
          <w:rFonts w:ascii="Arial" w:cs="Arial" w:eastAsia="Arial" w:hAnsi="Arial"/>
          <w:b/>
          <w:bCs/>
          <w:sz w:val="24"/>
          <w:szCs w:val="24"/>
        </w:rPr>
        <w:t xml:space="preserve">34.6	</w:t>
      </w:r>
      <w:r>
        <w:rPr>
          <w:rFonts w:ascii="Arial" w:cs="Arial" w:eastAsia="Arial" w:hAnsi="Arial"/>
          <w:sz w:val="24"/>
          <w:szCs w:val="24"/>
        </w:rPr>
        <w:t xml:space="preserve">Enrolment in a Faculty is additional to and does not replace membership of the Institute. A member may enrol in more than one Faculty. No person may be enrolled in a Faculty who is not a member of the Institute in a class eligible under the resolution constituting it, and a person who ceases to be a member of the Institute ceases at the same time to be enrolled in every Faculty.</w:t>
      </w:r>
    </w:p>
    <w:p>
      <w:pPr>
        <w:tabs>
          <w:tab w:val="left" w:pos="1080"/>
        </w:tabs>
        <w:spacing w:after="130" w:line="324"/>
        <w:ind w:left="1080" w:hanging="1080"/>
        <w:jc w:val="both"/>
      </w:pPr>
      <w:r>
        <w:rPr>
          <w:rFonts w:ascii="Arial" w:cs="Arial" w:eastAsia="Arial" w:hAnsi="Arial"/>
          <w:b/>
          <w:bCs/>
          <w:sz w:val="24"/>
          <w:szCs w:val="24"/>
        </w:rPr>
        <w:t xml:space="preserve">34.7	</w:t>
      </w:r>
      <w:r>
        <w:rPr>
          <w:rFonts w:ascii="Arial" w:cs="Arial" w:eastAsia="Arial" w:hAnsi="Arial"/>
          <w:sz w:val="24"/>
          <w:szCs w:val="24"/>
        </w:rPr>
        <w:t xml:space="preserve">Each Faculty is governed by a Faculty Board which is accountable to the Governing Council and which may:</w:t>
      </w:r>
    </w:p>
    <w:p>
      <w:pPr>
        <w:tabs>
          <w:tab w:val="left" w:pos="1944"/>
        </w:tabs>
        <w:spacing w:after="110" w:line="324"/>
        <w:ind w:left="1944" w:hanging="648"/>
        <w:jc w:val="both"/>
      </w:pPr>
      <w:r>
        <w:rPr>
          <w:rFonts w:ascii="Arial" w:cs="Arial" w:eastAsia="Arial" w:hAnsi="Arial"/>
          <w:sz w:val="24"/>
          <w:szCs w:val="24"/>
        </w:rPr>
        <w:t xml:space="preserve">(a)	</w:t>
      </w:r>
      <w:r>
        <w:rPr>
          <w:rFonts w:ascii="Arial" w:cs="Arial" w:eastAsia="Arial" w:hAnsi="Arial"/>
          <w:sz w:val="24"/>
          <w:szCs w:val="24"/>
        </w:rPr>
        <w:t xml:space="preserve">advise the Education and Training Committee on the syllabus, examination and continuing professional development requirements within its field;</w:t>
      </w:r>
    </w:p>
    <w:p>
      <w:pPr>
        <w:tabs>
          <w:tab w:val="left" w:pos="1944"/>
        </w:tabs>
        <w:spacing w:after="110" w:line="324"/>
        <w:ind w:left="1944" w:hanging="648"/>
        <w:jc w:val="both"/>
      </w:pPr>
      <w:r>
        <w:rPr>
          <w:rFonts w:ascii="Arial" w:cs="Arial" w:eastAsia="Arial" w:hAnsi="Arial"/>
          <w:sz w:val="24"/>
          <w:szCs w:val="24"/>
        </w:rPr>
        <w:t xml:space="preserve">(b)	</w:t>
      </w:r>
      <w:r>
        <w:rPr>
          <w:rFonts w:ascii="Arial" w:cs="Arial" w:eastAsia="Arial" w:hAnsi="Arial"/>
          <w:sz w:val="24"/>
          <w:szCs w:val="24"/>
        </w:rPr>
        <w:t xml:space="preserve">propose practice standards and technical guidance within its field for adoption by the Governing Council;</w:t>
      </w:r>
    </w:p>
    <w:p>
      <w:pPr>
        <w:tabs>
          <w:tab w:val="left" w:pos="1944"/>
        </w:tabs>
        <w:spacing w:after="110" w:line="324"/>
        <w:ind w:left="1944" w:hanging="648"/>
        <w:jc w:val="both"/>
      </w:pPr>
      <w:r>
        <w:rPr>
          <w:rFonts w:ascii="Arial" w:cs="Arial" w:eastAsia="Arial" w:hAnsi="Arial"/>
          <w:sz w:val="24"/>
          <w:szCs w:val="24"/>
        </w:rPr>
        <w:t xml:space="preserve">(c)	</w:t>
      </w:r>
      <w:r>
        <w:rPr>
          <w:rFonts w:ascii="Arial" w:cs="Arial" w:eastAsia="Arial" w:hAnsi="Arial"/>
          <w:sz w:val="24"/>
          <w:szCs w:val="24"/>
        </w:rPr>
        <w:t xml:space="preserve">convene technical meetings, conferences and publications within its field; and</w:t>
      </w:r>
    </w:p>
    <w:p>
      <w:pPr>
        <w:tabs>
          <w:tab w:val="left" w:pos="1944"/>
        </w:tabs>
        <w:spacing w:after="110" w:line="324"/>
        <w:ind w:left="1944" w:hanging="648"/>
        <w:jc w:val="both"/>
      </w:pPr>
      <w:r>
        <w:rPr>
          <w:rFonts w:ascii="Arial" w:cs="Arial" w:eastAsia="Arial" w:hAnsi="Arial"/>
          <w:sz w:val="24"/>
          <w:szCs w:val="24"/>
        </w:rPr>
        <w:t xml:space="preserve">(d)	</w:t>
      </w:r>
      <w:r>
        <w:rPr>
          <w:rFonts w:ascii="Arial" w:cs="Arial" w:eastAsia="Arial" w:hAnsi="Arial"/>
          <w:sz w:val="24"/>
          <w:szCs w:val="24"/>
        </w:rPr>
        <w:t xml:space="preserve">perform such further functions as the Governing Council may delegate to it in writing.</w:t>
      </w:r>
    </w:p>
    <w:p>
      <w:pPr>
        <w:tabs>
          <w:tab w:val="left" w:pos="1080"/>
        </w:tabs>
        <w:spacing w:after="130" w:line="324"/>
        <w:ind w:left="1080" w:hanging="1080"/>
        <w:jc w:val="both"/>
      </w:pPr>
      <w:r>
        <w:rPr>
          <w:rFonts w:ascii="Arial" w:cs="Arial" w:eastAsia="Arial" w:hAnsi="Arial"/>
          <w:b/>
          <w:bCs/>
          <w:sz w:val="24"/>
          <w:szCs w:val="24"/>
        </w:rPr>
        <w:t xml:space="preserve">34.8	</w:t>
      </w:r>
      <w:r>
        <w:rPr>
          <w:rFonts w:ascii="Arial" w:cs="Arial" w:eastAsia="Arial" w:hAnsi="Arial"/>
          <w:sz w:val="24"/>
          <w:szCs w:val="24"/>
        </w:rPr>
        <w:t xml:space="preserve">A Faculty Board may not admit a person to membership of the Institute, confer or vary a grade of membership, exercise disciplinary authority over a member, or issue a practice standard in the name of the Institute. Those powers are reserved to the Governing Council and to the committees constituted under Article &lt;Committees&gt;, and are not delegable to a Faculty Board.</w:t>
      </w:r>
    </w:p>
    <w:p>
      <w:pPr>
        <w:tabs>
          <w:tab w:val="left" w:pos="1080"/>
        </w:tabs>
        <w:spacing w:after="130" w:line="324"/>
        <w:ind w:left="1080" w:hanging="1080"/>
        <w:jc w:val="both"/>
      </w:pPr>
      <w:r>
        <w:rPr>
          <w:rFonts w:ascii="Arial" w:cs="Arial" w:eastAsia="Arial" w:hAnsi="Arial"/>
          <w:b/>
          <w:bCs/>
          <w:sz w:val="24"/>
          <w:szCs w:val="24"/>
        </w:rPr>
        <w:t xml:space="preserve">34.9	</w:t>
      </w:r>
      <w:r>
        <w:rPr>
          <w:rFonts w:ascii="Arial" w:cs="Arial" w:eastAsia="Arial" w:hAnsi="Arial"/>
          <w:sz w:val="24"/>
          <w:szCs w:val="24"/>
        </w:rPr>
        <w:t xml:space="preserve">A member enrolled in a Faculty may use the designation of that Faculty only in conjunction with the designatory letters of the grade of membership held, and never in substitution for them.</w:t>
      </w:r>
    </w:p>
    <w:p>
      <w:pPr>
        <w:tabs>
          <w:tab w:val="left" w:pos="1080"/>
        </w:tabs>
        <w:spacing w:after="130" w:line="324"/>
        <w:ind w:left="1080" w:hanging="1080"/>
        <w:jc w:val="both"/>
      </w:pPr>
      <w:r>
        <w:rPr>
          <w:rFonts w:ascii="Arial" w:cs="Arial" w:eastAsia="Arial" w:hAnsi="Arial"/>
          <w:b/>
          <w:bCs/>
          <w:sz w:val="24"/>
          <w:szCs w:val="24"/>
        </w:rPr>
        <w:t xml:space="preserve">34.10	</w:t>
      </w:r>
      <w:r>
        <w:rPr>
          <w:rFonts w:ascii="Arial" w:cs="Arial" w:eastAsia="Arial" w:hAnsi="Arial"/>
          <w:sz w:val="24"/>
          <w:szCs w:val="24"/>
        </w:rPr>
        <w:t xml:space="preserve">The Governing Council may by special resolution passed in the manner required by clause 34.3 amend the resolution constituting a Faculty, suspend a Faculty, or dissolve it. On dissolution the records, funds and work of the Faculty vest in the Institute, and members enrolled in it remain members of the Institute in their existing grades without further formality.</w:t>
      </w:r>
    </w:p>
    <w:p>
      <w:pPr>
        <w:tabs>
          <w:tab w:val="left" w:pos="1080"/>
        </w:tabs>
        <w:spacing w:after="130" w:line="324"/>
        <w:ind w:left="1080" w:hanging="1080"/>
        <w:jc w:val="both"/>
      </w:pPr>
      <w:r>
        <w:rPr>
          <w:rFonts w:ascii="Arial" w:cs="Arial" w:eastAsia="Arial" w:hAnsi="Arial"/>
          <w:b/>
          <w:bCs/>
          <w:sz w:val="24"/>
          <w:szCs w:val="24"/>
        </w:rPr>
        <w:t xml:space="preserve">34.11	</w:t>
      </w:r>
      <w:r>
        <w:rPr>
          <w:rFonts w:ascii="Arial" w:cs="Arial" w:eastAsia="Arial" w:hAnsi="Arial"/>
          <w:sz w:val="24"/>
          <w:szCs w:val="24"/>
        </w:rPr>
        <w:t xml:space="preserve">The Governing Council shall report to the next Annual General Meeting of the Institute on the constitution, amendment, suspension or dissolution of any Faculty, and shall lay before that meeting the resolution and the grounds on which it was satisfied of the matters in clause 34.4.</w:t>
      </w:r>
    </w:p>
    <w:p>
      <w:pPr>
        <w:tabs>
          <w:tab w:val="left" w:pos="1080"/>
        </w:tabs>
        <w:spacing w:after="130" w:line="324"/>
        <w:ind w:left="1080" w:hanging="1080"/>
        <w:jc w:val="both"/>
      </w:pPr>
      <w:r>
        <w:rPr>
          <w:rFonts w:ascii="Arial" w:cs="Arial" w:eastAsia="Arial" w:hAnsi="Arial"/>
          <w:b/>
          <w:bCs/>
          <w:sz w:val="24"/>
          <w:szCs w:val="24"/>
        </w:rPr>
        <w:t xml:space="preserve">34.12	</w:t>
      </w:r>
      <w:r>
        <w:rPr>
          <w:rFonts w:ascii="Arial" w:cs="Arial" w:eastAsia="Arial" w:hAnsi="Arial"/>
          <w:sz w:val="24"/>
          <w:szCs w:val="24"/>
        </w:rPr>
        <w:t xml:space="preserve">Nothing in this Article authorises the Institute to adopt a name, style or description suggesting that it is a federation of independent professional bodies, or to represent any Faculty to the Registrar of Companies or to any other authority as a separate profession.</w:t>
      </w:r>
    </w:p>
    <w:p>
      <w:pPr>
        <w:pStyle w:val="Heading1"/>
        <w:spacing w:after="160" w:before="320"/>
      </w:pPr>
      <w:r>
        <w:rPr>
          <w:rFonts w:ascii="Arial" w:cs="Arial" w:eastAsia="Arial" w:hAnsi="Arial"/>
          <w:b/>
          <w:bCs/>
          <w:color w:val="1A5C2A"/>
          <w:sz w:val="28"/>
          <w:szCs w:val="28"/>
        </w:rPr>
        <w:t xml:space="preserve">4. Consequential amendments</w:t>
      </w:r>
    </w:p>
    <w:p>
      <w:pPr>
        <w:spacing w:after="150" w:line="324"/>
        <w:jc w:val="both"/>
      </w:pPr>
      <w:r>
        <w:rPr>
          <w:rFonts w:ascii="Arial" w:cs="Arial" w:eastAsia="Arial" w:hAnsi="Arial"/>
          <w:color w:val="000000"/>
          <w:sz w:val="24"/>
          <w:szCs w:val="24"/>
        </w:rPr>
        <w:t xml:space="preserve">Five further changes are required for the Article to sit properly in the instrument.</w:t>
      </w:r>
    </w:p>
    <w:p>
      <w:pPr>
        <w:spacing w:after="60" w:line="324"/>
        <w:jc w:val="both"/>
      </w:pPr>
      <w:r>
        <w:rPr>
          <w:rFonts w:ascii="Arial" w:cs="Arial" w:eastAsia="Arial" w:hAnsi="Arial"/>
          <w:color w:val="000000"/>
          <w:sz w:val="24"/>
          <w:szCs w:val="24"/>
        </w:rPr>
        <w:t xml:space="preserve"/>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760"/>
      </w:tblGrid>
      <w:tr>
        <w:trPr>
          <w:tblHeader/>
        </w:trPr>
        <w:tc>
          <w:tcPr>
            <w:tcW w:type="dxa" w:w="2600"/>
            <w:shd w:fill="1A5C2A" w:color="auto" w:val="clear"/>
            <w:tcMar>
              <w:top w:type="dxa" w:w="70"/>
              <w:left w:type="dxa" w:w="100"/>
              <w:bottom w:type="dxa" w:w="70"/>
              <w:right w:type="dxa" w:w="100"/>
            </w:tcMar>
          </w:tcPr>
          <w:p>
            <w:pPr>
              <w:spacing w:after="0" w:line="297"/>
              <w:jc w:val="left"/>
            </w:pPr>
            <w:r>
              <w:rPr>
                <w:rFonts w:ascii="Arial" w:cs="Arial" w:eastAsia="Arial" w:hAnsi="Arial"/>
                <w:b/>
                <w:bCs/>
                <w:color w:val="FFFFFF"/>
                <w:sz w:val="22"/>
                <w:szCs w:val="22"/>
              </w:rPr>
              <w:t xml:space="preserve">Provision</w:t>
            </w:r>
          </w:p>
        </w:tc>
        <w:tc>
          <w:tcPr>
            <w:tcW w:type="dxa" w:w="6760"/>
            <w:shd w:fill="1A5C2A" w:color="auto" w:val="clear"/>
            <w:tcMar>
              <w:top w:type="dxa" w:w="70"/>
              <w:left w:type="dxa" w:w="100"/>
              <w:bottom w:type="dxa" w:w="70"/>
              <w:right w:type="dxa" w:w="100"/>
            </w:tcMar>
          </w:tcPr>
          <w:p>
            <w:pPr>
              <w:spacing w:after="0" w:line="297"/>
              <w:jc w:val="left"/>
            </w:pPr>
            <w:r>
              <w:rPr>
                <w:rFonts w:ascii="Arial" w:cs="Arial" w:eastAsia="Arial" w:hAnsi="Arial"/>
                <w:b/>
                <w:bCs/>
                <w:color w:val="FFFFFF"/>
                <w:sz w:val="22"/>
                <w:szCs w:val="22"/>
              </w:rPr>
              <w:t xml:space="preserve">Amendment</w:t>
            </w:r>
          </w:p>
        </w:tc>
      </w:tr>
      <w:tr>
        <w:trPr>
          <w:tblHeader w:val="false"/>
        </w:trPr>
        <w:tc>
          <w:tcPr>
            <w:tcW w:type="dxa" w:w="26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Definitions Article</w:t>
            </w:r>
          </w:p>
        </w:tc>
        <w:tc>
          <w:tcPr>
            <w:tcW w:type="dxa" w:w="676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Insert: "Faculty" means a division of the Institute constituted under Article 34, representing a distinct body of knowledge within the profession, and "Faculty Board" means the body governing a Faculty.</w:t>
            </w:r>
          </w:p>
        </w:tc>
      </w:tr>
      <w:tr>
        <w:trPr>
          <w:tblHeader w:val="false"/>
        </w:trPr>
        <w:tc>
          <w:tcPr>
            <w:tcW w:type="dxa" w:w="26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Objects Article</w:t>
            </w:r>
          </w:p>
        </w:tc>
        <w:tc>
          <w:tcPr>
            <w:tcW w:type="dxa" w:w="676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No amendment. The objects must continue to describe a single profession, and the power to constitute Faculties is a matter of internal structure rather than of object.</w:t>
            </w:r>
          </w:p>
        </w:tc>
      </w:tr>
      <w:tr>
        <w:trPr>
          <w:tblHeader w:val="false"/>
        </w:trPr>
        <w:tc>
          <w:tcPr>
            <w:tcW w:type="dxa" w:w="26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Committees Article</w:t>
            </w:r>
          </w:p>
        </w:tc>
        <w:tc>
          <w:tcPr>
            <w:tcW w:type="dxa" w:w="676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Insert a cross reference confirming that the powers reserved to the Membership and Credentials Committee and to the Ethics and Disciplinary Committee are not delegable to a Faculty Board.</w:t>
            </w:r>
          </w:p>
        </w:tc>
      </w:tr>
      <w:tr>
        <w:trPr>
          <w:tblHeader w:val="false"/>
        </w:trPr>
        <w:tc>
          <w:tcPr>
            <w:tcW w:type="dxa" w:w="26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Amendment Article</w:t>
            </w:r>
          </w:p>
        </w:tc>
        <w:tc>
          <w:tcPr>
            <w:tcW w:type="dxa" w:w="676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Confirm that the special resolution threshold in clause 34.3 is consistent with the general threshold for resolutions of the Governing Council, and align the two if they differ.</w:t>
            </w:r>
          </w:p>
        </w:tc>
      </w:tr>
      <w:tr>
        <w:trPr>
          <w:tblHeader w:val="false"/>
        </w:trPr>
        <w:tc>
          <w:tcPr>
            <w:tcW w:type="dxa" w:w="26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Designatory letters Article</w:t>
            </w:r>
          </w:p>
        </w:tc>
        <w:tc>
          <w:tcPr>
            <w:tcW w:type="dxa" w:w="676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Insert a cross reference to clause 34.9 governing the use of a Faculty designation alongside the designatory letters of a grade.</w:t>
            </w:r>
          </w:p>
        </w:tc>
      </w:tr>
    </w:tbl>
    <w:p>
      <w:pPr>
        <w:spacing w:after="220" w:line="324"/>
        <w:jc w:val="both"/>
      </w:pPr>
      <w:r>
        <w:rPr>
          <w:rFonts w:ascii="Arial" w:cs="Arial" w:eastAsia="Arial" w:hAnsi="Arial"/>
          <w:color w:val="000000"/>
          <w:sz w:val="24"/>
          <w:szCs w:val="24"/>
        </w:rPr>
        <w:t xml:space="preserve"/>
      </w:r>
    </w:p>
    <w:p>
      <w:pPr>
        <w:pStyle w:val="Heading1"/>
        <w:spacing w:after="160" w:before="320"/>
      </w:pPr>
      <w:r>
        <w:rPr>
          <w:rFonts w:ascii="Arial" w:cs="Arial" w:eastAsia="Arial" w:hAnsi="Arial"/>
          <w:b/>
          <w:bCs/>
          <w:color w:val="1A5C2A"/>
          <w:sz w:val="28"/>
          <w:szCs w:val="28"/>
        </w:rPr>
        <w:t xml:space="preserve">5. Candidate Faculties, for the record only</w:t>
      </w:r>
    </w:p>
    <w:p>
      <w:pPr>
        <w:spacing w:after="150" w:line="324"/>
        <w:jc w:val="both"/>
      </w:pPr>
      <w:r>
        <w:rPr>
          <w:rFonts w:ascii="Arial" w:cs="Arial" w:eastAsia="Arial" w:hAnsi="Arial"/>
          <w:color w:val="000000"/>
          <w:sz w:val="24"/>
          <w:szCs w:val="24"/>
        </w:rPr>
        <w:t xml:space="preserve">The following are recorded as the fields the Governing Council may in due course consider. They are set out in this note and deliberately not in the constitution, since naming them in the instrument would assert a divisional structure that clause 34.2 is designed to avoid.</w:t>
      </w:r>
    </w:p>
    <w:p>
      <w:pPr>
        <w:spacing w:after="60" w:line="324"/>
        <w:jc w:val="both"/>
      </w:pPr>
      <w:r>
        <w:rPr>
          <w:rFonts w:ascii="Arial" w:cs="Arial" w:eastAsia="Arial" w:hAnsi="Arial"/>
          <w:color w:val="000000"/>
          <w:sz w:val="24"/>
          <w:szCs w:val="24"/>
        </w:rPr>
        <w:t xml:space="preserve"/>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6360"/>
      </w:tblGrid>
      <w:tr>
        <w:trPr>
          <w:tblHeader/>
        </w:trPr>
        <w:tc>
          <w:tcPr>
            <w:tcW w:type="dxa" w:w="3000"/>
            <w:shd w:fill="1A5C2A" w:color="auto" w:val="clear"/>
            <w:tcMar>
              <w:top w:type="dxa" w:w="70"/>
              <w:left w:type="dxa" w:w="100"/>
              <w:bottom w:type="dxa" w:w="70"/>
              <w:right w:type="dxa" w:w="100"/>
            </w:tcMar>
          </w:tcPr>
          <w:p>
            <w:pPr>
              <w:spacing w:after="0" w:line="297"/>
              <w:jc w:val="left"/>
            </w:pPr>
            <w:r>
              <w:rPr>
                <w:rFonts w:ascii="Arial" w:cs="Arial" w:eastAsia="Arial" w:hAnsi="Arial"/>
                <w:b/>
                <w:bCs/>
                <w:color w:val="FFFFFF"/>
                <w:sz w:val="22"/>
                <w:szCs w:val="22"/>
              </w:rPr>
              <w:t xml:space="preserve">Candidate field</w:t>
            </w:r>
          </w:p>
        </w:tc>
        <w:tc>
          <w:tcPr>
            <w:tcW w:type="dxa" w:w="6360"/>
            <w:shd w:fill="1A5C2A" w:color="auto" w:val="clear"/>
            <w:tcMar>
              <w:top w:type="dxa" w:w="70"/>
              <w:left w:type="dxa" w:w="100"/>
              <w:bottom w:type="dxa" w:w="70"/>
              <w:right w:type="dxa" w:w="100"/>
            </w:tcMar>
          </w:tcPr>
          <w:p>
            <w:pPr>
              <w:spacing w:after="0" w:line="297"/>
              <w:jc w:val="left"/>
            </w:pPr>
            <w:r>
              <w:rPr>
                <w:rFonts w:ascii="Arial" w:cs="Arial" w:eastAsia="Arial" w:hAnsi="Arial"/>
                <w:b/>
                <w:bCs/>
                <w:color w:val="FFFFFF"/>
                <w:sz w:val="22"/>
                <w:szCs w:val="22"/>
              </w:rPr>
              <w:t xml:space="preserve">Assessment</w:t>
            </w:r>
          </w:p>
        </w:tc>
      </w:tr>
      <w:tr>
        <w:trPr>
          <w:tblHeader w:val="false"/>
        </w:trPr>
        <w:tc>
          <w:tcPr>
            <w:tcW w:type="dxa" w:w="30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Project cost engineering</w:t>
            </w:r>
          </w:p>
        </w:tc>
        <w:tc>
          <w:tcPr>
            <w:tcW w:type="dxa" w:w="636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The strongest candidate. A distinct body of knowledge, method and literature, and a distinct examination is defensible</w:t>
            </w:r>
          </w:p>
        </w:tc>
      </w:tr>
      <w:tr>
        <w:trPr>
          <w:tblHeader w:val="false"/>
        </w:trPr>
        <w:tc>
          <w:tcPr>
            <w:tcW w:type="dxa" w:w="30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Value management</w:t>
            </w:r>
          </w:p>
        </w:tc>
        <w:tc>
          <w:tcPr>
            <w:tcW w:type="dxa" w:w="636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A genuine candidate on the same grounds, with its own method and its own standards literature</w:t>
            </w:r>
          </w:p>
        </w:tc>
      </w:tr>
      <w:tr>
        <w:trPr>
          <w:tblHeader w:val="false"/>
        </w:trPr>
        <w:tc>
          <w:tcPr>
            <w:tcW w:type="dxa" w:w="300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Project assurance</w:t>
            </w:r>
          </w:p>
        </w:tc>
        <w:tc>
          <w:tcPr>
            <w:tcW w:type="dxa" w:w="6360"/>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Weak as a separate Faculty. The same competence as forensics applied prospectively, resting on the same analytical foundations</w:t>
            </w:r>
          </w:p>
        </w:tc>
      </w:tr>
      <w:tr>
        <w:trPr>
          <w:tblHeader w:val="false"/>
        </w:trPr>
        <w:tc>
          <w:tcPr>
            <w:tcW w:type="dxa" w:w="300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Project forensics</w:t>
            </w:r>
          </w:p>
        </w:tc>
        <w:tc>
          <w:tcPr>
            <w:tcW w:type="dxa" w:w="6360"/>
            <w:shd w:fill="F2F5F2" w:color="auto" w:val="clear"/>
            <w:tcMar>
              <w:top w:type="dxa" w:w="70"/>
              <w:left w:type="dxa" w:w="100"/>
              <w:bottom w:type="dxa" w:w="70"/>
              <w:right w:type="dxa" w:w="100"/>
            </w:tcMar>
          </w:tcPr>
          <w:p>
            <w:pPr>
              <w:spacing w:after="0" w:line="297"/>
              <w:jc w:val="left"/>
            </w:pPr>
            <w:r>
              <w:rPr>
                <w:rFonts w:ascii="Arial" w:cs="Arial" w:eastAsia="Arial" w:hAnsi="Arial"/>
                <w:b w:val="false"/>
                <w:bCs w:val="false"/>
                <w:color w:val="000000"/>
                <w:sz w:val="22"/>
                <w:szCs w:val="22"/>
              </w:rPr>
              <w:t xml:space="preserve">Weak as a separate Faculty, for the same reason. Assurance and forensics are better treated as one field examined once</w:t>
            </w:r>
          </w:p>
        </w:tc>
      </w:tr>
    </w:tbl>
    <w:p>
      <w:pPr>
        <w:spacing w:after="200" w:line="324"/>
        <w:jc w:val="both"/>
      </w:pPr>
      <w:r>
        <w:rPr>
          <w:rFonts w:ascii="Arial" w:cs="Arial" w:eastAsia="Arial" w:hAnsi="Arial"/>
          <w:color w:val="000000"/>
          <w:sz w:val="24"/>
          <w:szCs w:val="24"/>
        </w:rPr>
        <w:t xml:space="preserve"/>
      </w:r>
    </w:p>
    <w:p>
      <w:pPr>
        <w:spacing w:after="150" w:line="324"/>
        <w:jc w:val="both"/>
      </w:pPr>
      <w:r>
        <w:rPr>
          <w:rFonts w:ascii="Arial" w:cs="Arial" w:eastAsia="Arial" w:hAnsi="Arial"/>
          <w:color w:val="000000"/>
          <w:sz w:val="24"/>
          <w:szCs w:val="24"/>
        </w:rPr>
        <w:t xml:space="preserve">The practical consequence is that if the Institute ever federates, it is likely to do so across three or four fields rather than the two the name suggests, and the trigger will be the development of separate examinations rather than any change in how the work is described.</w:t>
      </w:r>
    </w:p>
    <w:p>
      <w:pPr>
        <w:pStyle w:val="Heading1"/>
        <w:spacing w:after="160" w:before="320"/>
      </w:pPr>
      <w:r>
        <w:rPr>
          <w:rFonts w:ascii="Arial" w:cs="Arial" w:eastAsia="Arial" w:hAnsi="Arial"/>
          <w:b/>
          <w:bCs/>
          <w:color w:val="1A5C2A"/>
          <w:sz w:val="28"/>
          <w:szCs w:val="28"/>
        </w:rPr>
        <w:t xml:space="preserve">6. Note on the name</w:t>
      </w:r>
    </w:p>
    <w:p>
      <w:pPr>
        <w:spacing w:after="150" w:line="324"/>
        <w:jc w:val="both"/>
      </w:pPr>
      <w:r>
        <w:rPr>
          <w:rFonts w:ascii="Arial" w:cs="Arial" w:eastAsia="Arial" w:hAnsi="Arial"/>
          <w:color w:val="000000"/>
          <w:sz w:val="24"/>
          <w:szCs w:val="24"/>
        </w:rPr>
        <w:t xml:space="preserve">A question arises whether the Institute should be styled an Institution rather than an Institute, on the ground that Ghanaian bodies using Institution are federations of independent disciplines while those using Institute are single discipline bodies. The Ghanaian pattern does support that reading, but it does not hold more widely. The Institution of Civil Engineers and the Institution of Structural Engineers are single discipline bodies, while the Institute of Chartered Accountants and the Chartered Institute of Arbitrators each examine several distinct specialisms. The operative distinction is the lineage of the parent body rather than internal structure, with the nineteenth century engineering tradition taking Institution and the accounting, building, architectural, planning and arbitral traditions taking Institute.</w:t>
      </w:r>
    </w:p>
    <w:p>
      <w:pPr>
        <w:spacing w:after="150" w:line="324"/>
        <w:jc w:val="both"/>
      </w:pPr>
      <w:r>
        <w:rPr>
          <w:rFonts w:ascii="Arial" w:cs="Arial" w:eastAsia="Arial" w:hAnsi="Arial"/>
          <w:color w:val="000000"/>
          <w:sz w:val="24"/>
          <w:szCs w:val="24"/>
        </w:rPr>
        <w:t xml:space="preserve">The Institute retains its present style for three reasons. The naming follows the credentialing tradition the Institute belongs to. A federated style on the face of the instrument would work against the application for the reasons at section 2. And should the Institute genuinely federate in due course, the change to Institution is effected by special resolution and notification to the Registrar, with no change to the acronym AIPAF.</w:t>
      </w:r>
    </w:p>
    <w:p>
      <w:pPr>
        <w:pStyle w:val="Heading1"/>
        <w:spacing w:after="160" w:before="320"/>
      </w:pPr>
      <w:r>
        <w:rPr>
          <w:rFonts w:ascii="Arial" w:cs="Arial" w:eastAsia="Arial" w:hAnsi="Arial"/>
          <w:b/>
          <w:bCs/>
          <w:color w:val="1A5C2A"/>
          <w:sz w:val="28"/>
          <w:szCs w:val="28"/>
        </w:rPr>
        <w:t xml:space="preserve">7. Adoption</w:t>
      </w:r>
    </w:p>
    <w:p>
      <w:pPr>
        <w:spacing w:after="150" w:line="324"/>
        <w:jc w:val="both"/>
      </w:pPr>
      <w:r>
        <w:rPr>
          <w:rFonts w:ascii="Arial" w:cs="Arial" w:eastAsia="Arial" w:hAnsi="Arial"/>
          <w:color w:val="000000"/>
          <w:sz w:val="24"/>
          <w:szCs w:val="24"/>
        </w:rPr>
        <w:t xml:space="preserve">Adopt this Article at the same meeting as the Constitution, as part of the instrument rather than as a subsequent amendment. The minute should record that no Faculty is constituted on adoption and that the Article confers a reserve power only. That minute is the document to produce if the Registrar asks whether the Institute intends to operate as a federation.</w:t>
      </w:r>
    </w:p>
    <w:sectPr>
      <w:headerReference w:type="default" r:id="rId7"/>
      <w:footerReference w:type="default" r:id="rId8"/>
      <w:pgSz w:w="11906" w:h="16838" w:orient="portrait"/>
      <w:pgMar w:top="110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C2A" w:sz="6" w:space="4"/>
      </w:pBdr>
      <w:spacing w:after="0"/>
      <w:jc w:val="right"/>
    </w:pPr>
    <w:r>
      <w:rPr>
        <w:rFonts w:ascii="Arial" w:cs="Arial" w:eastAsia="Arial" w:hAnsi="Arial"/>
        <w:color w:val="595959"/>
        <w:sz w:val="16"/>
        <w:szCs w:val="16"/>
      </w:rPr>
      <w:t xml:space="preserve">AIPAF Constitution: Faculties Provisions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line="32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AIPAF Constitution: Faculties Provisions</dc:title>
  <dc:creator>African Institute of Project Assurance and Forensics</dc:creator>
  <cp:lastModifiedBy>Un-named</cp:lastModifiedBy>
  <cp:revision>1</cp:revision>
  <dcterms:created xsi:type="dcterms:W3CDTF">2026-10-01T00:22:32.309Z</dcterms:created>
  <dcterms:modified xsi:type="dcterms:W3CDTF">2026-10-01T00:22:32.309Z</dcterms:modified>
</cp:coreProperties>
</file>

<file path=docProps/custom.xml><?xml version="1.0" encoding="utf-8"?>
<Properties xmlns="http://schemas.openxmlformats.org/officeDocument/2006/custom-properties" xmlns:vt="http://schemas.openxmlformats.org/officeDocument/2006/docPropsVTypes"/>
</file>