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B91D" w14:textId="77777777" w:rsidR="00C335A5" w:rsidRDefault="00C335A5">
      <w:pPr>
        <w:spacing w:before="1050"/>
      </w:pPr>
    </w:p>
    <w:p w14:paraId="344954A5" w14:textId="77777777" w:rsidR="00C335A5" w:rsidRDefault="00BF7B47">
      <w:pPr>
        <w:spacing w:after="110"/>
        <w:jc w:val="center"/>
      </w:pPr>
      <w:r>
        <w:rPr>
          <w:b/>
          <w:bCs/>
          <w:color w:val="1A5C2A"/>
          <w:spacing w:val="16"/>
          <w:sz w:val="38"/>
          <w:szCs w:val="38"/>
        </w:rPr>
        <w:t>PROJECT ASSURANCE</w:t>
      </w:r>
    </w:p>
    <w:p w14:paraId="7C40FFE0" w14:textId="77777777" w:rsidR="00C335A5" w:rsidRDefault="00BF7B47">
      <w:pPr>
        <w:spacing w:after="110"/>
        <w:jc w:val="center"/>
      </w:pPr>
      <w:r>
        <w:rPr>
          <w:b/>
          <w:bCs/>
          <w:color w:val="1A5C2A"/>
          <w:spacing w:val="16"/>
          <w:sz w:val="38"/>
          <w:szCs w:val="38"/>
        </w:rPr>
        <w:t>BODY OF KNOWLEDGE</w:t>
      </w:r>
    </w:p>
    <w:p w14:paraId="64A52E95" w14:textId="77777777" w:rsidR="00C335A5" w:rsidRDefault="00BF7B47">
      <w:pPr>
        <w:pBdr>
          <w:top w:val="single" w:sz="12" w:space="6" w:color="C47B0B"/>
          <w:bottom w:val="single" w:sz="12" w:space="6" w:color="C47B0B"/>
        </w:pBdr>
        <w:spacing w:before="180" w:after="120"/>
        <w:jc w:val="center"/>
      </w:pPr>
      <w:r>
        <w:rPr>
          <w:b/>
          <w:bCs/>
          <w:i/>
          <w:iCs/>
          <w:sz w:val="30"/>
          <w:szCs w:val="30"/>
        </w:rPr>
        <w:t>A Framework</w:t>
      </w:r>
    </w:p>
    <w:p w14:paraId="2FF8EDDC" w14:textId="77777777" w:rsidR="00C335A5" w:rsidRDefault="00C335A5">
      <w:pPr>
        <w:spacing w:before="320"/>
      </w:pPr>
    </w:p>
    <w:p w14:paraId="7BC9E1B1" w14:textId="77777777" w:rsidR="00C335A5" w:rsidRDefault="00BF7B47">
      <w:pPr>
        <w:spacing w:after="40"/>
        <w:jc w:val="center"/>
      </w:pPr>
      <w:r>
        <w:rPr>
          <w:i/>
          <w:iCs/>
          <w:color w:val="4D4D4D"/>
          <w:sz w:val="22"/>
          <w:szCs w:val="22"/>
        </w:rPr>
        <w:t xml:space="preserve">Independent assurance in the conditions Africa </w:t>
      </w:r>
      <w:proofErr w:type="gramStart"/>
      <w:r>
        <w:rPr>
          <w:i/>
          <w:iCs/>
          <w:color w:val="4D4D4D"/>
          <w:sz w:val="22"/>
          <w:szCs w:val="22"/>
        </w:rPr>
        <w:t>actually presents</w:t>
      </w:r>
      <w:proofErr w:type="gramEnd"/>
    </w:p>
    <w:p w14:paraId="0AE43C2A" w14:textId="77777777" w:rsidR="00C335A5" w:rsidRDefault="00BF7B47">
      <w:pPr>
        <w:jc w:val="center"/>
      </w:pPr>
      <w:r>
        <w:rPr>
          <w:color w:val="4D4D4D"/>
          <w:sz w:val="19"/>
          <w:szCs w:val="19"/>
        </w:rPr>
        <w:t>The reference framework underpinning the Certified Project Assurance Practitioner (CPAP)</w:t>
      </w:r>
    </w:p>
    <w:p w14:paraId="70E4CA48" w14:textId="77777777" w:rsidR="00C335A5" w:rsidRDefault="00C335A5">
      <w:pPr>
        <w:spacing w:before="1050"/>
      </w:pPr>
    </w:p>
    <w:p w14:paraId="143120BF" w14:textId="77777777" w:rsidR="00C335A5" w:rsidRDefault="00BF7B47">
      <w:pPr>
        <w:spacing w:after="40"/>
        <w:jc w:val="center"/>
      </w:pPr>
      <w:r>
        <w:rPr>
          <w:b/>
          <w:bCs/>
          <w:color w:val="1A5C2A"/>
          <w:sz w:val="20"/>
          <w:szCs w:val="20"/>
        </w:rPr>
        <w:t>African Institute of Project Assurance and Forensics</w:t>
      </w:r>
    </w:p>
    <w:p w14:paraId="3BC20B24" w14:textId="77777777" w:rsidR="00C335A5" w:rsidRDefault="00BF7B47">
      <w:pPr>
        <w:jc w:val="center"/>
      </w:pPr>
      <w:r>
        <w:rPr>
          <w:color w:val="4D4D4D"/>
          <w:sz w:val="19"/>
          <w:szCs w:val="19"/>
        </w:rPr>
        <w:t>Edition 2026</w:t>
      </w:r>
    </w:p>
    <w:p w14:paraId="1E32300F" w14:textId="77777777" w:rsidR="00C335A5" w:rsidRDefault="00BF7B47">
      <w:r>
        <w:br w:type="page"/>
      </w:r>
    </w:p>
    <w:p w14:paraId="066A69F9" w14:textId="77777777" w:rsidR="00C335A5" w:rsidRDefault="00BF7B47">
      <w:pPr>
        <w:pStyle w:val="Heading1"/>
        <w:spacing w:before="300" w:after="150"/>
      </w:pPr>
      <w:r>
        <w:lastRenderedPageBreak/>
        <w:t>Contents</w:t>
      </w:r>
    </w:p>
    <w:p w14:paraId="3B70239D" w14:textId="77777777" w:rsidR="00C335A5" w:rsidRDefault="00BF7B47">
      <w:pPr>
        <w:spacing w:before="120" w:after="20"/>
      </w:pPr>
      <w:r>
        <w:rPr>
          <w:b/>
          <w:bCs/>
          <w:color w:val="1A5C2A"/>
        </w:rPr>
        <w:t>Foreword</w:t>
      </w:r>
      <w:r>
        <w:rPr>
          <w:b/>
          <w:bCs/>
          <w:color w:val="1A5C2A"/>
        </w:rPr>
        <w:ptab w:relativeTo="margin" w:alignment="right" w:leader="dot"/>
      </w:r>
      <w:r>
        <w:rPr>
          <w:b/>
          <w:bCs/>
          <w:color w:val="1A5C2A"/>
        </w:rPr>
        <w:t>3</w:t>
      </w:r>
    </w:p>
    <w:p w14:paraId="581313AD" w14:textId="77777777" w:rsidR="00C335A5" w:rsidRDefault="00BF7B47">
      <w:pPr>
        <w:spacing w:before="120" w:after="20"/>
      </w:pPr>
      <w:r>
        <w:rPr>
          <w:b/>
          <w:bCs/>
          <w:color w:val="1A5C2A"/>
        </w:rPr>
        <w:t>Part One  |  Foundations</w:t>
      </w:r>
      <w:r>
        <w:rPr>
          <w:b/>
          <w:bCs/>
          <w:color w:val="1A5C2A"/>
        </w:rPr>
        <w:ptab w:relativeTo="margin" w:alignment="right" w:leader="dot"/>
      </w:r>
      <w:r>
        <w:rPr>
          <w:b/>
          <w:bCs/>
          <w:color w:val="1A5C2A"/>
        </w:rPr>
        <w:t>4</w:t>
      </w:r>
    </w:p>
    <w:p w14:paraId="6EE6C549" w14:textId="77777777" w:rsidR="00C335A5" w:rsidRDefault="00BF7B47">
      <w:pPr>
        <w:spacing w:after="18" w:line="262" w:lineRule="auto"/>
        <w:ind w:left="300"/>
      </w:pPr>
      <w:r>
        <w:rPr>
          <w:color w:val="4D4D4D"/>
          <w:sz w:val="20"/>
          <w:szCs w:val="20"/>
        </w:rPr>
        <w:t>1.1  Why an assurance body of knowledge</w:t>
      </w:r>
      <w:r>
        <w:rPr>
          <w:color w:val="4D4D4D"/>
          <w:sz w:val="20"/>
          <w:szCs w:val="20"/>
        </w:rPr>
        <w:ptab w:relativeTo="margin" w:alignment="right" w:leader="dot"/>
      </w:r>
      <w:r>
        <w:rPr>
          <w:color w:val="4D4D4D"/>
          <w:sz w:val="20"/>
          <w:szCs w:val="20"/>
        </w:rPr>
        <w:t>4</w:t>
      </w:r>
    </w:p>
    <w:p w14:paraId="262B81E0" w14:textId="77777777" w:rsidR="00C335A5" w:rsidRDefault="00BF7B47">
      <w:pPr>
        <w:spacing w:after="18" w:line="262" w:lineRule="auto"/>
        <w:ind w:left="300"/>
      </w:pPr>
      <w:r>
        <w:rPr>
          <w:color w:val="4D4D4D"/>
          <w:sz w:val="20"/>
          <w:szCs w:val="20"/>
        </w:rPr>
        <w:t>1.2  What this framework is, and is not</w:t>
      </w:r>
      <w:r>
        <w:rPr>
          <w:color w:val="4D4D4D"/>
          <w:sz w:val="20"/>
          <w:szCs w:val="20"/>
        </w:rPr>
        <w:ptab w:relativeTo="margin" w:alignment="right" w:leader="dot"/>
      </w:r>
      <w:r>
        <w:rPr>
          <w:color w:val="4D4D4D"/>
          <w:sz w:val="20"/>
          <w:szCs w:val="20"/>
        </w:rPr>
        <w:t>4</w:t>
      </w:r>
    </w:p>
    <w:p w14:paraId="6E2227B1" w14:textId="77777777" w:rsidR="00C335A5" w:rsidRDefault="00BF7B47">
      <w:pPr>
        <w:spacing w:after="18" w:line="262" w:lineRule="auto"/>
        <w:ind w:left="300"/>
      </w:pPr>
      <w:r>
        <w:rPr>
          <w:color w:val="4D4D4D"/>
          <w:sz w:val="20"/>
          <w:szCs w:val="20"/>
        </w:rPr>
        <w:t>1.3  How the framework is structured</w:t>
      </w:r>
      <w:r>
        <w:rPr>
          <w:color w:val="4D4D4D"/>
          <w:sz w:val="20"/>
          <w:szCs w:val="20"/>
        </w:rPr>
        <w:ptab w:relativeTo="margin" w:alignment="right" w:leader="dot"/>
      </w:r>
      <w:r>
        <w:rPr>
          <w:color w:val="4D4D4D"/>
          <w:sz w:val="20"/>
          <w:szCs w:val="20"/>
        </w:rPr>
        <w:t>4</w:t>
      </w:r>
    </w:p>
    <w:p w14:paraId="2F59AFC8" w14:textId="77777777" w:rsidR="00C335A5" w:rsidRDefault="00BF7B47">
      <w:pPr>
        <w:spacing w:after="18" w:line="262" w:lineRule="auto"/>
        <w:ind w:left="300"/>
      </w:pPr>
      <w:r>
        <w:rPr>
          <w:color w:val="4D4D4D"/>
          <w:sz w:val="20"/>
          <w:szCs w:val="20"/>
        </w:rPr>
        <w:t>1.4  What assurance is, and what it serves</w:t>
      </w:r>
      <w:r>
        <w:rPr>
          <w:color w:val="4D4D4D"/>
          <w:sz w:val="20"/>
          <w:szCs w:val="20"/>
        </w:rPr>
        <w:ptab w:relativeTo="margin" w:alignment="right" w:leader="dot"/>
      </w:r>
      <w:r>
        <w:rPr>
          <w:color w:val="4D4D4D"/>
          <w:sz w:val="20"/>
          <w:szCs w:val="20"/>
        </w:rPr>
        <w:t>5</w:t>
      </w:r>
    </w:p>
    <w:p w14:paraId="1EB95683" w14:textId="77777777" w:rsidR="00C335A5" w:rsidRDefault="00BF7B47">
      <w:pPr>
        <w:spacing w:before="120" w:after="20"/>
      </w:pPr>
      <w:r>
        <w:rPr>
          <w:b/>
          <w:bCs/>
          <w:color w:val="1A5C2A"/>
        </w:rPr>
        <w:t>Part Two  |  The Contextual Foundation</w:t>
      </w:r>
      <w:r>
        <w:rPr>
          <w:b/>
          <w:bCs/>
          <w:color w:val="1A5C2A"/>
        </w:rPr>
        <w:ptab w:relativeTo="margin" w:alignment="right" w:leader="dot"/>
      </w:r>
      <w:r>
        <w:rPr>
          <w:b/>
          <w:bCs/>
          <w:color w:val="1A5C2A"/>
        </w:rPr>
        <w:t>6</w:t>
      </w:r>
    </w:p>
    <w:p w14:paraId="4738A4AC" w14:textId="77777777" w:rsidR="00C335A5" w:rsidRDefault="00BF7B47">
      <w:pPr>
        <w:spacing w:after="18" w:line="262" w:lineRule="auto"/>
        <w:ind w:left="300"/>
      </w:pPr>
      <w:r>
        <w:rPr>
          <w:color w:val="4D4D4D"/>
          <w:sz w:val="20"/>
          <w:szCs w:val="20"/>
        </w:rPr>
        <w:t>2.1  Financing and funding</w:t>
      </w:r>
      <w:r>
        <w:rPr>
          <w:color w:val="4D4D4D"/>
          <w:sz w:val="20"/>
          <w:szCs w:val="20"/>
        </w:rPr>
        <w:ptab w:relativeTo="margin" w:alignment="right" w:leader="dot"/>
      </w:r>
      <w:r>
        <w:rPr>
          <w:color w:val="4D4D4D"/>
          <w:sz w:val="20"/>
          <w:szCs w:val="20"/>
        </w:rPr>
        <w:t>6</w:t>
      </w:r>
    </w:p>
    <w:p w14:paraId="63124674" w14:textId="77777777" w:rsidR="00C335A5" w:rsidRDefault="00BF7B47">
      <w:pPr>
        <w:spacing w:after="18" w:line="262" w:lineRule="auto"/>
        <w:ind w:left="300"/>
      </w:pPr>
      <w:r>
        <w:rPr>
          <w:color w:val="4D4D4D"/>
          <w:sz w:val="20"/>
          <w:szCs w:val="20"/>
        </w:rPr>
        <w:t>2.2  Procurement and contracting</w:t>
      </w:r>
      <w:r>
        <w:rPr>
          <w:color w:val="4D4D4D"/>
          <w:sz w:val="20"/>
          <w:szCs w:val="20"/>
        </w:rPr>
        <w:ptab w:relativeTo="margin" w:alignment="right" w:leader="dot"/>
      </w:r>
      <w:r>
        <w:rPr>
          <w:color w:val="4D4D4D"/>
          <w:sz w:val="20"/>
          <w:szCs w:val="20"/>
        </w:rPr>
        <w:t>6</w:t>
      </w:r>
    </w:p>
    <w:p w14:paraId="4F25C687" w14:textId="77777777" w:rsidR="00C335A5" w:rsidRDefault="00BF7B47">
      <w:pPr>
        <w:spacing w:after="18" w:line="262" w:lineRule="auto"/>
        <w:ind w:left="300"/>
      </w:pPr>
      <w:r>
        <w:rPr>
          <w:color w:val="4D4D4D"/>
          <w:sz w:val="20"/>
          <w:szCs w:val="20"/>
        </w:rPr>
        <w:t>2.3  Institutions and governance</w:t>
      </w:r>
      <w:r>
        <w:rPr>
          <w:color w:val="4D4D4D"/>
          <w:sz w:val="20"/>
          <w:szCs w:val="20"/>
        </w:rPr>
        <w:ptab w:relativeTo="margin" w:alignment="right" w:leader="dot"/>
      </w:r>
      <w:r>
        <w:rPr>
          <w:color w:val="4D4D4D"/>
          <w:sz w:val="20"/>
          <w:szCs w:val="20"/>
        </w:rPr>
        <w:t>6</w:t>
      </w:r>
    </w:p>
    <w:p w14:paraId="773E0294" w14:textId="77777777" w:rsidR="00C335A5" w:rsidRDefault="00BF7B47">
      <w:pPr>
        <w:spacing w:after="18" w:line="262" w:lineRule="auto"/>
        <w:ind w:left="300"/>
      </w:pPr>
      <w:r>
        <w:rPr>
          <w:color w:val="4D4D4D"/>
          <w:sz w:val="20"/>
          <w:szCs w:val="20"/>
        </w:rPr>
        <w:t>2.4  Society, community, and culture</w:t>
      </w:r>
      <w:r>
        <w:rPr>
          <w:color w:val="4D4D4D"/>
          <w:sz w:val="20"/>
          <w:szCs w:val="20"/>
        </w:rPr>
        <w:ptab w:relativeTo="margin" w:alignment="right" w:leader="dot"/>
      </w:r>
      <w:r>
        <w:rPr>
          <w:color w:val="4D4D4D"/>
          <w:sz w:val="20"/>
          <w:szCs w:val="20"/>
        </w:rPr>
        <w:t>7</w:t>
      </w:r>
    </w:p>
    <w:p w14:paraId="20F5EA4B" w14:textId="77777777" w:rsidR="00C335A5" w:rsidRDefault="00BF7B47">
      <w:pPr>
        <w:spacing w:after="18" w:line="262" w:lineRule="auto"/>
        <w:ind w:left="300"/>
      </w:pPr>
      <w:r>
        <w:rPr>
          <w:color w:val="4D4D4D"/>
          <w:sz w:val="20"/>
          <w:szCs w:val="20"/>
        </w:rPr>
        <w:t>2.5  The delivery environment</w:t>
      </w:r>
      <w:r>
        <w:rPr>
          <w:color w:val="4D4D4D"/>
          <w:sz w:val="20"/>
          <w:szCs w:val="20"/>
        </w:rPr>
        <w:ptab w:relativeTo="margin" w:alignment="right" w:leader="dot"/>
      </w:r>
      <w:r>
        <w:rPr>
          <w:color w:val="4D4D4D"/>
          <w:sz w:val="20"/>
          <w:szCs w:val="20"/>
        </w:rPr>
        <w:t>7</w:t>
      </w:r>
    </w:p>
    <w:p w14:paraId="152A02E9" w14:textId="77777777" w:rsidR="00C335A5" w:rsidRDefault="00BF7B47">
      <w:pPr>
        <w:spacing w:after="18" w:line="262" w:lineRule="auto"/>
        <w:ind w:left="300"/>
      </w:pPr>
      <w:r>
        <w:rPr>
          <w:color w:val="4D4D4D"/>
          <w:sz w:val="20"/>
          <w:szCs w:val="20"/>
        </w:rPr>
        <w:t>2.6  Sustainability, climate, and resilience</w:t>
      </w:r>
      <w:r>
        <w:rPr>
          <w:color w:val="4D4D4D"/>
          <w:sz w:val="20"/>
          <w:szCs w:val="20"/>
        </w:rPr>
        <w:ptab w:relativeTo="margin" w:alignment="right" w:leader="dot"/>
      </w:r>
      <w:r>
        <w:rPr>
          <w:color w:val="4D4D4D"/>
          <w:sz w:val="20"/>
          <w:szCs w:val="20"/>
        </w:rPr>
        <w:t>7</w:t>
      </w:r>
    </w:p>
    <w:p w14:paraId="07BE58F3" w14:textId="77777777" w:rsidR="00C335A5" w:rsidRDefault="00BF7B47">
      <w:pPr>
        <w:spacing w:before="120" w:after="20"/>
      </w:pPr>
      <w:r>
        <w:rPr>
          <w:b/>
          <w:bCs/>
          <w:color w:val="1A5C2A"/>
        </w:rPr>
        <w:t>Part Three  |  The Knowledge Domains</w:t>
      </w:r>
      <w:r>
        <w:rPr>
          <w:b/>
          <w:bCs/>
          <w:color w:val="1A5C2A"/>
        </w:rPr>
        <w:ptab w:relativeTo="margin" w:alignment="right" w:leader="dot"/>
      </w:r>
      <w:r>
        <w:rPr>
          <w:b/>
          <w:bCs/>
          <w:color w:val="1A5C2A"/>
        </w:rPr>
        <w:t>8</w:t>
      </w:r>
    </w:p>
    <w:p w14:paraId="2C670D83" w14:textId="77777777" w:rsidR="00C335A5" w:rsidRDefault="00BF7B47">
      <w:pPr>
        <w:spacing w:after="18" w:line="262" w:lineRule="auto"/>
        <w:ind w:left="300"/>
      </w:pPr>
      <w:r>
        <w:rPr>
          <w:color w:val="4D4D4D"/>
          <w:sz w:val="20"/>
          <w:szCs w:val="20"/>
        </w:rPr>
        <w:t>3.1  Foundations of assurance</w:t>
      </w:r>
      <w:r>
        <w:rPr>
          <w:color w:val="4D4D4D"/>
          <w:sz w:val="20"/>
          <w:szCs w:val="20"/>
        </w:rPr>
        <w:ptab w:relativeTo="margin" w:alignment="right" w:leader="dot"/>
      </w:r>
      <w:r>
        <w:rPr>
          <w:color w:val="4D4D4D"/>
          <w:sz w:val="20"/>
          <w:szCs w:val="20"/>
        </w:rPr>
        <w:t>8</w:t>
      </w:r>
    </w:p>
    <w:p w14:paraId="087E2D04" w14:textId="77777777" w:rsidR="00C335A5" w:rsidRDefault="00BF7B47">
      <w:pPr>
        <w:spacing w:after="18" w:line="262" w:lineRule="auto"/>
        <w:ind w:left="300"/>
      </w:pPr>
      <w:r>
        <w:rPr>
          <w:color w:val="4D4D4D"/>
          <w:sz w:val="20"/>
          <w:szCs w:val="20"/>
        </w:rPr>
        <w:t>3.2  The assurance judgement</w:t>
      </w:r>
      <w:r>
        <w:rPr>
          <w:color w:val="4D4D4D"/>
          <w:sz w:val="20"/>
          <w:szCs w:val="20"/>
        </w:rPr>
        <w:ptab w:relativeTo="margin" w:alignment="right" w:leader="dot"/>
      </w:r>
      <w:r>
        <w:rPr>
          <w:color w:val="4D4D4D"/>
          <w:sz w:val="20"/>
          <w:szCs w:val="20"/>
        </w:rPr>
        <w:t>8</w:t>
      </w:r>
    </w:p>
    <w:p w14:paraId="6B919E6F" w14:textId="77777777" w:rsidR="00C335A5" w:rsidRDefault="00BF7B47">
      <w:pPr>
        <w:spacing w:after="18" w:line="262" w:lineRule="auto"/>
        <w:ind w:left="300"/>
      </w:pPr>
      <w:r>
        <w:rPr>
          <w:color w:val="4D4D4D"/>
          <w:sz w:val="20"/>
          <w:szCs w:val="20"/>
        </w:rPr>
        <w:t>3.3  Evidence and communication</w:t>
      </w:r>
      <w:r>
        <w:rPr>
          <w:color w:val="4D4D4D"/>
          <w:sz w:val="20"/>
          <w:szCs w:val="20"/>
        </w:rPr>
        <w:ptab w:relativeTo="margin" w:alignment="right" w:leader="dot"/>
      </w:r>
      <w:r>
        <w:rPr>
          <w:color w:val="4D4D4D"/>
          <w:sz w:val="20"/>
          <w:szCs w:val="20"/>
        </w:rPr>
        <w:t>9</w:t>
      </w:r>
    </w:p>
    <w:p w14:paraId="4C77FA11" w14:textId="77777777" w:rsidR="00C335A5" w:rsidRDefault="00BF7B47">
      <w:pPr>
        <w:spacing w:before="120" w:after="20"/>
      </w:pPr>
      <w:r>
        <w:rPr>
          <w:b/>
          <w:bCs/>
          <w:color w:val="1A5C2A"/>
        </w:rPr>
        <w:t>Part Four  |  Assurance Across the Project</w:t>
      </w:r>
      <w:r>
        <w:rPr>
          <w:b/>
          <w:bCs/>
          <w:color w:val="1A5C2A"/>
        </w:rPr>
        <w:ptab w:relativeTo="margin" w:alignment="right" w:leader="dot"/>
      </w:r>
      <w:r>
        <w:rPr>
          <w:b/>
          <w:bCs/>
          <w:color w:val="1A5C2A"/>
        </w:rPr>
        <w:t>10</w:t>
      </w:r>
    </w:p>
    <w:p w14:paraId="31C12DD3" w14:textId="77777777" w:rsidR="00C335A5" w:rsidRDefault="00BF7B47">
      <w:pPr>
        <w:spacing w:before="120" w:after="20"/>
      </w:pPr>
      <w:r>
        <w:rPr>
          <w:b/>
          <w:bCs/>
          <w:color w:val="1A5C2A"/>
        </w:rPr>
        <w:t>Part Five  |  Professional Competence</w:t>
      </w:r>
      <w:r>
        <w:rPr>
          <w:b/>
          <w:bCs/>
          <w:color w:val="1A5C2A"/>
        </w:rPr>
        <w:ptab w:relativeTo="margin" w:alignment="right" w:leader="dot"/>
      </w:r>
      <w:r>
        <w:rPr>
          <w:b/>
          <w:bCs/>
          <w:color w:val="1A5C2A"/>
        </w:rPr>
        <w:t>11</w:t>
      </w:r>
    </w:p>
    <w:p w14:paraId="5B07D4B6" w14:textId="77777777" w:rsidR="00C335A5" w:rsidRDefault="00BF7B47">
      <w:pPr>
        <w:spacing w:before="120" w:after="20"/>
      </w:pPr>
      <w:r>
        <w:rPr>
          <w:b/>
          <w:bCs/>
          <w:color w:val="1A5C2A"/>
        </w:rPr>
        <w:t>Part Six  |  Applying and Tailoring the Framework</w:t>
      </w:r>
      <w:r>
        <w:rPr>
          <w:b/>
          <w:bCs/>
          <w:color w:val="1A5C2A"/>
        </w:rPr>
        <w:ptab w:relativeTo="margin" w:alignment="right" w:leader="dot"/>
      </w:r>
      <w:r>
        <w:rPr>
          <w:b/>
          <w:bCs/>
          <w:color w:val="1A5C2A"/>
        </w:rPr>
        <w:t>12</w:t>
      </w:r>
    </w:p>
    <w:p w14:paraId="56783AE2" w14:textId="77777777" w:rsidR="00C335A5" w:rsidRDefault="00BF7B47">
      <w:pPr>
        <w:spacing w:before="120" w:after="20"/>
      </w:pPr>
      <w:r>
        <w:rPr>
          <w:b/>
          <w:bCs/>
          <w:color w:val="1A5C2A"/>
        </w:rPr>
        <w:t>Assurance Africa Can Trust</w:t>
      </w:r>
      <w:r>
        <w:rPr>
          <w:b/>
          <w:bCs/>
          <w:color w:val="1A5C2A"/>
        </w:rPr>
        <w:ptab w:relativeTo="margin" w:alignment="right" w:leader="dot"/>
      </w:r>
      <w:r>
        <w:rPr>
          <w:b/>
          <w:bCs/>
          <w:color w:val="1A5C2A"/>
        </w:rPr>
        <w:t>13</w:t>
      </w:r>
    </w:p>
    <w:p w14:paraId="5D77D81A" w14:textId="77777777" w:rsidR="00C335A5" w:rsidRDefault="00BF7B47">
      <w:r>
        <w:br w:type="page"/>
      </w:r>
    </w:p>
    <w:p w14:paraId="59AA3BC7" w14:textId="77777777" w:rsidR="00C335A5" w:rsidRDefault="00BF7B47">
      <w:pPr>
        <w:pStyle w:val="Heading1"/>
        <w:spacing w:before="300" w:after="150"/>
      </w:pPr>
      <w:r>
        <w:lastRenderedPageBreak/>
        <w:t>Foreword</w:t>
      </w:r>
    </w:p>
    <w:p w14:paraId="72C4356E" w14:textId="77777777" w:rsidR="00C335A5" w:rsidRDefault="00C335A5">
      <w:pPr>
        <w:pBdr>
          <w:bottom w:val="single" w:sz="8" w:space="1" w:color="C47B0B"/>
        </w:pBdr>
        <w:spacing w:before="60" w:after="160"/>
      </w:pPr>
    </w:p>
    <w:p w14:paraId="6C42ABA1" w14:textId="77777777" w:rsidR="00C335A5" w:rsidRDefault="00BF7B47">
      <w:pPr>
        <w:spacing w:after="160" w:line="348" w:lineRule="auto"/>
        <w:jc w:val="both"/>
      </w:pPr>
      <w:r>
        <w:t xml:space="preserve">Independent assurance gives those who sanction, finance, or </w:t>
      </w:r>
      <w:proofErr w:type="gramStart"/>
      <w:r>
        <w:t>insure</w:t>
      </w:r>
      <w:proofErr w:type="gramEnd"/>
      <w:r>
        <w:t xml:space="preserve"> a project an objective view of whether it can deliver what it promised, taken while there is still time to act on the answer. The methods are mature and well proven. What has been missing is a body of knowledge that sets them out for the conditions under which assurance is </w:t>
      </w:r>
      <w:proofErr w:type="gramStart"/>
      <w:r>
        <w:t>actually carried</w:t>
      </w:r>
      <w:proofErr w:type="gramEnd"/>
      <w:r>
        <w:t xml:space="preserve"> out across Africa.</w:t>
      </w:r>
    </w:p>
    <w:p w14:paraId="54BF2444" w14:textId="77777777" w:rsidR="00C335A5" w:rsidRDefault="00BF7B47">
      <w:pPr>
        <w:spacing w:after="160" w:line="348" w:lineRule="auto"/>
        <w:jc w:val="both"/>
      </w:pPr>
      <w:r>
        <w:t xml:space="preserve">That is what this framework provides. It keeps the sound core of assurance practice and adds the context that determines what an African assurance review must examine, and how far it can rely on what it is shown. A review that assumes the reliability of records, the certainty of funding, and the stability of institutions will give false comfort where none of those can be taken for granted. This framework is written so that assurance tests the things that </w:t>
      </w:r>
      <w:proofErr w:type="gramStart"/>
      <w:r>
        <w:t>actually decide</w:t>
      </w:r>
      <w:proofErr w:type="gramEnd"/>
      <w:r>
        <w:t xml:space="preserve"> whether an African project will deliver. It underpins the Certified Project Assurance Practitioner and is offered to the wider profession as a contribution from African practice.</w:t>
      </w:r>
    </w:p>
    <w:p w14:paraId="43DF2A62" w14:textId="77777777" w:rsidR="00C335A5" w:rsidRDefault="00BF7B47">
      <w:r>
        <w:br w:type="page"/>
      </w:r>
    </w:p>
    <w:p w14:paraId="6369B7BC" w14:textId="77777777" w:rsidR="00C335A5" w:rsidRDefault="00BF7B47">
      <w:pPr>
        <w:pStyle w:val="Heading1"/>
        <w:spacing w:before="300" w:after="150"/>
      </w:pPr>
      <w:r>
        <w:lastRenderedPageBreak/>
        <w:t>Part One  |  Foundations</w:t>
      </w:r>
    </w:p>
    <w:p w14:paraId="69BA81BC" w14:textId="77777777" w:rsidR="00C335A5" w:rsidRDefault="00C335A5">
      <w:pPr>
        <w:pBdr>
          <w:bottom w:val="single" w:sz="8" w:space="1" w:color="C47B0B"/>
        </w:pBdr>
        <w:spacing w:before="60" w:after="160"/>
      </w:pPr>
    </w:p>
    <w:p w14:paraId="330FEC5A" w14:textId="77777777" w:rsidR="00C335A5" w:rsidRDefault="00BF7B47">
      <w:pPr>
        <w:pStyle w:val="Heading2"/>
        <w:spacing w:before="270" w:after="110"/>
      </w:pPr>
      <w:r>
        <w:t>1.1  Why an assurance body of knowledge</w:t>
      </w:r>
    </w:p>
    <w:p w14:paraId="04EB177C" w14:textId="77777777" w:rsidR="00C335A5" w:rsidRDefault="00BF7B47">
      <w:pPr>
        <w:spacing w:after="160" w:line="348" w:lineRule="auto"/>
        <w:jc w:val="both"/>
      </w:pPr>
      <w:r>
        <w:t xml:space="preserve">Assurance is not a different discipline in Africa. It asks the same question everywhere: can this project, as planned and as </w:t>
      </w:r>
      <w:proofErr w:type="gramStart"/>
      <w:r>
        <w:t>progressing</w:t>
      </w:r>
      <w:proofErr w:type="gramEnd"/>
      <w:r>
        <w:t>, deliver what it promised, and if not, what must change. What differs is what the honest answer depends on. In a mature economy, a reviewer can often take the funding, the institutions, and the records largely as given, and concentrate on the plan. In much of African practice, none of those can be assumed, and an assurance review that examines only the plan will miss the things most likely to defeat it.</w:t>
      </w:r>
    </w:p>
    <w:p w14:paraId="49F09AE8" w14:textId="77777777" w:rsidR="00C335A5" w:rsidRDefault="00BF7B47">
      <w:pPr>
        <w:spacing w:after="160" w:line="348" w:lineRule="auto"/>
        <w:jc w:val="both"/>
      </w:pPr>
      <w:r>
        <w:t xml:space="preserve">A project may hold an approved budget and yet have no cash, because disbursement lags and counterpart funding has not arrived. Its governance may look orderly on paper and yet be unable to </w:t>
      </w:r>
      <w:proofErr w:type="gramStart"/>
      <w:r>
        <w:t>make a decision</w:t>
      </w:r>
      <w:proofErr w:type="gramEnd"/>
      <w:r>
        <w:t xml:space="preserve">, because authority is split across institutions that do not agree. Its progress reports may be confident and yet unreliable, because the data behind them is thin. Assurance in this setting </w:t>
      </w:r>
      <w:proofErr w:type="gramStart"/>
      <w:r>
        <w:t>has to</w:t>
      </w:r>
      <w:proofErr w:type="gramEnd"/>
      <w:r>
        <w:t xml:space="preserve"> test the funding structure, the institutional reality, and the quality of the evidence itself, not only the project’s own account of itself. This framework sets out how.</w:t>
      </w:r>
    </w:p>
    <w:p w14:paraId="2E738C3A" w14:textId="77777777" w:rsidR="00C335A5" w:rsidRDefault="00BF7B47">
      <w:pPr>
        <w:pStyle w:val="Heading2"/>
        <w:spacing w:before="270" w:after="110"/>
      </w:pPr>
      <w:r>
        <w:t>1.2  What this framework is, and is not</w:t>
      </w:r>
    </w:p>
    <w:p w14:paraId="21D74DA9" w14:textId="77777777" w:rsidR="00C335A5" w:rsidRDefault="00BF7B47">
      <w:pPr>
        <w:spacing w:after="160" w:line="348" w:lineRule="auto"/>
        <w:jc w:val="both"/>
      </w:pPr>
      <w:r>
        <w:t>Africa is not one place, and this framework does not pretend otherwise. The conditions that shape assurance in a capable middle-income state differ sharply from those in a fragile one, and a framework that claimed a single African approach would be false. This one is a lens, not a template. It names the conditions that most often bear on assurance across the continent and equips the practitioner to read their own engagement against them.</w:t>
      </w:r>
    </w:p>
    <w:p w14:paraId="5BCB15E6" w14:textId="77777777" w:rsidR="00C335A5" w:rsidRDefault="00BF7B47">
      <w:pPr>
        <w:spacing w:after="160" w:line="348" w:lineRule="auto"/>
        <w:jc w:val="both"/>
      </w:pPr>
      <w:r>
        <w:t xml:space="preserve">Nor does it replace the global practice of assurance. It assumes it. The purpose of assurance, the mechanics of gateway review, the discipline of evidence and reporting, these are taken as </w:t>
      </w:r>
      <w:proofErr w:type="gramStart"/>
      <w:r>
        <w:t>known, and</w:t>
      </w:r>
      <w:proofErr w:type="gramEnd"/>
      <w:r>
        <w:t xml:space="preserve"> are treated here only where the African context changes how they must be applied.</w:t>
      </w:r>
    </w:p>
    <w:p w14:paraId="1913F9AA" w14:textId="77777777" w:rsidR="00C335A5" w:rsidRDefault="00BF7B47">
      <w:pPr>
        <w:pStyle w:val="Heading2"/>
        <w:spacing w:before="270" w:after="110"/>
      </w:pPr>
      <w:r>
        <w:t>1.3  How the framework is structured</w:t>
      </w:r>
    </w:p>
    <w:p w14:paraId="2E5DB1D2" w14:textId="77777777" w:rsidR="00C335A5" w:rsidRDefault="00BF7B47">
      <w:pPr>
        <w:spacing w:after="160" w:line="348" w:lineRule="auto"/>
        <w:jc w:val="both"/>
      </w:pPr>
      <w:r>
        <w:t xml:space="preserve">The framework is built in the same three layers as its companion for project delivery: the world </w:t>
      </w:r>
      <w:proofErr w:type="gramStart"/>
      <w:r>
        <w:t>the assurance</w:t>
      </w:r>
      <w:proofErr w:type="gramEnd"/>
      <w:r>
        <w:t xml:space="preserve"> serves, the knowledge the practitioner brings, and the way both are applied.</w:t>
      </w:r>
    </w:p>
    <w:p w14:paraId="5B7B8E91" w14:textId="77777777" w:rsidR="00C335A5" w:rsidRDefault="00BF7B47">
      <w:pPr>
        <w:pStyle w:val="ListParagraph"/>
        <w:numPr>
          <w:ilvl w:val="0"/>
          <w:numId w:val="2"/>
        </w:numPr>
        <w:spacing w:after="100" w:line="338" w:lineRule="auto"/>
        <w:jc w:val="both"/>
      </w:pPr>
      <w:r>
        <w:rPr>
          <w:b/>
          <w:bCs/>
          <w:color w:val="C47B0B"/>
        </w:rPr>
        <w:lastRenderedPageBreak/>
        <w:t xml:space="preserve">The contextual foundation </w:t>
      </w:r>
      <w:r>
        <w:t>(Part Two) names the six dimensions of African conditions that most shape what assurance must examine.</w:t>
      </w:r>
    </w:p>
    <w:p w14:paraId="2E19433E" w14:textId="77777777" w:rsidR="00C335A5" w:rsidRDefault="00BF7B47">
      <w:pPr>
        <w:pStyle w:val="ListParagraph"/>
        <w:numPr>
          <w:ilvl w:val="0"/>
          <w:numId w:val="2"/>
        </w:numPr>
        <w:spacing w:after="100" w:line="338" w:lineRule="auto"/>
        <w:jc w:val="both"/>
      </w:pPr>
      <w:r>
        <w:rPr>
          <w:b/>
          <w:bCs/>
          <w:color w:val="C47B0B"/>
        </w:rPr>
        <w:t xml:space="preserve">The knowledge domains </w:t>
      </w:r>
      <w:r>
        <w:t>(Part Three) set out the eight areas of assurance competence, read through that context.</w:t>
      </w:r>
    </w:p>
    <w:p w14:paraId="1A3570F3" w14:textId="77777777" w:rsidR="00C335A5" w:rsidRDefault="00BF7B47">
      <w:pPr>
        <w:pStyle w:val="ListParagraph"/>
        <w:numPr>
          <w:ilvl w:val="0"/>
          <w:numId w:val="2"/>
        </w:numPr>
        <w:spacing w:after="100" w:line="338" w:lineRule="auto"/>
        <w:jc w:val="both"/>
      </w:pPr>
      <w:r>
        <w:rPr>
          <w:b/>
          <w:bCs/>
          <w:color w:val="C47B0B"/>
        </w:rPr>
        <w:t xml:space="preserve">The engagement, competence, and application layers </w:t>
      </w:r>
      <w:r>
        <w:t>(Parts Four to Six) place assurance in the life of a project, describe the practitioner who provides it, and explain how to tailor it.</w:t>
      </w:r>
    </w:p>
    <w:p w14:paraId="0F3AE270" w14:textId="77777777" w:rsidR="00C335A5" w:rsidRDefault="00BF7B47">
      <w:pPr>
        <w:pStyle w:val="Heading2"/>
        <w:spacing w:before="270" w:after="110"/>
      </w:pPr>
      <w:r>
        <w:t>1.4  What assurance is, and what it serves</w:t>
      </w:r>
    </w:p>
    <w:p w14:paraId="610D9317" w14:textId="77777777" w:rsidR="00C335A5" w:rsidRDefault="00BF7B47">
      <w:pPr>
        <w:spacing w:after="160" w:line="348" w:lineRule="auto"/>
        <w:jc w:val="both"/>
      </w:pPr>
      <w:r>
        <w:t xml:space="preserve">Assurance is the independent, objective examination of a project on behalf of those who must decide about it: the boards, funders, sponsors, and insurers who sanction, finance, or carry it. Its product is confidence, informed and honest, in a judgement about whether the project can </w:t>
      </w:r>
      <w:proofErr w:type="gramStart"/>
      <w:r>
        <w:t>deliver</w:t>
      </w:r>
      <w:proofErr w:type="gramEnd"/>
      <w:r>
        <w:t>. It is not management, and it is not advocacy. The assurance practitioner does not run the project and does not argue its case. They examine it and report what they find.</w:t>
      </w:r>
    </w:p>
    <w:p w14:paraId="60D0C03B" w14:textId="77777777" w:rsidR="00C335A5" w:rsidRDefault="00BF7B47">
      <w:pPr>
        <w:spacing w:after="160" w:line="348" w:lineRule="auto"/>
        <w:jc w:val="both"/>
      </w:pPr>
      <w:r>
        <w:t>Two distinctions matter from the outset. Assurance is forward-looking, concerned with whether a project can still succeed, which sets it apart from audit and from the forensic examination of a project that has already failed. And assurance is independent, which is the whole source of its value. A review conducted by those who deliver the project, or beholden to them, tells the decision-maker nothing they could not have been told by the project itself. Independence is what the practitioner offers, and the Co</w:t>
      </w:r>
      <w:r>
        <w:t>de of Professional Conduct requires them never to assure a project they have delivered.</w:t>
      </w:r>
    </w:p>
    <w:p w14:paraId="436B8055" w14:textId="77777777" w:rsidR="00C335A5" w:rsidRDefault="00BF7B47">
      <w:r>
        <w:br w:type="page"/>
      </w:r>
    </w:p>
    <w:p w14:paraId="0E27221C" w14:textId="77777777" w:rsidR="00C335A5" w:rsidRDefault="00BF7B47">
      <w:pPr>
        <w:pStyle w:val="Heading1"/>
        <w:spacing w:before="300" w:after="150"/>
      </w:pPr>
      <w:r>
        <w:lastRenderedPageBreak/>
        <w:t>Part Two  |  The Contextual Foundation</w:t>
      </w:r>
    </w:p>
    <w:p w14:paraId="0E544EDD" w14:textId="77777777" w:rsidR="00C335A5" w:rsidRDefault="00C335A5">
      <w:pPr>
        <w:pBdr>
          <w:bottom w:val="single" w:sz="8" w:space="1" w:color="C47B0B"/>
        </w:pBdr>
        <w:spacing w:before="60" w:after="160"/>
      </w:pPr>
    </w:p>
    <w:p w14:paraId="53621AB9" w14:textId="77777777" w:rsidR="00C335A5" w:rsidRDefault="00BF7B47">
      <w:pPr>
        <w:spacing w:after="160" w:line="348" w:lineRule="auto"/>
        <w:jc w:val="both"/>
      </w:pPr>
      <w:r>
        <w:t>The same six dimensions that shape African project delivery shape what assurance must examine, though assurance reads them differently: not as conditions to deliver within, but as things to test. A practitioner who reads an engagement against these six will examine the matters most likely to decide whether the project delivers.</w:t>
      </w:r>
    </w:p>
    <w:p w14:paraId="75A80C03" w14:textId="77777777" w:rsidR="00C335A5" w:rsidRDefault="00BF7B47">
      <w:pPr>
        <w:pStyle w:val="Heading2"/>
        <w:spacing w:before="270" w:after="110"/>
      </w:pPr>
      <w:r>
        <w:t>2.1  Financing and funding</w:t>
      </w:r>
    </w:p>
    <w:p w14:paraId="4AE1C301" w14:textId="77777777" w:rsidR="00C335A5" w:rsidRDefault="00BF7B47">
      <w:pPr>
        <w:spacing w:after="160" w:line="348" w:lineRule="auto"/>
        <w:jc w:val="both"/>
      </w:pPr>
      <w:r>
        <w:t>Funding is the first thing assurance must test, and the place where a plausible-looking project most often proves hollow. An approved budget is not available cash. Assurance must examine whether disbursement has been planned against milestones and conditions, whether counterpart or government funding is realistic rather than merely promised, and whether financing in a foreign currency against local-currency costs has been hedged or at least carried as a known exposure.</w:t>
      </w:r>
    </w:p>
    <w:p w14:paraId="5202D734" w14:textId="77777777" w:rsidR="00C335A5" w:rsidRDefault="00BF7B47">
      <w:pPr>
        <w:spacing w:after="160" w:line="348" w:lineRule="auto"/>
        <w:jc w:val="both"/>
      </w:pPr>
      <w:r>
        <w:t xml:space="preserve">A review that reports a project as adequately funded on the strength of an approved budget, without testing whether the cash will </w:t>
      </w:r>
      <w:proofErr w:type="gramStart"/>
      <w:r>
        <w:t>actually arrive</w:t>
      </w:r>
      <w:proofErr w:type="gramEnd"/>
      <w:r>
        <w:t xml:space="preserve"> when the work needs it, gives false comfort. The competent assurance practitioner treats the funding structure as a primary subject of the review, not a settled fact.</w:t>
      </w:r>
    </w:p>
    <w:p w14:paraId="5206B790" w14:textId="77777777" w:rsidR="00C335A5" w:rsidRDefault="00BF7B47">
      <w:pPr>
        <w:pStyle w:val="Heading2"/>
        <w:spacing w:before="270" w:after="110"/>
      </w:pPr>
      <w:r>
        <w:t>2.2  Procurement and contracting</w:t>
      </w:r>
    </w:p>
    <w:p w14:paraId="66BCE8B3" w14:textId="77777777" w:rsidR="00C335A5" w:rsidRDefault="00BF7B47">
      <w:pPr>
        <w:spacing w:after="160" w:line="348" w:lineRule="auto"/>
        <w:jc w:val="both"/>
      </w:pPr>
      <w:r>
        <w:t xml:space="preserve">Where procurement runs through national law and funder conditions, assurance must test compliance as well as soundness: whether the project is </w:t>
      </w:r>
      <w:proofErr w:type="gramStart"/>
      <w:r>
        <w:t>procuring</w:t>
      </w:r>
      <w:proofErr w:type="gramEnd"/>
      <w:r>
        <w:t xml:space="preserve"> lawfully, whether it has allowed for the sequenced approvals the law requires, and whether local-content obligations have been met. Procurement is also a common point of value leakage, so assurance examines it for integrity as well as process.</w:t>
      </w:r>
    </w:p>
    <w:p w14:paraId="78380F9D" w14:textId="77777777" w:rsidR="00C335A5" w:rsidRDefault="00BF7B47">
      <w:pPr>
        <w:spacing w:after="160" w:line="348" w:lineRule="auto"/>
        <w:jc w:val="both"/>
      </w:pPr>
      <w:r>
        <w:t xml:space="preserve">The depth of the supply market is a further matter to test. A plan that depends on a contractor the market cannot </w:t>
      </w:r>
      <w:proofErr w:type="gramStart"/>
      <w:r>
        <w:t>actually supply</w:t>
      </w:r>
      <w:proofErr w:type="gramEnd"/>
      <w:r>
        <w:t xml:space="preserve">, or </w:t>
      </w:r>
      <w:proofErr w:type="gramStart"/>
      <w:r>
        <w:t>on</w:t>
      </w:r>
      <w:proofErr w:type="gramEnd"/>
      <w:r>
        <w:t xml:space="preserve"> capacity that is not there, is not deliverable, however sound it looks. Assurance asks whether the market the project relies on exists.</w:t>
      </w:r>
    </w:p>
    <w:p w14:paraId="19BBEC27" w14:textId="77777777" w:rsidR="00C335A5" w:rsidRDefault="00BF7B47">
      <w:pPr>
        <w:pStyle w:val="Heading2"/>
        <w:spacing w:before="270" w:after="110"/>
      </w:pPr>
      <w:r>
        <w:t>2.3  Institutions and governance</w:t>
      </w:r>
    </w:p>
    <w:p w14:paraId="595F6038" w14:textId="77777777" w:rsidR="00C335A5" w:rsidRDefault="00BF7B47">
      <w:pPr>
        <w:spacing w:after="160" w:line="348" w:lineRule="auto"/>
        <w:jc w:val="both"/>
      </w:pPr>
      <w:r>
        <w:t xml:space="preserve">Assurance must judge governance across a fragmented client, where authority is split among ministries and agencies and no single body can decide. The question is not only </w:t>
      </w:r>
      <w:r>
        <w:lastRenderedPageBreak/>
        <w:t xml:space="preserve">whether a governance structure exists, but whether it can </w:t>
      </w:r>
      <w:proofErr w:type="gramStart"/>
      <w:r>
        <w:t>actually make</w:t>
      </w:r>
      <w:proofErr w:type="gramEnd"/>
      <w:r>
        <w:t xml:space="preserve"> and hold decisions, and whether those decisions can be traced and defended.</w:t>
      </w:r>
    </w:p>
    <w:p w14:paraId="3AFB2C32" w14:textId="77777777" w:rsidR="00C335A5" w:rsidRDefault="00BF7B47">
      <w:pPr>
        <w:spacing w:after="160" w:line="348" w:lineRule="auto"/>
        <w:jc w:val="both"/>
      </w:pPr>
      <w:r>
        <w:t xml:space="preserve">Political economy </w:t>
      </w:r>
      <w:proofErr w:type="gramStart"/>
      <w:r>
        <w:t>bears</w:t>
      </w:r>
      <w:proofErr w:type="gramEnd"/>
      <w:r>
        <w:t xml:space="preserve"> on this. A project championed by one administration may be orphaned by the next, and assurance must test whether its approvals and relationships are robust enough to survive a change of leadership. Governance that depends on </w:t>
      </w:r>
      <w:proofErr w:type="gramStart"/>
      <w:r>
        <w:t>particular individuals</w:t>
      </w:r>
      <w:proofErr w:type="gramEnd"/>
      <w:r>
        <w:t xml:space="preserve"> is a risk the review should name.</w:t>
      </w:r>
    </w:p>
    <w:p w14:paraId="50DB4A90" w14:textId="77777777" w:rsidR="00C335A5" w:rsidRDefault="00BF7B47">
      <w:pPr>
        <w:pStyle w:val="Heading2"/>
        <w:spacing w:before="270" w:after="110"/>
      </w:pPr>
      <w:r>
        <w:t>2.4  Society, community, and culture</w:t>
      </w:r>
    </w:p>
    <w:p w14:paraId="07C84C55" w14:textId="77777777" w:rsidR="00C335A5" w:rsidRDefault="00BF7B47">
      <w:pPr>
        <w:spacing w:after="160" w:line="348" w:lineRule="auto"/>
        <w:jc w:val="both"/>
      </w:pPr>
      <w:r>
        <w:t xml:space="preserve">A project can be halted by a community as surely as by a funder, so assurance must test whether community and customary consent </w:t>
      </w:r>
      <w:proofErr w:type="gramStart"/>
      <w:r>
        <w:t>has</w:t>
      </w:r>
      <w:proofErr w:type="gramEnd"/>
      <w:r>
        <w:t xml:space="preserve"> been secured and, as importantly, whether it is being sustained. Where land is held under customary tenure, the review examines whether the right to build rests on a relationship that will hold, not merely a transaction that has closed.</w:t>
      </w:r>
    </w:p>
    <w:p w14:paraId="2A252070" w14:textId="77777777" w:rsidR="00C335A5" w:rsidRDefault="00BF7B47">
      <w:pPr>
        <w:spacing w:after="160" w:line="348" w:lineRule="auto"/>
        <w:jc w:val="both"/>
      </w:pPr>
      <w:r>
        <w:t xml:space="preserve">The competent review treats </w:t>
      </w:r>
      <w:proofErr w:type="gramStart"/>
      <w:r>
        <w:t>stakeholder</w:t>
      </w:r>
      <w:proofErr w:type="gramEnd"/>
      <w:r>
        <w:t xml:space="preserve"> and community risk as a first-order matter, not a soft one. A project that is sound in every technical respect but has lost the cooperation of the community it is built among is not deliverable, and assurance that misses this has missed the point.</w:t>
      </w:r>
    </w:p>
    <w:p w14:paraId="6D5A2E12" w14:textId="77777777" w:rsidR="00C335A5" w:rsidRDefault="00BF7B47">
      <w:pPr>
        <w:pStyle w:val="Heading2"/>
        <w:spacing w:before="270" w:after="110"/>
      </w:pPr>
      <w:r>
        <w:t>2.5  The delivery environment</w:t>
      </w:r>
    </w:p>
    <w:p w14:paraId="37A64A06" w14:textId="77777777" w:rsidR="00C335A5" w:rsidRDefault="00BF7B47">
      <w:pPr>
        <w:spacing w:after="160" w:line="348" w:lineRule="auto"/>
        <w:jc w:val="both"/>
      </w:pPr>
      <w:r>
        <w:t>Assurance must test the realism of a project’s plans against the physical conditions of delivery: whether logistics and enabling infrastructure have been provided for, whether the estimates rest on real baseline data or on assumption dressed as fact, and whether the schedule respects the seasons and the security realities of the place.</w:t>
      </w:r>
    </w:p>
    <w:p w14:paraId="017287CC" w14:textId="77777777" w:rsidR="00C335A5" w:rsidRDefault="00BF7B47">
      <w:pPr>
        <w:spacing w:after="160" w:line="348" w:lineRule="auto"/>
        <w:jc w:val="both"/>
      </w:pPr>
      <w:r>
        <w:t>Optimism is the standing risk here. Plans built on thin data tend to understate difficulty, and assurance exists in part to test confidence against evidence. The practitioner is properly sceptical of a plan that looks smoother than the conditions around it could allow.</w:t>
      </w:r>
    </w:p>
    <w:p w14:paraId="21D058C1" w14:textId="77777777" w:rsidR="00C335A5" w:rsidRDefault="00BF7B47">
      <w:pPr>
        <w:pStyle w:val="Heading2"/>
        <w:spacing w:before="270" w:after="110"/>
      </w:pPr>
      <w:r>
        <w:t>2.6  Sustainability, climate, and resilience</w:t>
      </w:r>
    </w:p>
    <w:p w14:paraId="50E9AE11" w14:textId="77777777" w:rsidR="00C335A5" w:rsidRDefault="00BF7B47">
      <w:pPr>
        <w:spacing w:after="160" w:line="348" w:lineRule="auto"/>
        <w:jc w:val="both"/>
      </w:pPr>
      <w:r>
        <w:t>Funders increasingly require it and communities are owed it, so assurance must test a project’s environmental and social performance and the resilience of what it will build. A project that meets its time and cost targets but leaves an asset that cannot withstand the next flood, or a community worse off, has not delivered its intended benefit.</w:t>
      </w:r>
    </w:p>
    <w:p w14:paraId="2FC7B23B" w14:textId="77777777" w:rsidR="00C335A5" w:rsidRDefault="00BF7B47">
      <w:pPr>
        <w:spacing w:after="160" w:line="348" w:lineRule="auto"/>
        <w:jc w:val="both"/>
      </w:pPr>
      <w:r>
        <w:lastRenderedPageBreak/>
        <w:t>Assurance therefore examines whether environmental and social safeguards are real and observed, and whether resilience has been designed in rather than assumed. These are tests of deliverability in the fullest sense, not a separate compliance exercise.</w:t>
      </w:r>
    </w:p>
    <w:p w14:paraId="1B0D60BF" w14:textId="77777777" w:rsidR="00C335A5" w:rsidRDefault="00BF7B47">
      <w:r>
        <w:br w:type="page"/>
      </w:r>
    </w:p>
    <w:p w14:paraId="6B4534A9" w14:textId="77777777" w:rsidR="00C335A5" w:rsidRDefault="00BF7B47">
      <w:pPr>
        <w:pStyle w:val="Heading1"/>
        <w:spacing w:before="300" w:after="150"/>
      </w:pPr>
      <w:r>
        <w:lastRenderedPageBreak/>
        <w:t>Part Three  |  The Knowledge Domains</w:t>
      </w:r>
    </w:p>
    <w:p w14:paraId="590216DA" w14:textId="77777777" w:rsidR="00C335A5" w:rsidRDefault="00C335A5">
      <w:pPr>
        <w:pBdr>
          <w:bottom w:val="single" w:sz="8" w:space="1" w:color="C47B0B"/>
        </w:pBdr>
        <w:spacing w:before="60" w:after="160"/>
      </w:pPr>
    </w:p>
    <w:p w14:paraId="403392EB" w14:textId="77777777" w:rsidR="00C335A5" w:rsidRDefault="00BF7B47">
      <w:pPr>
        <w:spacing w:after="160" w:line="348" w:lineRule="auto"/>
        <w:jc w:val="both"/>
      </w:pPr>
      <w:r>
        <w:t>Assurance competence is organised here into eight domains, in three families: the foundations of the discipline, the core assurance judgements, and the handling of evidence and its communication. Each is a settled part of assurance practice, described here for how the African context of Part Two changes its application.</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00"/>
        <w:gridCol w:w="3300"/>
        <w:gridCol w:w="4160"/>
      </w:tblGrid>
      <w:tr w:rsidR="00C335A5" w14:paraId="7EED4245" w14:textId="77777777">
        <w:tblPrEx>
          <w:tblCellMar>
            <w:top w:w="0" w:type="dxa"/>
            <w:bottom w:w="0" w:type="dxa"/>
          </w:tblCellMar>
        </w:tblPrEx>
        <w:trPr>
          <w:tblHeader/>
        </w:trPr>
        <w:tc>
          <w:tcPr>
            <w:tcW w:w="1900" w:type="dxa"/>
            <w:shd w:val="clear" w:color="auto" w:fill="1A5C2A"/>
            <w:tcMar>
              <w:top w:w="80" w:type="dxa"/>
              <w:left w:w="110" w:type="dxa"/>
              <w:bottom w:w="80" w:type="dxa"/>
              <w:right w:w="110" w:type="dxa"/>
            </w:tcMar>
          </w:tcPr>
          <w:p w14:paraId="15982687" w14:textId="77777777" w:rsidR="00C335A5" w:rsidRDefault="00BF7B47">
            <w:r>
              <w:rPr>
                <w:b/>
                <w:bCs/>
                <w:color w:val="FFFFFF"/>
                <w:sz w:val="19"/>
                <w:szCs w:val="19"/>
              </w:rPr>
              <w:t>Family</w:t>
            </w:r>
          </w:p>
        </w:tc>
        <w:tc>
          <w:tcPr>
            <w:tcW w:w="3300" w:type="dxa"/>
            <w:shd w:val="clear" w:color="auto" w:fill="1A5C2A"/>
            <w:tcMar>
              <w:top w:w="80" w:type="dxa"/>
              <w:left w:w="110" w:type="dxa"/>
              <w:bottom w:w="80" w:type="dxa"/>
              <w:right w:w="110" w:type="dxa"/>
            </w:tcMar>
          </w:tcPr>
          <w:p w14:paraId="090AC4C4" w14:textId="77777777" w:rsidR="00C335A5" w:rsidRDefault="00BF7B47">
            <w:r>
              <w:rPr>
                <w:b/>
                <w:bCs/>
                <w:color w:val="FFFFFF"/>
                <w:sz w:val="19"/>
                <w:szCs w:val="19"/>
              </w:rPr>
              <w:t>Knowledge domain</w:t>
            </w:r>
          </w:p>
        </w:tc>
        <w:tc>
          <w:tcPr>
            <w:tcW w:w="4160" w:type="dxa"/>
            <w:shd w:val="clear" w:color="auto" w:fill="1A5C2A"/>
            <w:tcMar>
              <w:top w:w="80" w:type="dxa"/>
              <w:left w:w="110" w:type="dxa"/>
              <w:bottom w:w="80" w:type="dxa"/>
              <w:right w:w="110" w:type="dxa"/>
            </w:tcMar>
          </w:tcPr>
          <w:p w14:paraId="7D2B3DC2" w14:textId="77777777" w:rsidR="00C335A5" w:rsidRDefault="00BF7B47">
            <w:r>
              <w:rPr>
                <w:b/>
                <w:bCs/>
                <w:color w:val="FFFFFF"/>
                <w:sz w:val="19"/>
                <w:szCs w:val="19"/>
              </w:rPr>
              <w:t>What assurance must establish</w:t>
            </w:r>
          </w:p>
        </w:tc>
      </w:tr>
      <w:tr w:rsidR="00C335A5" w14:paraId="08A4AC44" w14:textId="77777777">
        <w:tblPrEx>
          <w:tblCellMar>
            <w:top w:w="0" w:type="dxa"/>
            <w:bottom w:w="0" w:type="dxa"/>
          </w:tblCellMar>
        </w:tblPrEx>
        <w:tc>
          <w:tcPr>
            <w:tcW w:w="1900" w:type="dxa"/>
            <w:shd w:val="clear" w:color="auto" w:fill="EAF1EC"/>
            <w:tcMar>
              <w:top w:w="70" w:type="dxa"/>
              <w:left w:w="110" w:type="dxa"/>
              <w:bottom w:w="70" w:type="dxa"/>
              <w:right w:w="110" w:type="dxa"/>
            </w:tcMar>
          </w:tcPr>
          <w:p w14:paraId="6F144893" w14:textId="77777777" w:rsidR="00C335A5" w:rsidRDefault="00BF7B47">
            <w:pPr>
              <w:spacing w:line="262" w:lineRule="auto"/>
            </w:pPr>
            <w:r>
              <w:rPr>
                <w:b/>
                <w:bCs/>
                <w:sz w:val="18"/>
                <w:szCs w:val="18"/>
              </w:rPr>
              <w:t>Foundations</w:t>
            </w:r>
          </w:p>
        </w:tc>
        <w:tc>
          <w:tcPr>
            <w:tcW w:w="3300" w:type="dxa"/>
            <w:shd w:val="clear" w:color="auto" w:fill="EAF1EC"/>
            <w:tcMar>
              <w:top w:w="70" w:type="dxa"/>
              <w:left w:w="110" w:type="dxa"/>
              <w:bottom w:w="70" w:type="dxa"/>
              <w:right w:w="110" w:type="dxa"/>
            </w:tcMar>
          </w:tcPr>
          <w:p w14:paraId="783124D0" w14:textId="77777777" w:rsidR="00C335A5" w:rsidRDefault="00BF7B47">
            <w:pPr>
              <w:spacing w:line="262" w:lineRule="auto"/>
            </w:pPr>
            <w:r>
              <w:rPr>
                <w:sz w:val="18"/>
                <w:szCs w:val="18"/>
              </w:rPr>
              <w:t>1  The nature and purpose of assurance</w:t>
            </w:r>
          </w:p>
        </w:tc>
        <w:tc>
          <w:tcPr>
            <w:tcW w:w="4160" w:type="dxa"/>
            <w:shd w:val="clear" w:color="auto" w:fill="EAF1EC"/>
            <w:tcMar>
              <w:top w:w="70" w:type="dxa"/>
              <w:left w:w="110" w:type="dxa"/>
              <w:bottom w:w="70" w:type="dxa"/>
              <w:right w:w="110" w:type="dxa"/>
            </w:tcMar>
          </w:tcPr>
          <w:p w14:paraId="105E31AE" w14:textId="77777777" w:rsidR="00C335A5" w:rsidRDefault="00BF7B47">
            <w:pPr>
              <w:spacing w:line="262" w:lineRule="auto"/>
            </w:pPr>
            <w:r>
              <w:rPr>
                <w:sz w:val="18"/>
                <w:szCs w:val="18"/>
              </w:rPr>
              <w:t>Whom the review serves, and the confidence it exists to provide.</w:t>
            </w:r>
          </w:p>
        </w:tc>
      </w:tr>
      <w:tr w:rsidR="00C335A5" w14:paraId="3230A26B"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30716E31" w14:textId="77777777" w:rsidR="00C335A5" w:rsidRDefault="00C335A5">
            <w:pPr>
              <w:spacing w:line="262" w:lineRule="auto"/>
            </w:pPr>
          </w:p>
        </w:tc>
        <w:tc>
          <w:tcPr>
            <w:tcW w:w="3300" w:type="dxa"/>
            <w:shd w:val="clear" w:color="auto" w:fill="FFFFFF"/>
            <w:tcMar>
              <w:top w:w="70" w:type="dxa"/>
              <w:left w:w="110" w:type="dxa"/>
              <w:bottom w:w="70" w:type="dxa"/>
              <w:right w:w="110" w:type="dxa"/>
            </w:tcMar>
          </w:tcPr>
          <w:p w14:paraId="0A9D1E34" w14:textId="77777777" w:rsidR="00C335A5" w:rsidRDefault="00BF7B47">
            <w:pPr>
              <w:spacing w:line="262" w:lineRule="auto"/>
            </w:pPr>
            <w:r>
              <w:rPr>
                <w:sz w:val="18"/>
                <w:szCs w:val="18"/>
              </w:rPr>
              <w:t>2  Independence and objectivity</w:t>
            </w:r>
          </w:p>
        </w:tc>
        <w:tc>
          <w:tcPr>
            <w:tcW w:w="4160" w:type="dxa"/>
            <w:shd w:val="clear" w:color="auto" w:fill="FFFFFF"/>
            <w:tcMar>
              <w:top w:w="70" w:type="dxa"/>
              <w:left w:w="110" w:type="dxa"/>
              <w:bottom w:w="70" w:type="dxa"/>
              <w:right w:w="110" w:type="dxa"/>
            </w:tcMar>
          </w:tcPr>
          <w:p w14:paraId="489C608B" w14:textId="77777777" w:rsidR="00C335A5" w:rsidRDefault="00BF7B47">
            <w:pPr>
              <w:spacing w:line="262" w:lineRule="auto"/>
            </w:pPr>
            <w:r>
              <w:rPr>
                <w:sz w:val="18"/>
                <w:szCs w:val="18"/>
              </w:rPr>
              <w:t xml:space="preserve">That the review is, and is seen to be, free of </w:t>
            </w:r>
            <w:proofErr w:type="gramStart"/>
            <w:r>
              <w:rPr>
                <w:sz w:val="18"/>
                <w:szCs w:val="18"/>
              </w:rPr>
              <w:t>the delivery</w:t>
            </w:r>
            <w:proofErr w:type="gramEnd"/>
            <w:r>
              <w:rPr>
                <w:sz w:val="18"/>
                <w:szCs w:val="18"/>
              </w:rPr>
              <w:t xml:space="preserve"> interest.</w:t>
            </w:r>
          </w:p>
        </w:tc>
      </w:tr>
      <w:tr w:rsidR="00C335A5" w14:paraId="195E93CD" w14:textId="77777777">
        <w:tblPrEx>
          <w:tblCellMar>
            <w:top w:w="0" w:type="dxa"/>
            <w:bottom w:w="0" w:type="dxa"/>
          </w:tblCellMar>
        </w:tblPrEx>
        <w:tc>
          <w:tcPr>
            <w:tcW w:w="1900" w:type="dxa"/>
            <w:shd w:val="clear" w:color="auto" w:fill="EAF1EC"/>
            <w:tcMar>
              <w:top w:w="70" w:type="dxa"/>
              <w:left w:w="110" w:type="dxa"/>
              <w:bottom w:w="70" w:type="dxa"/>
              <w:right w:w="110" w:type="dxa"/>
            </w:tcMar>
          </w:tcPr>
          <w:p w14:paraId="0ED3A842" w14:textId="77777777" w:rsidR="00C335A5" w:rsidRDefault="00BF7B47">
            <w:pPr>
              <w:spacing w:line="262" w:lineRule="auto"/>
            </w:pPr>
            <w:r>
              <w:rPr>
                <w:b/>
                <w:bCs/>
                <w:sz w:val="18"/>
                <w:szCs w:val="18"/>
              </w:rPr>
              <w:t>The assurance judgement</w:t>
            </w:r>
          </w:p>
        </w:tc>
        <w:tc>
          <w:tcPr>
            <w:tcW w:w="3300" w:type="dxa"/>
            <w:shd w:val="clear" w:color="auto" w:fill="EAF1EC"/>
            <w:tcMar>
              <w:top w:w="70" w:type="dxa"/>
              <w:left w:w="110" w:type="dxa"/>
              <w:bottom w:w="70" w:type="dxa"/>
              <w:right w:w="110" w:type="dxa"/>
            </w:tcMar>
          </w:tcPr>
          <w:p w14:paraId="68EAA718" w14:textId="77777777" w:rsidR="00C335A5" w:rsidRDefault="00BF7B47">
            <w:pPr>
              <w:spacing w:line="262" w:lineRule="auto"/>
            </w:pPr>
            <w:r>
              <w:rPr>
                <w:sz w:val="18"/>
                <w:szCs w:val="18"/>
              </w:rPr>
              <w:t>3  Assurance frameworks and gateway review</w:t>
            </w:r>
          </w:p>
        </w:tc>
        <w:tc>
          <w:tcPr>
            <w:tcW w:w="4160" w:type="dxa"/>
            <w:shd w:val="clear" w:color="auto" w:fill="EAF1EC"/>
            <w:tcMar>
              <w:top w:w="70" w:type="dxa"/>
              <w:left w:w="110" w:type="dxa"/>
              <w:bottom w:w="70" w:type="dxa"/>
              <w:right w:w="110" w:type="dxa"/>
            </w:tcMar>
          </w:tcPr>
          <w:p w14:paraId="0D1929A0" w14:textId="77777777" w:rsidR="00C335A5" w:rsidRDefault="00BF7B47">
            <w:pPr>
              <w:spacing w:line="262" w:lineRule="auto"/>
            </w:pPr>
            <w:r>
              <w:rPr>
                <w:sz w:val="18"/>
                <w:szCs w:val="18"/>
              </w:rPr>
              <w:t>Whether a project is ready to proceed at its decision points.</w:t>
            </w:r>
          </w:p>
        </w:tc>
      </w:tr>
      <w:tr w:rsidR="00C335A5" w14:paraId="5DD36A54"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5C58ED8C" w14:textId="77777777" w:rsidR="00C335A5" w:rsidRDefault="00C335A5">
            <w:pPr>
              <w:spacing w:line="262" w:lineRule="auto"/>
            </w:pPr>
          </w:p>
        </w:tc>
        <w:tc>
          <w:tcPr>
            <w:tcW w:w="3300" w:type="dxa"/>
            <w:shd w:val="clear" w:color="auto" w:fill="FFFFFF"/>
            <w:tcMar>
              <w:top w:w="70" w:type="dxa"/>
              <w:left w:w="110" w:type="dxa"/>
              <w:bottom w:w="70" w:type="dxa"/>
              <w:right w:w="110" w:type="dxa"/>
            </w:tcMar>
          </w:tcPr>
          <w:p w14:paraId="5A9DF80A" w14:textId="77777777" w:rsidR="00C335A5" w:rsidRDefault="00BF7B47">
            <w:pPr>
              <w:spacing w:line="262" w:lineRule="auto"/>
            </w:pPr>
            <w:r>
              <w:rPr>
                <w:sz w:val="18"/>
                <w:szCs w:val="18"/>
              </w:rPr>
              <w:t>4  Delivery-confidence assessment</w:t>
            </w:r>
          </w:p>
        </w:tc>
        <w:tc>
          <w:tcPr>
            <w:tcW w:w="4160" w:type="dxa"/>
            <w:shd w:val="clear" w:color="auto" w:fill="FFFFFF"/>
            <w:tcMar>
              <w:top w:w="70" w:type="dxa"/>
              <w:left w:w="110" w:type="dxa"/>
              <w:bottom w:w="70" w:type="dxa"/>
              <w:right w:w="110" w:type="dxa"/>
            </w:tcMar>
          </w:tcPr>
          <w:p w14:paraId="79416BD9" w14:textId="77777777" w:rsidR="00C335A5" w:rsidRDefault="00BF7B47">
            <w:pPr>
              <w:spacing w:line="262" w:lineRule="auto"/>
            </w:pPr>
            <w:r>
              <w:rPr>
                <w:sz w:val="18"/>
                <w:szCs w:val="18"/>
              </w:rPr>
              <w:t>Whether the project can realistically deliver, and what must change.</w:t>
            </w:r>
          </w:p>
        </w:tc>
      </w:tr>
      <w:tr w:rsidR="00C335A5" w14:paraId="54DB943E" w14:textId="77777777">
        <w:tblPrEx>
          <w:tblCellMar>
            <w:top w:w="0" w:type="dxa"/>
            <w:bottom w:w="0" w:type="dxa"/>
          </w:tblCellMar>
        </w:tblPrEx>
        <w:tc>
          <w:tcPr>
            <w:tcW w:w="1900" w:type="dxa"/>
            <w:shd w:val="clear" w:color="auto" w:fill="EAF1EC"/>
            <w:tcMar>
              <w:top w:w="70" w:type="dxa"/>
              <w:left w:w="110" w:type="dxa"/>
              <w:bottom w:w="70" w:type="dxa"/>
              <w:right w:w="110" w:type="dxa"/>
            </w:tcMar>
          </w:tcPr>
          <w:p w14:paraId="12A2F428" w14:textId="77777777" w:rsidR="00C335A5" w:rsidRDefault="00C335A5">
            <w:pPr>
              <w:spacing w:line="262" w:lineRule="auto"/>
            </w:pPr>
          </w:p>
        </w:tc>
        <w:tc>
          <w:tcPr>
            <w:tcW w:w="3300" w:type="dxa"/>
            <w:shd w:val="clear" w:color="auto" w:fill="EAF1EC"/>
            <w:tcMar>
              <w:top w:w="70" w:type="dxa"/>
              <w:left w:w="110" w:type="dxa"/>
              <w:bottom w:w="70" w:type="dxa"/>
              <w:right w:w="110" w:type="dxa"/>
            </w:tcMar>
          </w:tcPr>
          <w:p w14:paraId="107D5BA1" w14:textId="77777777" w:rsidR="00C335A5" w:rsidRDefault="00BF7B47">
            <w:pPr>
              <w:spacing w:line="262" w:lineRule="auto"/>
            </w:pPr>
            <w:r>
              <w:rPr>
                <w:sz w:val="18"/>
                <w:szCs w:val="18"/>
              </w:rPr>
              <w:t>5  Governance, controls, and risk</w:t>
            </w:r>
          </w:p>
        </w:tc>
        <w:tc>
          <w:tcPr>
            <w:tcW w:w="4160" w:type="dxa"/>
            <w:shd w:val="clear" w:color="auto" w:fill="EAF1EC"/>
            <w:tcMar>
              <w:top w:w="70" w:type="dxa"/>
              <w:left w:w="110" w:type="dxa"/>
              <w:bottom w:w="70" w:type="dxa"/>
              <w:right w:w="110" w:type="dxa"/>
            </w:tcMar>
          </w:tcPr>
          <w:p w14:paraId="3430F2B3" w14:textId="77777777" w:rsidR="00C335A5" w:rsidRDefault="00BF7B47">
            <w:pPr>
              <w:spacing w:line="262" w:lineRule="auto"/>
            </w:pPr>
            <w:r>
              <w:rPr>
                <w:sz w:val="18"/>
                <w:szCs w:val="18"/>
              </w:rPr>
              <w:t>Whether the project is soundly governed and its risks managed.</w:t>
            </w:r>
          </w:p>
        </w:tc>
      </w:tr>
      <w:tr w:rsidR="00C335A5" w14:paraId="74105A06"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06D2F8DA" w14:textId="77777777" w:rsidR="00C335A5" w:rsidRDefault="00C335A5">
            <w:pPr>
              <w:spacing w:line="262" w:lineRule="auto"/>
            </w:pPr>
          </w:p>
        </w:tc>
        <w:tc>
          <w:tcPr>
            <w:tcW w:w="3300" w:type="dxa"/>
            <w:shd w:val="clear" w:color="auto" w:fill="FFFFFF"/>
            <w:tcMar>
              <w:top w:w="70" w:type="dxa"/>
              <w:left w:w="110" w:type="dxa"/>
              <w:bottom w:w="70" w:type="dxa"/>
              <w:right w:w="110" w:type="dxa"/>
            </w:tcMar>
          </w:tcPr>
          <w:p w14:paraId="66A16D01" w14:textId="77777777" w:rsidR="00C335A5" w:rsidRDefault="00BF7B47">
            <w:pPr>
              <w:spacing w:line="262" w:lineRule="auto"/>
            </w:pPr>
            <w:r>
              <w:rPr>
                <w:sz w:val="18"/>
                <w:szCs w:val="18"/>
              </w:rPr>
              <w:t>6  Procurement and funding integrity</w:t>
            </w:r>
          </w:p>
        </w:tc>
        <w:tc>
          <w:tcPr>
            <w:tcW w:w="4160" w:type="dxa"/>
            <w:shd w:val="clear" w:color="auto" w:fill="FFFFFF"/>
            <w:tcMar>
              <w:top w:w="70" w:type="dxa"/>
              <w:left w:w="110" w:type="dxa"/>
              <w:bottom w:w="70" w:type="dxa"/>
              <w:right w:w="110" w:type="dxa"/>
            </w:tcMar>
          </w:tcPr>
          <w:p w14:paraId="59DFA6D7" w14:textId="77777777" w:rsidR="00C335A5" w:rsidRDefault="00BF7B47">
            <w:pPr>
              <w:spacing w:line="262" w:lineRule="auto"/>
            </w:pPr>
            <w:r>
              <w:rPr>
                <w:sz w:val="18"/>
                <w:szCs w:val="18"/>
              </w:rPr>
              <w:t>Whether procurement and funding are lawful, sound, and real.</w:t>
            </w:r>
          </w:p>
        </w:tc>
      </w:tr>
      <w:tr w:rsidR="00C335A5" w14:paraId="0230F503" w14:textId="77777777">
        <w:tblPrEx>
          <w:tblCellMar>
            <w:top w:w="0" w:type="dxa"/>
            <w:bottom w:w="0" w:type="dxa"/>
          </w:tblCellMar>
        </w:tblPrEx>
        <w:tc>
          <w:tcPr>
            <w:tcW w:w="1900" w:type="dxa"/>
            <w:shd w:val="clear" w:color="auto" w:fill="EAF1EC"/>
            <w:tcMar>
              <w:top w:w="70" w:type="dxa"/>
              <w:left w:w="110" w:type="dxa"/>
              <w:bottom w:w="70" w:type="dxa"/>
              <w:right w:w="110" w:type="dxa"/>
            </w:tcMar>
          </w:tcPr>
          <w:p w14:paraId="325A82CE" w14:textId="77777777" w:rsidR="00C335A5" w:rsidRDefault="00BF7B47">
            <w:pPr>
              <w:spacing w:line="262" w:lineRule="auto"/>
            </w:pPr>
            <w:r>
              <w:rPr>
                <w:b/>
                <w:bCs/>
                <w:sz w:val="18"/>
                <w:szCs w:val="18"/>
              </w:rPr>
              <w:t>Evidence and communication</w:t>
            </w:r>
          </w:p>
        </w:tc>
        <w:tc>
          <w:tcPr>
            <w:tcW w:w="3300" w:type="dxa"/>
            <w:shd w:val="clear" w:color="auto" w:fill="EAF1EC"/>
            <w:tcMar>
              <w:top w:w="70" w:type="dxa"/>
              <w:left w:w="110" w:type="dxa"/>
              <w:bottom w:w="70" w:type="dxa"/>
              <w:right w:w="110" w:type="dxa"/>
            </w:tcMar>
          </w:tcPr>
          <w:p w14:paraId="5558DE98" w14:textId="77777777" w:rsidR="00C335A5" w:rsidRDefault="00BF7B47">
            <w:pPr>
              <w:spacing w:line="262" w:lineRule="auto"/>
            </w:pPr>
            <w:r>
              <w:rPr>
                <w:sz w:val="18"/>
                <w:szCs w:val="18"/>
              </w:rPr>
              <w:t>7  The assurance process and evidence</w:t>
            </w:r>
          </w:p>
        </w:tc>
        <w:tc>
          <w:tcPr>
            <w:tcW w:w="4160" w:type="dxa"/>
            <w:shd w:val="clear" w:color="auto" w:fill="EAF1EC"/>
            <w:tcMar>
              <w:top w:w="70" w:type="dxa"/>
              <w:left w:w="110" w:type="dxa"/>
              <w:bottom w:w="70" w:type="dxa"/>
              <w:right w:w="110" w:type="dxa"/>
            </w:tcMar>
          </w:tcPr>
          <w:p w14:paraId="4D604B2E" w14:textId="77777777" w:rsidR="00C335A5" w:rsidRDefault="00BF7B47">
            <w:pPr>
              <w:spacing w:line="262" w:lineRule="auto"/>
            </w:pPr>
            <w:r>
              <w:rPr>
                <w:sz w:val="18"/>
                <w:szCs w:val="18"/>
              </w:rPr>
              <w:t>That findings rest on sufficient, relevant, reliable evidence.</w:t>
            </w:r>
          </w:p>
        </w:tc>
      </w:tr>
      <w:tr w:rsidR="00C335A5" w14:paraId="60499A0A" w14:textId="77777777">
        <w:tblPrEx>
          <w:tblCellMar>
            <w:top w:w="0" w:type="dxa"/>
            <w:bottom w:w="0" w:type="dxa"/>
          </w:tblCellMar>
        </w:tblPrEx>
        <w:tc>
          <w:tcPr>
            <w:tcW w:w="1900" w:type="dxa"/>
            <w:shd w:val="clear" w:color="auto" w:fill="FFFFFF"/>
            <w:tcMar>
              <w:top w:w="70" w:type="dxa"/>
              <w:left w:w="110" w:type="dxa"/>
              <w:bottom w:w="70" w:type="dxa"/>
              <w:right w:w="110" w:type="dxa"/>
            </w:tcMar>
          </w:tcPr>
          <w:p w14:paraId="2B342AA4" w14:textId="77777777" w:rsidR="00C335A5" w:rsidRDefault="00C335A5">
            <w:pPr>
              <w:spacing w:line="262" w:lineRule="auto"/>
            </w:pPr>
          </w:p>
        </w:tc>
        <w:tc>
          <w:tcPr>
            <w:tcW w:w="3300" w:type="dxa"/>
            <w:shd w:val="clear" w:color="auto" w:fill="FFFFFF"/>
            <w:tcMar>
              <w:top w:w="70" w:type="dxa"/>
              <w:left w:w="110" w:type="dxa"/>
              <w:bottom w:w="70" w:type="dxa"/>
              <w:right w:w="110" w:type="dxa"/>
            </w:tcMar>
          </w:tcPr>
          <w:p w14:paraId="0B54920D" w14:textId="77777777" w:rsidR="00C335A5" w:rsidRDefault="00BF7B47">
            <w:pPr>
              <w:spacing w:line="262" w:lineRule="auto"/>
            </w:pPr>
            <w:r>
              <w:rPr>
                <w:sz w:val="18"/>
                <w:szCs w:val="18"/>
              </w:rPr>
              <w:t>8  Reporting and independent advice</w:t>
            </w:r>
          </w:p>
        </w:tc>
        <w:tc>
          <w:tcPr>
            <w:tcW w:w="4160" w:type="dxa"/>
            <w:shd w:val="clear" w:color="auto" w:fill="FFFFFF"/>
            <w:tcMar>
              <w:top w:w="70" w:type="dxa"/>
              <w:left w:w="110" w:type="dxa"/>
              <w:bottom w:w="70" w:type="dxa"/>
              <w:right w:w="110" w:type="dxa"/>
            </w:tcMar>
          </w:tcPr>
          <w:p w14:paraId="4673B73E" w14:textId="77777777" w:rsidR="00C335A5" w:rsidRDefault="00BF7B47">
            <w:pPr>
              <w:spacing w:line="262" w:lineRule="auto"/>
            </w:pPr>
            <w:r>
              <w:rPr>
                <w:sz w:val="18"/>
                <w:szCs w:val="18"/>
              </w:rPr>
              <w:t>That the decision-maker is told what they need, clearly and honestly.</w:t>
            </w:r>
          </w:p>
        </w:tc>
      </w:tr>
    </w:tbl>
    <w:p w14:paraId="02A76DA5" w14:textId="77777777" w:rsidR="00C335A5" w:rsidRDefault="00C335A5">
      <w:pPr>
        <w:spacing w:after="40"/>
      </w:pPr>
    </w:p>
    <w:p w14:paraId="6C25F7A7" w14:textId="77777777" w:rsidR="00C335A5" w:rsidRDefault="00BF7B47">
      <w:pPr>
        <w:pStyle w:val="Heading2"/>
        <w:spacing w:before="270" w:after="110"/>
      </w:pPr>
      <w:r>
        <w:t>3.1  Foundations of assurance</w:t>
      </w:r>
    </w:p>
    <w:p w14:paraId="079AC207" w14:textId="77777777" w:rsidR="00C335A5" w:rsidRDefault="00BF7B47">
      <w:pPr>
        <w:spacing w:after="150" w:line="344" w:lineRule="auto"/>
        <w:jc w:val="both"/>
      </w:pPr>
      <w:r>
        <w:rPr>
          <w:b/>
          <w:bCs/>
          <w:color w:val="1A5C2A"/>
        </w:rPr>
        <w:t xml:space="preserve">1. The nature and purpose of assurance.  </w:t>
      </w:r>
      <w:r>
        <w:t xml:space="preserve">The domain covers what assurance is, whom it serves, and why it exists: to give those who sanction, finance, or </w:t>
      </w:r>
      <w:proofErr w:type="gramStart"/>
      <w:r>
        <w:t>insure</w:t>
      </w:r>
      <w:proofErr w:type="gramEnd"/>
      <w:r>
        <w:t xml:space="preserve"> a project an informed and objective view of whether it can deliver. It includes distinguishing assurance from audit, review, and advice, and understanding the assurance relationship and its limits.</w:t>
      </w:r>
    </w:p>
    <w:p w14:paraId="5712306D" w14:textId="77777777" w:rsidR="00C335A5" w:rsidRDefault="00BF7B47">
      <w:pPr>
        <w:spacing w:after="150" w:line="344" w:lineRule="auto"/>
        <w:jc w:val="both"/>
      </w:pPr>
      <w:r>
        <w:rPr>
          <w:b/>
          <w:bCs/>
          <w:color w:val="1A5C2A"/>
        </w:rPr>
        <w:t xml:space="preserve">2. Independence and objectivity.  </w:t>
      </w:r>
      <w:r>
        <w:t xml:space="preserve">Independence is the source of everything assurance is worth, so it is treated as a </w:t>
      </w:r>
      <w:proofErr w:type="gramStart"/>
      <w:r>
        <w:t>domain in its own right</w:t>
      </w:r>
      <w:proofErr w:type="gramEnd"/>
      <w:r>
        <w:t>. It covers the threats to independence and their safeguards, the objectivity the practitioner must bring, and the strict separation, required by the Code, between assuring a project and having delivered it.</w:t>
      </w:r>
    </w:p>
    <w:p w14:paraId="6FD8B40A" w14:textId="77777777" w:rsidR="00C335A5" w:rsidRDefault="00BF7B47">
      <w:pPr>
        <w:pStyle w:val="Heading2"/>
        <w:spacing w:before="270" w:after="110"/>
      </w:pPr>
      <w:r>
        <w:t>3.2  The assurance judgement</w:t>
      </w:r>
    </w:p>
    <w:p w14:paraId="677FD9CB" w14:textId="77777777" w:rsidR="00C335A5" w:rsidRDefault="00BF7B47">
      <w:pPr>
        <w:spacing w:after="150" w:line="344" w:lineRule="auto"/>
        <w:jc w:val="both"/>
      </w:pPr>
      <w:r>
        <w:rPr>
          <w:b/>
          <w:bCs/>
          <w:color w:val="1A5C2A"/>
        </w:rPr>
        <w:t xml:space="preserve">3. Assurance frameworks and gateway review.  </w:t>
      </w:r>
      <w:r>
        <w:t xml:space="preserve">The domain covers the recognised frameworks of assurance and the gateway or stage-gate reviews through which a project </w:t>
      </w:r>
      <w:r>
        <w:lastRenderedPageBreak/>
        <w:t xml:space="preserve">is tested at its critical decision points. In the African context, where most avoidable failure is designed in at the front end, gateway assurance at the point of funding and approval carries </w:t>
      </w:r>
      <w:proofErr w:type="gramStart"/>
      <w:r>
        <w:t>particular weight</w:t>
      </w:r>
      <w:proofErr w:type="gramEnd"/>
      <w:r>
        <w:t>.</w:t>
      </w:r>
    </w:p>
    <w:p w14:paraId="2ED32BD2" w14:textId="77777777" w:rsidR="00C335A5" w:rsidRDefault="00BF7B47">
      <w:pPr>
        <w:spacing w:after="150" w:line="344" w:lineRule="auto"/>
        <w:jc w:val="both"/>
      </w:pPr>
      <w:r>
        <w:rPr>
          <w:b/>
          <w:bCs/>
          <w:color w:val="1A5C2A"/>
        </w:rPr>
        <w:t xml:space="preserve">4. Delivery-confidence assessment.  </w:t>
      </w:r>
      <w:r>
        <w:t xml:space="preserve">The central assurance judgement: whether a project, as planned and as </w:t>
      </w:r>
      <w:proofErr w:type="gramStart"/>
      <w:r>
        <w:t>progressing</w:t>
      </w:r>
      <w:proofErr w:type="gramEnd"/>
      <w:r>
        <w:t>, can realistically deliver to time, cost, quality, and benefit. The domain covers reaching and expressing a defensible confidence judgement, and doing so against disbursement reality, counterpart funding, market capacity, and community consent, not the plan alone.</w:t>
      </w:r>
    </w:p>
    <w:p w14:paraId="7644E06B" w14:textId="77777777" w:rsidR="00C335A5" w:rsidRDefault="00BF7B47">
      <w:pPr>
        <w:spacing w:after="150" w:line="344" w:lineRule="auto"/>
        <w:jc w:val="both"/>
      </w:pPr>
      <w:r>
        <w:rPr>
          <w:b/>
          <w:bCs/>
          <w:color w:val="1A5C2A"/>
        </w:rPr>
        <w:t xml:space="preserve">5. Governance, controls, and risk.  </w:t>
      </w:r>
      <w:r>
        <w:t>The domain covers testing the soundness of a project’s governance, the adequacy of its controls and audit trail, and the quality of its risk management. In a fragmented client landscape, the practitioner looks above all for whether decisions can be made, traced, and defended.</w:t>
      </w:r>
    </w:p>
    <w:p w14:paraId="4B624D80" w14:textId="77777777" w:rsidR="00C335A5" w:rsidRDefault="00BF7B47">
      <w:pPr>
        <w:spacing w:after="150" w:line="344" w:lineRule="auto"/>
        <w:jc w:val="both"/>
      </w:pPr>
      <w:r>
        <w:rPr>
          <w:b/>
          <w:bCs/>
          <w:color w:val="1A5C2A"/>
        </w:rPr>
        <w:t xml:space="preserve">6. Procurement and funding integrity.  </w:t>
      </w:r>
      <w:r>
        <w:t>The domain covers examining a project’s procurement and funding for lawfulness, soundness, value, and freedom from irregularity. Where procurement is heavily regulated and a common point of value leakage, the practitioner must distinguish a genuine irregularity from a mere procedural fault and report each accordingly.</w:t>
      </w:r>
    </w:p>
    <w:p w14:paraId="1543FF3E" w14:textId="77777777" w:rsidR="00C335A5" w:rsidRDefault="00BF7B47">
      <w:pPr>
        <w:pStyle w:val="Heading2"/>
        <w:spacing w:before="270" w:after="110"/>
      </w:pPr>
      <w:r>
        <w:t>3.3  Evidence and communication</w:t>
      </w:r>
    </w:p>
    <w:p w14:paraId="6CA3BBE5" w14:textId="77777777" w:rsidR="00C335A5" w:rsidRDefault="00BF7B47">
      <w:pPr>
        <w:spacing w:after="150" w:line="344" w:lineRule="auto"/>
        <w:jc w:val="both"/>
      </w:pPr>
      <w:r>
        <w:rPr>
          <w:b/>
          <w:bCs/>
          <w:color w:val="1A5C2A"/>
        </w:rPr>
        <w:t xml:space="preserve">7. The assurance process and evidence.  </w:t>
      </w:r>
      <w:r>
        <w:t>The domain covers planning an engagement scoped to the decision it serves, and gathering and weighing evidence that is sufficient, relevant, and reliable. Where records may be thin or unreliable, the practitioner must judge the quality of the evidence itself and be honest about the limits of what the review could establish.</w:t>
      </w:r>
    </w:p>
    <w:p w14:paraId="606C403E" w14:textId="77777777" w:rsidR="00C335A5" w:rsidRDefault="00BF7B47">
      <w:pPr>
        <w:spacing w:after="150" w:line="344" w:lineRule="auto"/>
        <w:jc w:val="both"/>
      </w:pPr>
      <w:r>
        <w:rPr>
          <w:b/>
          <w:bCs/>
          <w:color w:val="1A5C2A"/>
        </w:rPr>
        <w:t xml:space="preserve">8. Reporting and independent advice.  </w:t>
      </w:r>
      <w:r>
        <w:t xml:space="preserve">The report </w:t>
      </w:r>
      <w:proofErr w:type="gramStart"/>
      <w:r>
        <w:t>is</w:t>
      </w:r>
      <w:proofErr w:type="gramEnd"/>
      <w:r>
        <w:t xml:space="preserve"> the product of assurance. The domain covers reaching findings supported by evidence and honestly qualified, writing a report a board or funder can act on, and advising decision-makers while holding an independent position under pressure, without straying across the line into taking the decision.</w:t>
      </w:r>
    </w:p>
    <w:p w14:paraId="33E974B3" w14:textId="77777777" w:rsidR="00C335A5" w:rsidRDefault="00BF7B47">
      <w:r>
        <w:br w:type="page"/>
      </w:r>
    </w:p>
    <w:p w14:paraId="1E2EB944" w14:textId="77777777" w:rsidR="00C335A5" w:rsidRDefault="00BF7B47">
      <w:pPr>
        <w:pStyle w:val="Heading1"/>
        <w:spacing w:before="300" w:after="150"/>
      </w:pPr>
      <w:r>
        <w:lastRenderedPageBreak/>
        <w:t>Part Four  |  Assurance Across the Project</w:t>
      </w:r>
    </w:p>
    <w:p w14:paraId="01862F10" w14:textId="77777777" w:rsidR="00C335A5" w:rsidRDefault="00C335A5">
      <w:pPr>
        <w:pBdr>
          <w:bottom w:val="single" w:sz="8" w:space="1" w:color="C47B0B"/>
        </w:pBdr>
        <w:spacing w:before="60" w:after="160"/>
      </w:pPr>
    </w:p>
    <w:p w14:paraId="13C8259F" w14:textId="77777777" w:rsidR="00C335A5" w:rsidRDefault="00BF7B47">
      <w:pPr>
        <w:spacing w:after="160" w:line="348" w:lineRule="auto"/>
        <w:jc w:val="both"/>
      </w:pPr>
      <w:r>
        <w:t xml:space="preserve">Assurance is applied at points across the life of a project, and its value is greatest where a decision still hangs on the answer. The points below name where assurance is most often provided and what each is for. Assurance is </w:t>
      </w:r>
      <w:proofErr w:type="gramStart"/>
      <w:r>
        <w:t>most</w:t>
      </w:r>
      <w:proofErr w:type="gramEnd"/>
      <w:r>
        <w:t xml:space="preserve"> powerful early, before the expensive commitments are made, and this framework gives the front end its due weight.</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00"/>
        <w:gridCol w:w="3200"/>
        <w:gridCol w:w="3660"/>
      </w:tblGrid>
      <w:tr w:rsidR="00C335A5" w14:paraId="401FE9D6" w14:textId="77777777">
        <w:tblPrEx>
          <w:tblCellMar>
            <w:top w:w="0" w:type="dxa"/>
            <w:bottom w:w="0" w:type="dxa"/>
          </w:tblCellMar>
        </w:tblPrEx>
        <w:trPr>
          <w:tblHeader/>
        </w:trPr>
        <w:tc>
          <w:tcPr>
            <w:tcW w:w="2500" w:type="dxa"/>
            <w:shd w:val="clear" w:color="auto" w:fill="1A5C2A"/>
            <w:tcMar>
              <w:top w:w="80" w:type="dxa"/>
              <w:left w:w="110" w:type="dxa"/>
              <w:bottom w:w="80" w:type="dxa"/>
              <w:right w:w="110" w:type="dxa"/>
            </w:tcMar>
          </w:tcPr>
          <w:p w14:paraId="00581012" w14:textId="77777777" w:rsidR="00C335A5" w:rsidRDefault="00BF7B47">
            <w:r>
              <w:rPr>
                <w:b/>
                <w:bCs/>
                <w:color w:val="FFFFFF"/>
                <w:sz w:val="19"/>
                <w:szCs w:val="19"/>
              </w:rPr>
              <w:t>Assurance point</w:t>
            </w:r>
          </w:p>
        </w:tc>
        <w:tc>
          <w:tcPr>
            <w:tcW w:w="3200" w:type="dxa"/>
            <w:shd w:val="clear" w:color="auto" w:fill="1A5C2A"/>
            <w:tcMar>
              <w:top w:w="80" w:type="dxa"/>
              <w:left w:w="110" w:type="dxa"/>
              <w:bottom w:w="80" w:type="dxa"/>
              <w:right w:w="110" w:type="dxa"/>
            </w:tcMar>
          </w:tcPr>
          <w:p w14:paraId="4D6D3035" w14:textId="77777777" w:rsidR="00C335A5" w:rsidRDefault="00BF7B47">
            <w:r>
              <w:rPr>
                <w:b/>
                <w:bCs/>
                <w:color w:val="FFFFFF"/>
                <w:sz w:val="19"/>
                <w:szCs w:val="19"/>
              </w:rPr>
              <w:t>When it happens</w:t>
            </w:r>
          </w:p>
        </w:tc>
        <w:tc>
          <w:tcPr>
            <w:tcW w:w="3660" w:type="dxa"/>
            <w:shd w:val="clear" w:color="auto" w:fill="1A5C2A"/>
            <w:tcMar>
              <w:top w:w="80" w:type="dxa"/>
              <w:left w:w="110" w:type="dxa"/>
              <w:bottom w:w="80" w:type="dxa"/>
              <w:right w:w="110" w:type="dxa"/>
            </w:tcMar>
          </w:tcPr>
          <w:p w14:paraId="70DF4326" w14:textId="77777777" w:rsidR="00C335A5" w:rsidRDefault="00BF7B47">
            <w:r>
              <w:rPr>
                <w:b/>
                <w:bCs/>
                <w:color w:val="FFFFFF"/>
                <w:sz w:val="19"/>
                <w:szCs w:val="19"/>
              </w:rPr>
              <w:t>What it tests</w:t>
            </w:r>
          </w:p>
        </w:tc>
      </w:tr>
      <w:tr w:rsidR="00C335A5" w14:paraId="6D49CE07" w14:textId="77777777">
        <w:tblPrEx>
          <w:tblCellMar>
            <w:top w:w="0" w:type="dxa"/>
            <w:bottom w:w="0" w:type="dxa"/>
          </w:tblCellMar>
        </w:tblPrEx>
        <w:tc>
          <w:tcPr>
            <w:tcW w:w="2500" w:type="dxa"/>
            <w:shd w:val="clear" w:color="auto" w:fill="EAF1EC"/>
            <w:tcMar>
              <w:top w:w="70" w:type="dxa"/>
              <w:left w:w="110" w:type="dxa"/>
              <w:bottom w:w="70" w:type="dxa"/>
              <w:right w:w="110" w:type="dxa"/>
            </w:tcMar>
          </w:tcPr>
          <w:p w14:paraId="235A9946" w14:textId="77777777" w:rsidR="00C335A5" w:rsidRDefault="00BF7B47">
            <w:pPr>
              <w:spacing w:line="262" w:lineRule="auto"/>
            </w:pPr>
            <w:r>
              <w:rPr>
                <w:b/>
                <w:bCs/>
                <w:sz w:val="18"/>
                <w:szCs w:val="18"/>
              </w:rPr>
              <w:t>Front-end review</w:t>
            </w:r>
          </w:p>
        </w:tc>
        <w:tc>
          <w:tcPr>
            <w:tcW w:w="3200" w:type="dxa"/>
            <w:shd w:val="clear" w:color="auto" w:fill="EAF1EC"/>
            <w:tcMar>
              <w:top w:w="70" w:type="dxa"/>
              <w:left w:w="110" w:type="dxa"/>
              <w:bottom w:w="70" w:type="dxa"/>
              <w:right w:w="110" w:type="dxa"/>
            </w:tcMar>
          </w:tcPr>
          <w:p w14:paraId="65B6E6CC" w14:textId="77777777" w:rsidR="00C335A5" w:rsidRDefault="00BF7B47">
            <w:pPr>
              <w:spacing w:line="262" w:lineRule="auto"/>
            </w:pPr>
            <w:r>
              <w:rPr>
                <w:sz w:val="18"/>
                <w:szCs w:val="18"/>
              </w:rPr>
              <w:t>Before a project is sanctioned.</w:t>
            </w:r>
          </w:p>
        </w:tc>
        <w:tc>
          <w:tcPr>
            <w:tcW w:w="3660" w:type="dxa"/>
            <w:shd w:val="clear" w:color="auto" w:fill="EAF1EC"/>
            <w:tcMar>
              <w:top w:w="70" w:type="dxa"/>
              <w:left w:w="110" w:type="dxa"/>
              <w:bottom w:w="70" w:type="dxa"/>
              <w:right w:w="110" w:type="dxa"/>
            </w:tcMar>
          </w:tcPr>
          <w:p w14:paraId="34C10E2E" w14:textId="77777777" w:rsidR="00C335A5" w:rsidRDefault="00BF7B47">
            <w:pPr>
              <w:spacing w:line="262" w:lineRule="auto"/>
            </w:pPr>
            <w:r>
              <w:rPr>
                <w:sz w:val="18"/>
                <w:szCs w:val="18"/>
              </w:rPr>
              <w:t>Whether the project is well founded and worth proceeding with.</w:t>
            </w:r>
          </w:p>
        </w:tc>
      </w:tr>
      <w:tr w:rsidR="00C335A5" w14:paraId="4BDCC99A"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4371E225" w14:textId="77777777" w:rsidR="00C335A5" w:rsidRDefault="00BF7B47">
            <w:pPr>
              <w:spacing w:line="262" w:lineRule="auto"/>
            </w:pPr>
            <w:r>
              <w:rPr>
                <w:b/>
                <w:bCs/>
                <w:sz w:val="18"/>
                <w:szCs w:val="18"/>
              </w:rPr>
              <w:t>Gateway review</w:t>
            </w:r>
          </w:p>
        </w:tc>
        <w:tc>
          <w:tcPr>
            <w:tcW w:w="3200" w:type="dxa"/>
            <w:shd w:val="clear" w:color="auto" w:fill="FFFFFF"/>
            <w:tcMar>
              <w:top w:w="70" w:type="dxa"/>
              <w:left w:w="110" w:type="dxa"/>
              <w:bottom w:w="70" w:type="dxa"/>
              <w:right w:w="110" w:type="dxa"/>
            </w:tcMar>
          </w:tcPr>
          <w:p w14:paraId="02FD8C2C" w14:textId="77777777" w:rsidR="00C335A5" w:rsidRDefault="00BF7B47">
            <w:pPr>
              <w:spacing w:line="262" w:lineRule="auto"/>
            </w:pPr>
            <w:r>
              <w:rPr>
                <w:sz w:val="18"/>
                <w:szCs w:val="18"/>
              </w:rPr>
              <w:t>At each critical decision point.</w:t>
            </w:r>
          </w:p>
        </w:tc>
        <w:tc>
          <w:tcPr>
            <w:tcW w:w="3660" w:type="dxa"/>
            <w:shd w:val="clear" w:color="auto" w:fill="FFFFFF"/>
            <w:tcMar>
              <w:top w:w="70" w:type="dxa"/>
              <w:left w:w="110" w:type="dxa"/>
              <w:bottom w:w="70" w:type="dxa"/>
              <w:right w:w="110" w:type="dxa"/>
            </w:tcMar>
          </w:tcPr>
          <w:p w14:paraId="53F72895" w14:textId="77777777" w:rsidR="00C335A5" w:rsidRDefault="00BF7B47">
            <w:pPr>
              <w:spacing w:line="262" w:lineRule="auto"/>
            </w:pPr>
            <w:r>
              <w:rPr>
                <w:sz w:val="18"/>
                <w:szCs w:val="18"/>
              </w:rPr>
              <w:t>Whether the project is ready to proceed to its next stage.</w:t>
            </w:r>
          </w:p>
        </w:tc>
      </w:tr>
      <w:tr w:rsidR="00C335A5" w14:paraId="14E1FED6" w14:textId="77777777">
        <w:tblPrEx>
          <w:tblCellMar>
            <w:top w:w="0" w:type="dxa"/>
            <w:bottom w:w="0" w:type="dxa"/>
          </w:tblCellMar>
        </w:tblPrEx>
        <w:tc>
          <w:tcPr>
            <w:tcW w:w="2500" w:type="dxa"/>
            <w:shd w:val="clear" w:color="auto" w:fill="EAF1EC"/>
            <w:tcMar>
              <w:top w:w="70" w:type="dxa"/>
              <w:left w:w="110" w:type="dxa"/>
              <w:bottom w:w="70" w:type="dxa"/>
              <w:right w:w="110" w:type="dxa"/>
            </w:tcMar>
          </w:tcPr>
          <w:p w14:paraId="702EF1E2" w14:textId="77777777" w:rsidR="00C335A5" w:rsidRDefault="00BF7B47">
            <w:pPr>
              <w:spacing w:line="262" w:lineRule="auto"/>
            </w:pPr>
            <w:r>
              <w:rPr>
                <w:b/>
                <w:bCs/>
                <w:sz w:val="18"/>
                <w:szCs w:val="18"/>
              </w:rPr>
              <w:t>Delivery-confidence review</w:t>
            </w:r>
          </w:p>
        </w:tc>
        <w:tc>
          <w:tcPr>
            <w:tcW w:w="3200" w:type="dxa"/>
            <w:shd w:val="clear" w:color="auto" w:fill="EAF1EC"/>
            <w:tcMar>
              <w:top w:w="70" w:type="dxa"/>
              <w:left w:w="110" w:type="dxa"/>
              <w:bottom w:w="70" w:type="dxa"/>
              <w:right w:w="110" w:type="dxa"/>
            </w:tcMar>
          </w:tcPr>
          <w:p w14:paraId="54025C3E" w14:textId="77777777" w:rsidR="00C335A5" w:rsidRDefault="00BF7B47">
            <w:pPr>
              <w:spacing w:line="262" w:lineRule="auto"/>
            </w:pPr>
            <w:r>
              <w:rPr>
                <w:sz w:val="18"/>
                <w:szCs w:val="18"/>
              </w:rPr>
              <w:t>During delivery.</w:t>
            </w:r>
          </w:p>
        </w:tc>
        <w:tc>
          <w:tcPr>
            <w:tcW w:w="3660" w:type="dxa"/>
            <w:shd w:val="clear" w:color="auto" w:fill="EAF1EC"/>
            <w:tcMar>
              <w:top w:w="70" w:type="dxa"/>
              <w:left w:w="110" w:type="dxa"/>
              <w:bottom w:w="70" w:type="dxa"/>
              <w:right w:w="110" w:type="dxa"/>
            </w:tcMar>
          </w:tcPr>
          <w:p w14:paraId="79999B26" w14:textId="77777777" w:rsidR="00C335A5" w:rsidRDefault="00BF7B47">
            <w:pPr>
              <w:spacing w:line="262" w:lineRule="auto"/>
            </w:pPr>
            <w:r>
              <w:rPr>
                <w:sz w:val="18"/>
                <w:szCs w:val="18"/>
              </w:rPr>
              <w:t xml:space="preserve">Whether the project can still </w:t>
            </w:r>
            <w:proofErr w:type="gramStart"/>
            <w:r>
              <w:rPr>
                <w:sz w:val="18"/>
                <w:szCs w:val="18"/>
              </w:rPr>
              <w:t>deliver</w:t>
            </w:r>
            <w:proofErr w:type="gramEnd"/>
            <w:r>
              <w:rPr>
                <w:sz w:val="18"/>
                <w:szCs w:val="18"/>
              </w:rPr>
              <w:t>, and what must change.</w:t>
            </w:r>
          </w:p>
        </w:tc>
      </w:tr>
      <w:tr w:rsidR="00C335A5" w14:paraId="32DF2A09"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3CFA1F4D" w14:textId="77777777" w:rsidR="00C335A5" w:rsidRDefault="00BF7B47">
            <w:pPr>
              <w:spacing w:line="262" w:lineRule="auto"/>
            </w:pPr>
            <w:r>
              <w:rPr>
                <w:b/>
                <w:bCs/>
                <w:sz w:val="18"/>
                <w:szCs w:val="18"/>
              </w:rPr>
              <w:t>Health check</w:t>
            </w:r>
          </w:p>
        </w:tc>
        <w:tc>
          <w:tcPr>
            <w:tcW w:w="3200" w:type="dxa"/>
            <w:shd w:val="clear" w:color="auto" w:fill="FFFFFF"/>
            <w:tcMar>
              <w:top w:w="70" w:type="dxa"/>
              <w:left w:w="110" w:type="dxa"/>
              <w:bottom w:w="70" w:type="dxa"/>
              <w:right w:w="110" w:type="dxa"/>
            </w:tcMar>
          </w:tcPr>
          <w:p w14:paraId="628F925B" w14:textId="77777777" w:rsidR="00C335A5" w:rsidRDefault="00BF7B47">
            <w:pPr>
              <w:spacing w:line="262" w:lineRule="auto"/>
            </w:pPr>
            <w:r>
              <w:rPr>
                <w:sz w:val="18"/>
                <w:szCs w:val="18"/>
              </w:rPr>
              <w:t>At any point of concern.</w:t>
            </w:r>
          </w:p>
        </w:tc>
        <w:tc>
          <w:tcPr>
            <w:tcW w:w="3660" w:type="dxa"/>
            <w:shd w:val="clear" w:color="auto" w:fill="FFFFFF"/>
            <w:tcMar>
              <w:top w:w="70" w:type="dxa"/>
              <w:left w:w="110" w:type="dxa"/>
              <w:bottom w:w="70" w:type="dxa"/>
              <w:right w:w="110" w:type="dxa"/>
            </w:tcMar>
          </w:tcPr>
          <w:p w14:paraId="38EE8E8B" w14:textId="77777777" w:rsidR="00C335A5" w:rsidRDefault="00BF7B47">
            <w:pPr>
              <w:spacing w:line="262" w:lineRule="auto"/>
            </w:pPr>
            <w:r>
              <w:rPr>
                <w:sz w:val="18"/>
                <w:szCs w:val="18"/>
              </w:rPr>
              <w:t>The state of a project and the causes of any trouble.</w:t>
            </w:r>
          </w:p>
        </w:tc>
      </w:tr>
      <w:tr w:rsidR="00C335A5" w14:paraId="2C526865" w14:textId="77777777">
        <w:tblPrEx>
          <w:tblCellMar>
            <w:top w:w="0" w:type="dxa"/>
            <w:bottom w:w="0" w:type="dxa"/>
          </w:tblCellMar>
        </w:tblPrEx>
        <w:tc>
          <w:tcPr>
            <w:tcW w:w="2500" w:type="dxa"/>
            <w:shd w:val="clear" w:color="auto" w:fill="EAF1EC"/>
            <w:tcMar>
              <w:top w:w="70" w:type="dxa"/>
              <w:left w:w="110" w:type="dxa"/>
              <w:bottom w:w="70" w:type="dxa"/>
              <w:right w:w="110" w:type="dxa"/>
            </w:tcMar>
          </w:tcPr>
          <w:p w14:paraId="365C764F" w14:textId="77777777" w:rsidR="00C335A5" w:rsidRDefault="00BF7B47">
            <w:pPr>
              <w:spacing w:line="262" w:lineRule="auto"/>
            </w:pPr>
            <w:r>
              <w:rPr>
                <w:b/>
                <w:bCs/>
                <w:sz w:val="18"/>
                <w:szCs w:val="18"/>
              </w:rPr>
              <w:t>Pre-decision assurance</w:t>
            </w:r>
          </w:p>
        </w:tc>
        <w:tc>
          <w:tcPr>
            <w:tcW w:w="3200" w:type="dxa"/>
            <w:shd w:val="clear" w:color="auto" w:fill="EAF1EC"/>
            <w:tcMar>
              <w:top w:w="70" w:type="dxa"/>
              <w:left w:w="110" w:type="dxa"/>
              <w:bottom w:w="70" w:type="dxa"/>
              <w:right w:w="110" w:type="dxa"/>
            </w:tcMar>
          </w:tcPr>
          <w:p w14:paraId="143382C7" w14:textId="77777777" w:rsidR="00C335A5" w:rsidRDefault="00BF7B47">
            <w:pPr>
              <w:spacing w:line="262" w:lineRule="auto"/>
            </w:pPr>
            <w:r>
              <w:rPr>
                <w:sz w:val="18"/>
                <w:szCs w:val="18"/>
              </w:rPr>
              <w:t>Before a major commitment.</w:t>
            </w:r>
          </w:p>
        </w:tc>
        <w:tc>
          <w:tcPr>
            <w:tcW w:w="3660" w:type="dxa"/>
            <w:shd w:val="clear" w:color="auto" w:fill="EAF1EC"/>
            <w:tcMar>
              <w:top w:w="70" w:type="dxa"/>
              <w:left w:w="110" w:type="dxa"/>
              <w:bottom w:w="70" w:type="dxa"/>
              <w:right w:w="110" w:type="dxa"/>
            </w:tcMar>
          </w:tcPr>
          <w:p w14:paraId="172CCA1D" w14:textId="77777777" w:rsidR="00C335A5" w:rsidRDefault="00BF7B47">
            <w:pPr>
              <w:spacing w:line="262" w:lineRule="auto"/>
            </w:pPr>
            <w:r>
              <w:rPr>
                <w:sz w:val="18"/>
                <w:szCs w:val="18"/>
              </w:rPr>
              <w:t>Whether the basis for a decision is sound.</w:t>
            </w:r>
          </w:p>
        </w:tc>
      </w:tr>
    </w:tbl>
    <w:p w14:paraId="707BA475" w14:textId="77777777" w:rsidR="00C335A5" w:rsidRDefault="00C335A5">
      <w:pPr>
        <w:spacing w:after="40"/>
      </w:pPr>
    </w:p>
    <w:p w14:paraId="52611E6E" w14:textId="77777777" w:rsidR="00C335A5" w:rsidRDefault="00BF7B47">
      <w:pPr>
        <w:spacing w:after="160" w:line="348" w:lineRule="auto"/>
        <w:jc w:val="both"/>
      </w:pPr>
      <w:r>
        <w:t>Whatever the point, the engagement follows the same discipline: plan the review to the decision it serves, gather and weigh proportionate evidence, reach a defensible judgement, and report it clearly. The point determines what is at stake; the discipline stays the same.</w:t>
      </w:r>
    </w:p>
    <w:p w14:paraId="72D93A99" w14:textId="77777777" w:rsidR="00C335A5" w:rsidRDefault="00BF7B47">
      <w:r>
        <w:br w:type="page"/>
      </w:r>
    </w:p>
    <w:p w14:paraId="12A9FB38" w14:textId="77777777" w:rsidR="00C335A5" w:rsidRDefault="00BF7B47">
      <w:pPr>
        <w:pStyle w:val="Heading1"/>
        <w:spacing w:before="300" w:after="150"/>
      </w:pPr>
      <w:r>
        <w:lastRenderedPageBreak/>
        <w:t>Part Five  |  Professional Competence</w:t>
      </w:r>
    </w:p>
    <w:p w14:paraId="1E173BBC" w14:textId="77777777" w:rsidR="00C335A5" w:rsidRDefault="00C335A5">
      <w:pPr>
        <w:pBdr>
          <w:bottom w:val="single" w:sz="8" w:space="1" w:color="C47B0B"/>
        </w:pBdr>
        <w:spacing w:before="60" w:after="160"/>
      </w:pPr>
    </w:p>
    <w:p w14:paraId="7C5B4B19" w14:textId="77777777" w:rsidR="00C335A5" w:rsidRDefault="00BF7B47">
      <w:pPr>
        <w:spacing w:after="160" w:line="348" w:lineRule="auto"/>
        <w:jc w:val="both"/>
      </w:pPr>
      <w:r>
        <w:t>Assurance is applied by a person, and the person’s professional competence determines whether the knowledge is used well. The competent assurance practitioner combines the domains of Part Three with a set of qualities the work demands.</w:t>
      </w:r>
    </w:p>
    <w:p w14:paraId="555CF9F0" w14:textId="77777777" w:rsidR="00C335A5" w:rsidRDefault="00BF7B47">
      <w:pPr>
        <w:pStyle w:val="Heading3"/>
        <w:spacing w:before="210" w:after="90"/>
      </w:pPr>
      <w:r>
        <w:t>Professional and behavioural competence</w:t>
      </w:r>
    </w:p>
    <w:p w14:paraId="6AED4FC4" w14:textId="77777777" w:rsidR="00C335A5" w:rsidRDefault="00BF7B47">
      <w:pPr>
        <w:pStyle w:val="ListParagraph"/>
        <w:numPr>
          <w:ilvl w:val="0"/>
          <w:numId w:val="2"/>
        </w:numPr>
        <w:spacing w:after="100" w:line="338" w:lineRule="auto"/>
        <w:jc w:val="both"/>
      </w:pPr>
      <w:r>
        <w:rPr>
          <w:b/>
          <w:bCs/>
          <w:color w:val="C47B0B"/>
        </w:rPr>
        <w:t xml:space="preserve">Objectivity. </w:t>
      </w:r>
      <w:r>
        <w:t>The habit of examining a project on the evidence, free of favour, advocacy, and the wish to please those who commissioned the review.</w:t>
      </w:r>
    </w:p>
    <w:p w14:paraId="2D19FB67" w14:textId="77777777" w:rsidR="00C335A5" w:rsidRDefault="00BF7B47">
      <w:pPr>
        <w:pStyle w:val="ListParagraph"/>
        <w:numPr>
          <w:ilvl w:val="0"/>
          <w:numId w:val="2"/>
        </w:numPr>
        <w:spacing w:after="100" w:line="338" w:lineRule="auto"/>
        <w:jc w:val="both"/>
      </w:pPr>
      <w:r>
        <w:rPr>
          <w:b/>
          <w:bCs/>
          <w:color w:val="C47B0B"/>
        </w:rPr>
        <w:t xml:space="preserve">Evidential discipline. </w:t>
      </w:r>
      <w:r>
        <w:t>The rigour to reach findings only on evidence that is sufficient, relevant, and reliable, and to state the limits of it.</w:t>
      </w:r>
    </w:p>
    <w:p w14:paraId="58CE7928" w14:textId="77777777" w:rsidR="00C335A5" w:rsidRDefault="00BF7B47">
      <w:pPr>
        <w:pStyle w:val="ListParagraph"/>
        <w:numPr>
          <w:ilvl w:val="0"/>
          <w:numId w:val="2"/>
        </w:numPr>
        <w:spacing w:after="100" w:line="338" w:lineRule="auto"/>
        <w:jc w:val="both"/>
      </w:pPr>
      <w:r>
        <w:rPr>
          <w:b/>
          <w:bCs/>
          <w:color w:val="C47B0B"/>
        </w:rPr>
        <w:t xml:space="preserve">Judgement under uncertainty. </w:t>
      </w:r>
      <w:r>
        <w:t>The ability to reach a defensible view where information is incomplete, without either false confidence or useless equivocation.</w:t>
      </w:r>
    </w:p>
    <w:p w14:paraId="040ACC1A" w14:textId="77777777" w:rsidR="00C335A5" w:rsidRDefault="00BF7B47">
      <w:pPr>
        <w:pStyle w:val="ListParagraph"/>
        <w:numPr>
          <w:ilvl w:val="0"/>
          <w:numId w:val="2"/>
        </w:numPr>
        <w:spacing w:after="100" w:line="338" w:lineRule="auto"/>
        <w:jc w:val="both"/>
      </w:pPr>
      <w:r>
        <w:rPr>
          <w:b/>
          <w:bCs/>
          <w:color w:val="C47B0B"/>
        </w:rPr>
        <w:t xml:space="preserve">Clear communication. </w:t>
      </w:r>
      <w:r>
        <w:t xml:space="preserve">The skill to tell a board or </w:t>
      </w:r>
      <w:proofErr w:type="gramStart"/>
      <w:r>
        <w:t>funder</w:t>
      </w:r>
      <w:proofErr w:type="gramEnd"/>
      <w:r>
        <w:t xml:space="preserve"> what they need to know, plainly enough to act on.</w:t>
      </w:r>
    </w:p>
    <w:p w14:paraId="2D44A962" w14:textId="77777777" w:rsidR="00C335A5" w:rsidRDefault="00BF7B47">
      <w:pPr>
        <w:pStyle w:val="ListParagraph"/>
        <w:numPr>
          <w:ilvl w:val="0"/>
          <w:numId w:val="2"/>
        </w:numPr>
        <w:spacing w:after="100" w:line="338" w:lineRule="auto"/>
        <w:jc w:val="both"/>
      </w:pPr>
      <w:r>
        <w:rPr>
          <w:b/>
          <w:bCs/>
          <w:color w:val="C47B0B"/>
        </w:rPr>
        <w:t xml:space="preserve">Independence under pressure. </w:t>
      </w:r>
      <w:r>
        <w:t>The firmness to hold an unwelcome finding where the parties are powerful and the stakes are high.</w:t>
      </w:r>
    </w:p>
    <w:p w14:paraId="3E22E753" w14:textId="77777777" w:rsidR="00C335A5" w:rsidRDefault="00BF7B47">
      <w:pPr>
        <w:pStyle w:val="Heading3"/>
        <w:spacing w:before="210" w:after="90"/>
      </w:pPr>
      <w:r>
        <w:t>The independent mind</w:t>
      </w:r>
    </w:p>
    <w:p w14:paraId="5C112302" w14:textId="77777777" w:rsidR="00C335A5" w:rsidRDefault="00BF7B47">
      <w:pPr>
        <w:spacing w:after="160" w:line="348" w:lineRule="auto"/>
        <w:jc w:val="both"/>
      </w:pPr>
      <w:r>
        <w:t xml:space="preserve">Above the </w:t>
      </w:r>
      <w:proofErr w:type="gramStart"/>
      <w:r>
        <w:t>particular skills</w:t>
      </w:r>
      <w:proofErr w:type="gramEnd"/>
      <w:r>
        <w:t xml:space="preserve"> sits a disposition: the independent mind that serves the judgement rather than the interests around it. The assurance practitioner exists to tell those who must decide what is true, including when it is not what they hoped to hear. Everything the discipline is worth </w:t>
      </w:r>
      <w:proofErr w:type="gramStart"/>
      <w:r>
        <w:t>rests</w:t>
      </w:r>
      <w:proofErr w:type="gramEnd"/>
      <w:r>
        <w:t xml:space="preserve"> on that.</w:t>
      </w:r>
    </w:p>
    <w:p w14:paraId="1878E4FC" w14:textId="77777777" w:rsidR="00C335A5" w:rsidRDefault="00BF7B47">
      <w:r>
        <w:br w:type="page"/>
      </w:r>
    </w:p>
    <w:p w14:paraId="70F5688B" w14:textId="77777777" w:rsidR="00C335A5" w:rsidRDefault="00BF7B47">
      <w:pPr>
        <w:pStyle w:val="Heading1"/>
        <w:spacing w:before="300" w:after="150"/>
      </w:pPr>
      <w:r>
        <w:lastRenderedPageBreak/>
        <w:t>Part Six  |  Applying and Tailoring the Framework</w:t>
      </w:r>
    </w:p>
    <w:p w14:paraId="11B883E6" w14:textId="77777777" w:rsidR="00C335A5" w:rsidRDefault="00C335A5">
      <w:pPr>
        <w:pBdr>
          <w:bottom w:val="single" w:sz="8" w:space="1" w:color="C47B0B"/>
        </w:pBdr>
        <w:spacing w:before="60" w:after="160"/>
      </w:pPr>
    </w:p>
    <w:p w14:paraId="6EA8DB81" w14:textId="77777777" w:rsidR="00C335A5" w:rsidRDefault="00BF7B47">
      <w:pPr>
        <w:pStyle w:val="Heading2"/>
        <w:spacing w:before="270" w:after="110"/>
      </w:pPr>
      <w:r>
        <w:t>6.1  Tailoring to the engagement</w:t>
      </w:r>
    </w:p>
    <w:p w14:paraId="5EF9D29B" w14:textId="77777777" w:rsidR="00C335A5" w:rsidRDefault="00BF7B47">
      <w:pPr>
        <w:spacing w:after="160" w:line="348" w:lineRule="auto"/>
        <w:jc w:val="both"/>
      </w:pPr>
      <w:r>
        <w:t>No two assurance engagements are the same, and the framework is focused by reading which contextual pressures bear on this project and which decision the assurance serves. A pre-sanction review of a donor-funded scheme concentrates on funding realism and community consent; a gateway review of a large state infrastructure project concentrates on procurement, market capacity, and governance. The practitioner reads the engagement against the six contextual dimensions and directs the assurance where the risk to</w:t>
      </w:r>
      <w:r>
        <w:t xml:space="preserve"> delivery is greatest.</w:t>
      </w:r>
    </w:p>
    <w:p w14:paraId="31117022" w14:textId="77777777" w:rsidR="00C335A5" w:rsidRDefault="00BF7B47">
      <w:pPr>
        <w:pStyle w:val="Heading2"/>
        <w:spacing w:before="270" w:after="110"/>
      </w:pPr>
      <w:r>
        <w:t xml:space="preserve">6.2  Relationship </w:t>
      </w:r>
      <w:proofErr w:type="gramStart"/>
      <w:r>
        <w:t>to</w:t>
      </w:r>
      <w:proofErr w:type="gramEnd"/>
      <w:r>
        <w:t xml:space="preserve"> </w:t>
      </w:r>
      <w:proofErr w:type="gramStart"/>
      <w:r>
        <w:t>the CPAP</w:t>
      </w:r>
      <w:proofErr w:type="gramEnd"/>
      <w:r>
        <w:t xml:space="preserve"> credential</w:t>
      </w:r>
    </w:p>
    <w:p w14:paraId="05078A71" w14:textId="77777777" w:rsidR="00C335A5" w:rsidRDefault="00BF7B47">
      <w:pPr>
        <w:spacing w:after="160" w:line="348" w:lineRule="auto"/>
        <w:jc w:val="both"/>
      </w:pPr>
      <w:r>
        <w:t>This framework is the body of knowledge that the Certified Project Assurance Practitioner is examined against. The contextual foundation and the knowledge domains define what a candidate must understand, and the professional competences define how they must apply it. The credential certifies that a practitioner can provide assurance to this standard in African conditions.</w:t>
      </w:r>
    </w:p>
    <w:p w14:paraId="0D56CC79" w14:textId="77777777" w:rsidR="00C335A5" w:rsidRDefault="00BF7B47">
      <w:pPr>
        <w:pStyle w:val="Heading2"/>
        <w:spacing w:before="270" w:after="110"/>
      </w:pPr>
      <w:r>
        <w:t>6.3  A living framework</w:t>
      </w:r>
    </w:p>
    <w:p w14:paraId="55EEF301" w14:textId="77777777" w:rsidR="00C335A5" w:rsidRDefault="00BF7B47">
      <w:pPr>
        <w:spacing w:after="160" w:line="348" w:lineRule="auto"/>
        <w:jc w:val="both"/>
      </w:pPr>
      <w:r>
        <w:t xml:space="preserve">The framework is owned by the Institute and reviewed on a published cycle, and it learns </w:t>
      </w:r>
      <w:proofErr w:type="gramStart"/>
      <w:r>
        <w:t>in particular from</w:t>
      </w:r>
      <w:proofErr w:type="gramEnd"/>
      <w:r>
        <w:t xml:space="preserve"> forensic work. Every investigation of a failed project reveals what assurance should have caught, and those lessons flow back into what assurance must examine. Assurance reduces the failures that forensics must later investigate, and forensics teaches assurance where to look.</w:t>
      </w:r>
    </w:p>
    <w:p w14:paraId="4AED5E48" w14:textId="77777777" w:rsidR="00C335A5" w:rsidRDefault="00BF7B47">
      <w:r>
        <w:br w:type="page"/>
      </w:r>
    </w:p>
    <w:p w14:paraId="0F46BFBC" w14:textId="77777777" w:rsidR="00C335A5" w:rsidRDefault="00BF7B47">
      <w:pPr>
        <w:pStyle w:val="Heading1"/>
        <w:spacing w:before="300" w:after="150"/>
      </w:pPr>
      <w:r>
        <w:lastRenderedPageBreak/>
        <w:t>Assurance Africa Can Trust</w:t>
      </w:r>
    </w:p>
    <w:p w14:paraId="28363F07" w14:textId="77777777" w:rsidR="00C335A5" w:rsidRDefault="00C335A5">
      <w:pPr>
        <w:pBdr>
          <w:bottom w:val="single" w:sz="8" w:space="1" w:color="C47B0B"/>
        </w:pBdr>
        <w:spacing w:before="60" w:after="160"/>
      </w:pPr>
    </w:p>
    <w:p w14:paraId="441CBE11" w14:textId="77777777" w:rsidR="00C335A5" w:rsidRDefault="00BF7B47">
      <w:pPr>
        <w:spacing w:after="160" w:line="348" w:lineRule="auto"/>
        <w:jc w:val="both"/>
      </w:pPr>
      <w:r>
        <w:t>Independent assurance is one of the surest protections a project has against avoidable failure, and Africa’s projects, which carry so much scarce money and public hope, have too rarely had it in a form built for their conditions. This framework offers assurance written from African practice: attentive to funding that may not arrive, governance that may not decide, records that may not hold, and communities whose consent a project cannot do without.</w:t>
      </w:r>
    </w:p>
    <w:p w14:paraId="1DB479CE" w14:textId="77777777" w:rsidR="00C335A5" w:rsidRDefault="00BF7B47">
      <w:pPr>
        <w:spacing w:after="160" w:line="348" w:lineRule="auto"/>
        <w:jc w:val="both"/>
      </w:pPr>
      <w:r>
        <w:t xml:space="preserve">It is a beginning rather than a settlement. As it is used and improved, it will become the reference that African assurance practitioners can recognise as written for the projects they </w:t>
      </w:r>
      <w:proofErr w:type="gramStart"/>
      <w:r>
        <w:t>actually examine</w:t>
      </w:r>
      <w:proofErr w:type="gramEnd"/>
      <w:r>
        <w:t>, and the decision-makers they serve can trust the more for it.</w:t>
      </w:r>
    </w:p>
    <w:p w14:paraId="2FB18F55" w14:textId="77777777" w:rsidR="00C335A5" w:rsidRDefault="00BF7B47">
      <w:pPr>
        <w:spacing w:before="240" w:after="120"/>
        <w:jc w:val="center"/>
      </w:pPr>
      <w:r>
        <w:rPr>
          <w:b/>
          <w:bCs/>
          <w:i/>
          <w:iCs/>
          <w:color w:val="1A5C2A"/>
        </w:rPr>
        <w:t xml:space="preserve">Test what is claimed. </w:t>
      </w:r>
      <w:proofErr w:type="gramStart"/>
      <w:r>
        <w:rPr>
          <w:b/>
          <w:bCs/>
          <w:i/>
          <w:iCs/>
          <w:color w:val="1A5C2A"/>
        </w:rPr>
        <w:t>Report</w:t>
      </w:r>
      <w:proofErr w:type="gramEnd"/>
      <w:r>
        <w:rPr>
          <w:b/>
          <w:bCs/>
          <w:i/>
          <w:iCs/>
          <w:color w:val="1A5C2A"/>
        </w:rPr>
        <w:t xml:space="preserve"> what is true.</w:t>
      </w:r>
    </w:p>
    <w:p w14:paraId="49D46BE5" w14:textId="77777777" w:rsidR="00C335A5" w:rsidRDefault="00C335A5">
      <w:pPr>
        <w:pBdr>
          <w:bottom w:val="single" w:sz="8" w:space="1" w:color="C47B0B"/>
        </w:pBdr>
        <w:spacing w:before="60" w:after="160"/>
      </w:pPr>
    </w:p>
    <w:p w14:paraId="753C1CFC" w14:textId="77777777" w:rsidR="00C335A5" w:rsidRDefault="00BF7B47">
      <w:pPr>
        <w:spacing w:before="150"/>
      </w:pPr>
      <w:r>
        <w:rPr>
          <w:b/>
          <w:bCs/>
          <w:sz w:val="20"/>
          <w:szCs w:val="20"/>
        </w:rPr>
        <w:t>African Institute of Project Assurance and Forensics (AIPAF)</w:t>
      </w:r>
    </w:p>
    <w:p w14:paraId="1E30E5DC" w14:textId="77777777" w:rsidR="00C335A5" w:rsidRDefault="00BF7B47">
      <w:r>
        <w:rPr>
          <w:color w:val="4D4D4D"/>
          <w:sz w:val="19"/>
          <w:szCs w:val="19"/>
        </w:rPr>
        <w:t>The Project Assurance Body of Knowledge: A Framework  •  Edition 2026</w:t>
      </w:r>
    </w:p>
    <w:sectPr w:rsidR="00C335A5">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D6EB" w14:textId="77777777" w:rsidR="00BF7B47" w:rsidRDefault="00BF7B47">
      <w:r>
        <w:separator/>
      </w:r>
    </w:p>
  </w:endnote>
  <w:endnote w:type="continuationSeparator" w:id="0">
    <w:p w14:paraId="5F23DBF9" w14:textId="77777777" w:rsidR="00BF7B47" w:rsidRDefault="00BF7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96DF" w14:textId="77777777" w:rsidR="00C335A5" w:rsidRDefault="00BF7B47">
    <w:pPr>
      <w:pBdr>
        <w:top w:val="single" w:sz="4" w:space="4" w:color="C47B0B"/>
      </w:pBdr>
      <w:jc w:val="center"/>
    </w:pPr>
    <w:r>
      <w:rPr>
        <w:color w:val="4D4D4D"/>
        <w:sz w:val="15"/>
        <w:szCs w:val="15"/>
      </w:rPr>
      <w:t xml:space="preserve">AIPAF  •  Assurance Body of Knowledge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9C1A97">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4652" w14:textId="77777777" w:rsidR="00BF7B47" w:rsidRDefault="00BF7B47">
      <w:r>
        <w:separator/>
      </w:r>
    </w:p>
  </w:footnote>
  <w:footnote w:type="continuationSeparator" w:id="0">
    <w:p w14:paraId="6FC276B2" w14:textId="77777777" w:rsidR="00BF7B47" w:rsidRDefault="00BF7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CB4F" w14:textId="77777777" w:rsidR="00C335A5" w:rsidRDefault="00BF7B47">
    <w:pPr>
      <w:pBdr>
        <w:bottom w:val="single" w:sz="4" w:space="4" w:color="C47B0B"/>
      </w:pBdr>
      <w:jc w:val="right"/>
    </w:pPr>
    <w:r>
      <w:rPr>
        <w:b/>
        <w:bCs/>
        <w:color w:val="1A5C2A"/>
        <w:sz w:val="15"/>
        <w:szCs w:val="15"/>
      </w:rPr>
      <w:t>The Project Assurance Body of Knowledge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548B"/>
    <w:multiLevelType w:val="hybridMultilevel"/>
    <w:tmpl w:val="235A8DB4"/>
    <w:lvl w:ilvl="0" w:tplc="A80684E0">
      <w:start w:val="1"/>
      <w:numFmt w:val="bullet"/>
      <w:lvlText w:val="●"/>
      <w:lvlJc w:val="left"/>
      <w:pPr>
        <w:ind w:left="720" w:hanging="360"/>
      </w:pPr>
    </w:lvl>
    <w:lvl w:ilvl="1" w:tplc="09CE650A">
      <w:start w:val="1"/>
      <w:numFmt w:val="bullet"/>
      <w:lvlText w:val="○"/>
      <w:lvlJc w:val="left"/>
      <w:pPr>
        <w:ind w:left="1440" w:hanging="360"/>
      </w:pPr>
    </w:lvl>
    <w:lvl w:ilvl="2" w:tplc="994A3550">
      <w:start w:val="1"/>
      <w:numFmt w:val="bullet"/>
      <w:lvlText w:val="■"/>
      <w:lvlJc w:val="left"/>
      <w:pPr>
        <w:ind w:left="2160" w:hanging="360"/>
      </w:pPr>
    </w:lvl>
    <w:lvl w:ilvl="3" w:tplc="A9AEF6A4">
      <w:start w:val="1"/>
      <w:numFmt w:val="bullet"/>
      <w:lvlText w:val="●"/>
      <w:lvlJc w:val="left"/>
      <w:pPr>
        <w:ind w:left="2880" w:hanging="360"/>
      </w:pPr>
    </w:lvl>
    <w:lvl w:ilvl="4" w:tplc="9E083D28">
      <w:start w:val="1"/>
      <w:numFmt w:val="bullet"/>
      <w:lvlText w:val="○"/>
      <w:lvlJc w:val="left"/>
      <w:pPr>
        <w:ind w:left="3600" w:hanging="360"/>
      </w:pPr>
    </w:lvl>
    <w:lvl w:ilvl="5" w:tplc="7CDA1B86">
      <w:start w:val="1"/>
      <w:numFmt w:val="bullet"/>
      <w:lvlText w:val="■"/>
      <w:lvlJc w:val="left"/>
      <w:pPr>
        <w:ind w:left="4320" w:hanging="360"/>
      </w:pPr>
    </w:lvl>
    <w:lvl w:ilvl="6" w:tplc="49640A18">
      <w:start w:val="1"/>
      <w:numFmt w:val="bullet"/>
      <w:lvlText w:val="●"/>
      <w:lvlJc w:val="left"/>
      <w:pPr>
        <w:ind w:left="5040" w:hanging="360"/>
      </w:pPr>
    </w:lvl>
    <w:lvl w:ilvl="7" w:tplc="907C72EA">
      <w:start w:val="1"/>
      <w:numFmt w:val="bullet"/>
      <w:lvlText w:val="●"/>
      <w:lvlJc w:val="left"/>
      <w:pPr>
        <w:ind w:left="5760" w:hanging="360"/>
      </w:pPr>
    </w:lvl>
    <w:lvl w:ilvl="8" w:tplc="EED27C16">
      <w:start w:val="1"/>
      <w:numFmt w:val="bullet"/>
      <w:lvlText w:val="●"/>
      <w:lvlJc w:val="left"/>
      <w:pPr>
        <w:ind w:left="6480" w:hanging="360"/>
      </w:pPr>
    </w:lvl>
  </w:abstractNum>
  <w:abstractNum w:abstractNumId="1" w15:restartNumberingAfterBreak="0">
    <w:nsid w:val="510574DE"/>
    <w:multiLevelType w:val="hybridMultilevel"/>
    <w:tmpl w:val="696E28E2"/>
    <w:lvl w:ilvl="0" w:tplc="AE188070">
      <w:start w:val="1"/>
      <w:numFmt w:val="bullet"/>
      <w:lvlText w:val="•"/>
      <w:lvlJc w:val="left"/>
      <w:pPr>
        <w:ind w:left="360" w:hanging="220"/>
      </w:pPr>
      <w:rPr>
        <w:color w:val="C47B0B"/>
      </w:rPr>
    </w:lvl>
    <w:lvl w:ilvl="1" w:tplc="B2C6009A">
      <w:numFmt w:val="decimal"/>
      <w:lvlText w:val=""/>
      <w:lvlJc w:val="left"/>
    </w:lvl>
    <w:lvl w:ilvl="2" w:tplc="6456A2AE">
      <w:numFmt w:val="decimal"/>
      <w:lvlText w:val=""/>
      <w:lvlJc w:val="left"/>
    </w:lvl>
    <w:lvl w:ilvl="3" w:tplc="881885FA">
      <w:numFmt w:val="decimal"/>
      <w:lvlText w:val=""/>
      <w:lvlJc w:val="left"/>
    </w:lvl>
    <w:lvl w:ilvl="4" w:tplc="53A8BBF8">
      <w:numFmt w:val="decimal"/>
      <w:lvlText w:val=""/>
      <w:lvlJc w:val="left"/>
    </w:lvl>
    <w:lvl w:ilvl="5" w:tplc="8C1EC06C">
      <w:numFmt w:val="decimal"/>
      <w:lvlText w:val=""/>
      <w:lvlJc w:val="left"/>
    </w:lvl>
    <w:lvl w:ilvl="6" w:tplc="8DA2ED92">
      <w:numFmt w:val="decimal"/>
      <w:lvlText w:val=""/>
      <w:lvlJc w:val="left"/>
    </w:lvl>
    <w:lvl w:ilvl="7" w:tplc="8C228530">
      <w:numFmt w:val="decimal"/>
      <w:lvlText w:val=""/>
      <w:lvlJc w:val="left"/>
    </w:lvl>
    <w:lvl w:ilvl="8" w:tplc="E6C0F276">
      <w:numFmt w:val="decimal"/>
      <w:lvlText w:val=""/>
      <w:lvlJc w:val="left"/>
    </w:lvl>
  </w:abstractNum>
  <w:num w:numId="1" w16cid:durableId="1661932931">
    <w:abstractNumId w:val="0"/>
    <w:lvlOverride w:ilvl="0">
      <w:startOverride w:val="1"/>
    </w:lvlOverride>
  </w:num>
  <w:num w:numId="2" w16cid:durableId="8892628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5A5"/>
    <w:rsid w:val="008B04FB"/>
    <w:rsid w:val="009C1A97"/>
    <w:rsid w:val="00BF7B47"/>
    <w:rsid w:val="00C33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ABB8"/>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C47B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2910</Words>
  <Characters>16588</Characters>
  <Application>Microsoft Office Word</Application>
  <DocSecurity>0</DocSecurity>
  <Lines>138</Lines>
  <Paragraphs>38</Paragraphs>
  <ScaleCrop>false</ScaleCrop>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Assurance Body of Knowledge: A Framework</dc:title>
  <dc:creator>Prof Degi</dc:creator>
  <cp:lastModifiedBy>Prof. De-Graft Owusu-Manu</cp:lastModifiedBy>
  <cp:revision>2</cp:revision>
  <dcterms:created xsi:type="dcterms:W3CDTF">2026-07-09T05:10:00Z</dcterms:created>
  <dcterms:modified xsi:type="dcterms:W3CDTF">2026-07-09T05:10:00Z</dcterms:modified>
</cp:coreProperties>
</file>