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2124B" w14:textId="77777777" w:rsidR="000E21C0" w:rsidRDefault="000E21C0">
      <w:pPr>
        <w:spacing w:before="1150"/>
      </w:pPr>
    </w:p>
    <w:p w14:paraId="7C14873B" w14:textId="77777777" w:rsidR="000E21C0" w:rsidRDefault="00961F68">
      <w:pPr>
        <w:spacing w:after="60"/>
        <w:jc w:val="center"/>
      </w:pPr>
      <w:r>
        <w:rPr>
          <w:b/>
          <w:bCs/>
          <w:color w:val="1A5C2A"/>
          <w:spacing w:val="16"/>
          <w:sz w:val="38"/>
          <w:szCs w:val="38"/>
        </w:rPr>
        <w:t>CERTIFIED PROJECT</w:t>
      </w:r>
    </w:p>
    <w:p w14:paraId="3A94E748" w14:textId="77777777" w:rsidR="000E21C0" w:rsidRDefault="00961F68">
      <w:pPr>
        <w:spacing w:after="60"/>
        <w:jc w:val="center"/>
      </w:pPr>
      <w:r>
        <w:rPr>
          <w:b/>
          <w:bCs/>
          <w:color w:val="1A5C2A"/>
          <w:spacing w:val="12"/>
          <w:sz w:val="38"/>
          <w:szCs w:val="38"/>
        </w:rPr>
        <w:t>FORENSIC EXAMINER</w:t>
      </w:r>
    </w:p>
    <w:p w14:paraId="7D7990F1" w14:textId="77777777" w:rsidR="000E21C0" w:rsidRDefault="00961F68">
      <w:pPr>
        <w:spacing w:after="220"/>
        <w:jc w:val="center"/>
      </w:pPr>
      <w:r>
        <w:rPr>
          <w:b/>
          <w:bCs/>
          <w:color w:val="C47B0B"/>
          <w:spacing w:val="80"/>
        </w:rPr>
        <w:t>C P F E</w:t>
      </w:r>
    </w:p>
    <w:p w14:paraId="3BBA5AF2" w14:textId="77777777" w:rsidR="000E21C0" w:rsidRDefault="00961F68">
      <w:pPr>
        <w:pBdr>
          <w:top w:val="single" w:sz="12" w:space="6" w:color="C47B0B"/>
          <w:bottom w:val="single" w:sz="12" w:space="6" w:color="C47B0B"/>
        </w:pBdr>
        <w:spacing w:before="120" w:after="120"/>
        <w:jc w:val="center"/>
      </w:pPr>
      <w:r>
        <w:rPr>
          <w:b/>
          <w:bCs/>
          <w:sz w:val="30"/>
          <w:szCs w:val="30"/>
        </w:rPr>
        <w:t>Detailed Syllabus</w:t>
      </w:r>
    </w:p>
    <w:p w14:paraId="773FD73E" w14:textId="77777777" w:rsidR="000E21C0" w:rsidRDefault="000E21C0">
      <w:pPr>
        <w:spacing w:before="340"/>
      </w:pPr>
    </w:p>
    <w:p w14:paraId="673163DA" w14:textId="77777777" w:rsidR="000E21C0" w:rsidRDefault="00961F68">
      <w:pPr>
        <w:spacing w:after="40"/>
        <w:jc w:val="center"/>
      </w:pPr>
      <w:r>
        <w:rPr>
          <w:i/>
          <w:iCs/>
          <w:color w:val="4D4D4D"/>
          <w:sz w:val="22"/>
          <w:szCs w:val="22"/>
        </w:rPr>
        <w:t>Learning outcomes, indicative content, and assessment</w:t>
      </w:r>
    </w:p>
    <w:p w14:paraId="6CD0859F" w14:textId="77777777" w:rsidR="000E21C0" w:rsidRDefault="00961F68">
      <w:pPr>
        <w:jc w:val="center"/>
      </w:pPr>
      <w:r>
        <w:rPr>
          <w:color w:val="4D4D4D"/>
          <w:sz w:val="19"/>
          <w:szCs w:val="19"/>
        </w:rPr>
        <w:t>For the CPFE credential of the African Institute of Project Assurance and Forensics</w:t>
      </w:r>
    </w:p>
    <w:p w14:paraId="16A32664" w14:textId="77777777" w:rsidR="000E21C0" w:rsidRDefault="000E21C0">
      <w:pPr>
        <w:spacing w:before="1150"/>
      </w:pPr>
    </w:p>
    <w:p w14:paraId="0C048719" w14:textId="77777777" w:rsidR="000E21C0" w:rsidRDefault="00961F68">
      <w:pPr>
        <w:spacing w:after="40"/>
        <w:jc w:val="center"/>
      </w:pPr>
      <w:r>
        <w:rPr>
          <w:b/>
          <w:bCs/>
          <w:color w:val="1A5C2A"/>
          <w:sz w:val="20"/>
          <w:szCs w:val="20"/>
        </w:rPr>
        <w:t>African Institute of Project Assurance and Forensics</w:t>
      </w:r>
    </w:p>
    <w:p w14:paraId="24BF8979" w14:textId="77777777" w:rsidR="000E21C0" w:rsidRDefault="00961F68">
      <w:pPr>
        <w:jc w:val="center"/>
      </w:pPr>
      <w:r>
        <w:rPr>
          <w:color w:val="4D4D4D"/>
          <w:sz w:val="19"/>
          <w:szCs w:val="19"/>
        </w:rPr>
        <w:t>Edition 2026</w:t>
      </w:r>
    </w:p>
    <w:p w14:paraId="6309B40E" w14:textId="77777777" w:rsidR="000E21C0" w:rsidRDefault="00961F68">
      <w:r>
        <w:br w:type="page"/>
      </w:r>
    </w:p>
    <w:p w14:paraId="064D79C5" w14:textId="77777777" w:rsidR="000E21C0" w:rsidRDefault="00961F68">
      <w:pPr>
        <w:pStyle w:val="Heading1"/>
        <w:spacing w:before="300" w:after="150"/>
      </w:pPr>
      <w:r>
        <w:lastRenderedPageBreak/>
        <w:t>Contents</w:t>
      </w:r>
    </w:p>
    <w:p w14:paraId="654537A2" w14:textId="77777777" w:rsidR="000E21C0" w:rsidRDefault="00961F68">
      <w:pPr>
        <w:spacing w:before="120" w:after="20"/>
      </w:pPr>
      <w:r>
        <w:rPr>
          <w:b/>
          <w:bCs/>
          <w:color w:val="1A5C2A"/>
        </w:rPr>
        <w:t>Foreword</w:t>
      </w:r>
      <w:r>
        <w:rPr>
          <w:b/>
          <w:bCs/>
          <w:color w:val="1A5C2A"/>
        </w:rPr>
        <w:ptab w:relativeTo="margin" w:alignment="right" w:leader="dot"/>
      </w:r>
      <w:r>
        <w:rPr>
          <w:b/>
          <w:bCs/>
          <w:color w:val="1A5C2A"/>
        </w:rPr>
        <w:t>3</w:t>
      </w:r>
    </w:p>
    <w:p w14:paraId="2B741D1E" w14:textId="77777777" w:rsidR="000E21C0" w:rsidRDefault="00961F68">
      <w:pPr>
        <w:spacing w:before="120" w:after="20"/>
      </w:pPr>
      <w:r>
        <w:rPr>
          <w:b/>
          <w:bCs/>
          <w:color w:val="1A5C2A"/>
        </w:rPr>
        <w:t>Part One  |  Using this Syllabus</w:t>
      </w:r>
      <w:r>
        <w:rPr>
          <w:b/>
          <w:bCs/>
          <w:color w:val="1A5C2A"/>
        </w:rPr>
        <w:ptab w:relativeTo="margin" w:alignment="right" w:leader="dot"/>
      </w:r>
      <w:r>
        <w:rPr>
          <w:b/>
          <w:bCs/>
          <w:color w:val="1A5C2A"/>
        </w:rPr>
        <w:t>4</w:t>
      </w:r>
    </w:p>
    <w:p w14:paraId="208DC485" w14:textId="77777777" w:rsidR="000E21C0" w:rsidRDefault="00961F68">
      <w:pPr>
        <w:spacing w:after="18" w:line="260" w:lineRule="auto"/>
        <w:ind w:left="300"/>
      </w:pPr>
      <w:r>
        <w:rPr>
          <w:color w:val="4D4D4D"/>
          <w:sz w:val="20"/>
          <w:szCs w:val="20"/>
        </w:rPr>
        <w:t>1.1  What the syllabus covers</w:t>
      </w:r>
      <w:r>
        <w:rPr>
          <w:color w:val="4D4D4D"/>
          <w:sz w:val="20"/>
          <w:szCs w:val="20"/>
        </w:rPr>
        <w:ptab w:relativeTo="margin" w:alignment="right" w:leader="dot"/>
      </w:r>
      <w:r>
        <w:rPr>
          <w:color w:val="4D4D4D"/>
          <w:sz w:val="20"/>
          <w:szCs w:val="20"/>
        </w:rPr>
        <w:t>4</w:t>
      </w:r>
    </w:p>
    <w:p w14:paraId="79B8D3C4" w14:textId="77777777" w:rsidR="000E21C0" w:rsidRDefault="00961F68">
      <w:pPr>
        <w:spacing w:after="18" w:line="260" w:lineRule="auto"/>
        <w:ind w:left="300"/>
      </w:pPr>
      <w:r>
        <w:rPr>
          <w:color w:val="4D4D4D"/>
          <w:sz w:val="20"/>
          <w:szCs w:val="20"/>
        </w:rPr>
        <w:t>1.2  How it maps to the examinations</w:t>
      </w:r>
      <w:r>
        <w:rPr>
          <w:color w:val="4D4D4D"/>
          <w:sz w:val="20"/>
          <w:szCs w:val="20"/>
        </w:rPr>
        <w:ptab w:relativeTo="margin" w:alignment="right" w:leader="dot"/>
      </w:r>
      <w:r>
        <w:rPr>
          <w:color w:val="4D4D4D"/>
          <w:sz w:val="20"/>
          <w:szCs w:val="20"/>
        </w:rPr>
        <w:t>4</w:t>
      </w:r>
    </w:p>
    <w:p w14:paraId="42A101E9" w14:textId="77777777" w:rsidR="000E21C0" w:rsidRDefault="00961F68">
      <w:pPr>
        <w:spacing w:after="18" w:line="260" w:lineRule="auto"/>
        <w:ind w:left="300"/>
      </w:pPr>
      <w:r>
        <w:rPr>
          <w:color w:val="4D4D4D"/>
          <w:sz w:val="20"/>
          <w:szCs w:val="20"/>
        </w:rPr>
        <w:t>1.3  Levels of learning and command verbs</w:t>
      </w:r>
      <w:r>
        <w:rPr>
          <w:color w:val="4D4D4D"/>
          <w:sz w:val="20"/>
          <w:szCs w:val="20"/>
        </w:rPr>
        <w:ptab w:relativeTo="margin" w:alignment="right" w:leader="dot"/>
      </w:r>
      <w:r>
        <w:rPr>
          <w:color w:val="4D4D4D"/>
          <w:sz w:val="20"/>
          <w:szCs w:val="20"/>
        </w:rPr>
        <w:t>4</w:t>
      </w:r>
    </w:p>
    <w:p w14:paraId="35D31D4A" w14:textId="77777777" w:rsidR="000E21C0" w:rsidRDefault="00961F68">
      <w:pPr>
        <w:spacing w:after="18" w:line="260" w:lineRule="auto"/>
        <w:ind w:left="300"/>
      </w:pPr>
      <w:r>
        <w:rPr>
          <w:color w:val="4D4D4D"/>
          <w:sz w:val="20"/>
          <w:szCs w:val="20"/>
        </w:rPr>
        <w:t>1.4  Weighting and the pass standard</w:t>
      </w:r>
      <w:r>
        <w:rPr>
          <w:color w:val="4D4D4D"/>
          <w:sz w:val="20"/>
          <w:szCs w:val="20"/>
        </w:rPr>
        <w:ptab w:relativeTo="margin" w:alignment="right" w:leader="dot"/>
      </w:r>
      <w:r>
        <w:rPr>
          <w:color w:val="4D4D4D"/>
          <w:sz w:val="20"/>
          <w:szCs w:val="20"/>
        </w:rPr>
        <w:t>4</w:t>
      </w:r>
    </w:p>
    <w:p w14:paraId="7F176AF5" w14:textId="77777777" w:rsidR="000E21C0" w:rsidRDefault="00961F68">
      <w:pPr>
        <w:spacing w:before="120" w:after="20"/>
      </w:pPr>
      <w:r>
        <w:rPr>
          <w:b/>
          <w:bCs/>
          <w:color w:val="1A5C2A"/>
        </w:rPr>
        <w:t>Part Two  |  The Shared Foundation</w:t>
      </w:r>
      <w:r>
        <w:rPr>
          <w:b/>
          <w:bCs/>
          <w:color w:val="1A5C2A"/>
        </w:rPr>
        <w:ptab w:relativeTo="margin" w:alignment="right" w:leader="dot"/>
      </w:r>
      <w:r>
        <w:rPr>
          <w:b/>
          <w:bCs/>
          <w:color w:val="1A5C2A"/>
        </w:rPr>
        <w:t>6</w:t>
      </w:r>
    </w:p>
    <w:p w14:paraId="406F395B" w14:textId="77777777" w:rsidR="000E21C0" w:rsidRDefault="00961F68">
      <w:pPr>
        <w:spacing w:before="120" w:after="20"/>
      </w:pPr>
      <w:r>
        <w:rPr>
          <w:b/>
          <w:bCs/>
          <w:color w:val="1A5C2A"/>
        </w:rPr>
        <w:t>Part Three  |  Paper P1: Forensic Investigation and Analysis</w:t>
      </w:r>
      <w:r>
        <w:rPr>
          <w:b/>
          <w:bCs/>
          <w:color w:val="1A5C2A"/>
        </w:rPr>
        <w:ptab w:relativeTo="margin" w:alignment="right" w:leader="dot"/>
      </w:r>
      <w:r>
        <w:rPr>
          <w:b/>
          <w:bCs/>
          <w:color w:val="1A5C2A"/>
        </w:rPr>
        <w:t>7</w:t>
      </w:r>
    </w:p>
    <w:p w14:paraId="05F837BF" w14:textId="77777777" w:rsidR="000E21C0" w:rsidRDefault="00961F68">
      <w:pPr>
        <w:spacing w:after="18" w:line="260" w:lineRule="auto"/>
        <w:ind w:left="300"/>
      </w:pPr>
      <w:r>
        <w:rPr>
          <w:color w:val="4D4D4D"/>
          <w:sz w:val="20"/>
          <w:szCs w:val="20"/>
        </w:rPr>
        <w:t>P1.1  Principles of forensic investigation</w:t>
      </w:r>
      <w:r>
        <w:rPr>
          <w:color w:val="4D4D4D"/>
          <w:sz w:val="20"/>
          <w:szCs w:val="20"/>
        </w:rPr>
        <w:ptab w:relativeTo="margin" w:alignment="right" w:leader="dot"/>
      </w:r>
      <w:r>
        <w:rPr>
          <w:color w:val="4D4D4D"/>
          <w:sz w:val="20"/>
          <w:szCs w:val="20"/>
        </w:rPr>
        <w:t>7</w:t>
      </w:r>
    </w:p>
    <w:p w14:paraId="1E7F4C24" w14:textId="77777777" w:rsidR="000E21C0" w:rsidRDefault="00961F68">
      <w:pPr>
        <w:spacing w:after="18" w:line="260" w:lineRule="auto"/>
        <w:ind w:left="300"/>
      </w:pPr>
      <w:r>
        <w:rPr>
          <w:color w:val="4D4D4D"/>
          <w:sz w:val="20"/>
          <w:szCs w:val="20"/>
        </w:rPr>
        <w:t>P1.2  Root-cause analysis of project failure</w:t>
      </w:r>
      <w:r>
        <w:rPr>
          <w:color w:val="4D4D4D"/>
          <w:sz w:val="20"/>
          <w:szCs w:val="20"/>
        </w:rPr>
        <w:ptab w:relativeTo="margin" w:alignment="right" w:leader="dot"/>
      </w:r>
      <w:r>
        <w:rPr>
          <w:color w:val="4D4D4D"/>
          <w:sz w:val="20"/>
          <w:szCs w:val="20"/>
        </w:rPr>
        <w:t>7</w:t>
      </w:r>
    </w:p>
    <w:p w14:paraId="1498CBEF" w14:textId="77777777" w:rsidR="000E21C0" w:rsidRDefault="00961F68">
      <w:pPr>
        <w:spacing w:after="18" w:line="260" w:lineRule="auto"/>
        <w:ind w:left="300"/>
      </w:pPr>
      <w:r>
        <w:rPr>
          <w:color w:val="4D4D4D"/>
          <w:sz w:val="20"/>
          <w:szCs w:val="20"/>
        </w:rPr>
        <w:t>P1.3  Investigation of fraud and irregularity</w:t>
      </w:r>
      <w:r>
        <w:rPr>
          <w:color w:val="4D4D4D"/>
          <w:sz w:val="20"/>
          <w:szCs w:val="20"/>
        </w:rPr>
        <w:ptab w:relativeTo="margin" w:alignment="right" w:leader="dot"/>
      </w:r>
      <w:r>
        <w:rPr>
          <w:color w:val="4D4D4D"/>
          <w:sz w:val="20"/>
          <w:szCs w:val="20"/>
        </w:rPr>
        <w:t>8</w:t>
      </w:r>
    </w:p>
    <w:p w14:paraId="44D454E8" w14:textId="77777777" w:rsidR="000E21C0" w:rsidRDefault="00961F68">
      <w:pPr>
        <w:spacing w:after="18" w:line="260" w:lineRule="auto"/>
        <w:ind w:left="300"/>
      </w:pPr>
      <w:r>
        <w:rPr>
          <w:color w:val="4D4D4D"/>
          <w:sz w:val="20"/>
          <w:szCs w:val="20"/>
        </w:rPr>
        <w:t>P1.4  Evidence, documentation, and chain of custody</w:t>
      </w:r>
      <w:r>
        <w:rPr>
          <w:color w:val="4D4D4D"/>
          <w:sz w:val="20"/>
          <w:szCs w:val="20"/>
        </w:rPr>
        <w:ptab w:relativeTo="margin" w:alignment="right" w:leader="dot"/>
      </w:r>
      <w:r>
        <w:rPr>
          <w:color w:val="4D4D4D"/>
          <w:sz w:val="20"/>
          <w:szCs w:val="20"/>
        </w:rPr>
        <w:t>8</w:t>
      </w:r>
    </w:p>
    <w:p w14:paraId="20CA3441" w14:textId="77777777" w:rsidR="000E21C0" w:rsidRDefault="00961F68">
      <w:pPr>
        <w:spacing w:before="120" w:after="20"/>
      </w:pPr>
      <w:r>
        <w:rPr>
          <w:b/>
          <w:bCs/>
          <w:color w:val="1A5C2A"/>
        </w:rPr>
        <w:t>Part Four  |  Paper P2: Delay, Quantum, and Expert Evidence</w:t>
      </w:r>
      <w:r>
        <w:rPr>
          <w:b/>
          <w:bCs/>
          <w:color w:val="1A5C2A"/>
        </w:rPr>
        <w:ptab w:relativeTo="margin" w:alignment="right" w:leader="dot"/>
      </w:r>
      <w:r>
        <w:rPr>
          <w:b/>
          <w:bCs/>
          <w:color w:val="1A5C2A"/>
        </w:rPr>
        <w:t>10</w:t>
      </w:r>
    </w:p>
    <w:p w14:paraId="084371A4" w14:textId="77777777" w:rsidR="000E21C0" w:rsidRDefault="00961F68">
      <w:pPr>
        <w:spacing w:after="18" w:line="260" w:lineRule="auto"/>
        <w:ind w:left="300"/>
      </w:pPr>
      <w:r>
        <w:rPr>
          <w:color w:val="4D4D4D"/>
          <w:sz w:val="20"/>
          <w:szCs w:val="20"/>
        </w:rPr>
        <w:t>P2.1  Forensic delay analysis</w:t>
      </w:r>
      <w:r>
        <w:rPr>
          <w:color w:val="4D4D4D"/>
          <w:sz w:val="20"/>
          <w:szCs w:val="20"/>
        </w:rPr>
        <w:ptab w:relativeTo="margin" w:alignment="right" w:leader="dot"/>
      </w:r>
      <w:r>
        <w:rPr>
          <w:color w:val="4D4D4D"/>
          <w:sz w:val="20"/>
          <w:szCs w:val="20"/>
        </w:rPr>
        <w:t>10</w:t>
      </w:r>
    </w:p>
    <w:p w14:paraId="1E6B53C2" w14:textId="77777777" w:rsidR="000E21C0" w:rsidRDefault="00961F68">
      <w:pPr>
        <w:spacing w:after="18" w:line="260" w:lineRule="auto"/>
        <w:ind w:left="300"/>
      </w:pPr>
      <w:r>
        <w:rPr>
          <w:color w:val="4D4D4D"/>
          <w:sz w:val="20"/>
          <w:szCs w:val="20"/>
        </w:rPr>
        <w:t>P2.2  Quantum and loss assessment</w:t>
      </w:r>
      <w:r>
        <w:rPr>
          <w:color w:val="4D4D4D"/>
          <w:sz w:val="20"/>
          <w:szCs w:val="20"/>
        </w:rPr>
        <w:ptab w:relativeTo="margin" w:alignment="right" w:leader="dot"/>
      </w:r>
      <w:r>
        <w:rPr>
          <w:color w:val="4D4D4D"/>
          <w:sz w:val="20"/>
          <w:szCs w:val="20"/>
        </w:rPr>
        <w:t>10</w:t>
      </w:r>
    </w:p>
    <w:p w14:paraId="1678EF47" w14:textId="77777777" w:rsidR="000E21C0" w:rsidRDefault="00961F68">
      <w:pPr>
        <w:spacing w:after="18" w:line="260" w:lineRule="auto"/>
        <w:ind w:left="300"/>
      </w:pPr>
      <w:r>
        <w:rPr>
          <w:color w:val="4D4D4D"/>
          <w:sz w:val="20"/>
          <w:szCs w:val="20"/>
        </w:rPr>
        <w:t>P2.3  Expert evidence and reporting</w:t>
      </w:r>
      <w:r>
        <w:rPr>
          <w:color w:val="4D4D4D"/>
          <w:sz w:val="20"/>
          <w:szCs w:val="20"/>
        </w:rPr>
        <w:ptab w:relativeTo="margin" w:alignment="right" w:leader="dot"/>
      </w:r>
      <w:r>
        <w:rPr>
          <w:color w:val="4D4D4D"/>
          <w:sz w:val="20"/>
          <w:szCs w:val="20"/>
        </w:rPr>
        <w:t>11</w:t>
      </w:r>
    </w:p>
    <w:p w14:paraId="38803A4E" w14:textId="77777777" w:rsidR="000E21C0" w:rsidRDefault="00961F68">
      <w:pPr>
        <w:spacing w:after="18" w:line="260" w:lineRule="auto"/>
        <w:ind w:left="300"/>
      </w:pPr>
      <w:r>
        <w:rPr>
          <w:color w:val="4D4D4D"/>
          <w:sz w:val="20"/>
          <w:szCs w:val="20"/>
        </w:rPr>
        <w:t>P2.4  Dispute resolution context</w:t>
      </w:r>
      <w:r>
        <w:rPr>
          <w:color w:val="4D4D4D"/>
          <w:sz w:val="20"/>
          <w:szCs w:val="20"/>
        </w:rPr>
        <w:ptab w:relativeTo="margin" w:alignment="right" w:leader="dot"/>
      </w:r>
      <w:r>
        <w:rPr>
          <w:color w:val="4D4D4D"/>
          <w:sz w:val="20"/>
          <w:szCs w:val="20"/>
        </w:rPr>
        <w:t>11</w:t>
      </w:r>
    </w:p>
    <w:p w14:paraId="2A498F10" w14:textId="77777777" w:rsidR="000E21C0" w:rsidRDefault="00961F68">
      <w:pPr>
        <w:spacing w:before="120" w:after="20"/>
      </w:pPr>
      <w:r>
        <w:rPr>
          <w:b/>
          <w:bCs/>
          <w:color w:val="1A5C2A"/>
        </w:rPr>
        <w:t>Part Five  |  The Competency Assessment</w:t>
      </w:r>
      <w:r>
        <w:rPr>
          <w:b/>
          <w:bCs/>
          <w:color w:val="1A5C2A"/>
        </w:rPr>
        <w:ptab w:relativeTo="margin" w:alignment="right" w:leader="dot"/>
      </w:r>
      <w:r>
        <w:rPr>
          <w:b/>
          <w:bCs/>
          <w:color w:val="1A5C2A"/>
        </w:rPr>
        <w:t>13</w:t>
      </w:r>
    </w:p>
    <w:p w14:paraId="630232A6" w14:textId="77777777" w:rsidR="000E21C0" w:rsidRDefault="00961F68">
      <w:pPr>
        <w:spacing w:before="120" w:after="20"/>
      </w:pPr>
      <w:r>
        <w:rPr>
          <w:b/>
          <w:bCs/>
          <w:color w:val="1A5C2A"/>
        </w:rPr>
        <w:t>Part Six  |  Assessment Weighting and the Pass Standard</w:t>
      </w:r>
      <w:r>
        <w:rPr>
          <w:b/>
          <w:bCs/>
          <w:color w:val="1A5C2A"/>
        </w:rPr>
        <w:ptab w:relativeTo="margin" w:alignment="right" w:leader="dot"/>
      </w:r>
      <w:r>
        <w:rPr>
          <w:b/>
          <w:bCs/>
          <w:color w:val="1A5C2A"/>
        </w:rPr>
        <w:t>14</w:t>
      </w:r>
    </w:p>
    <w:p w14:paraId="665E0256" w14:textId="77777777" w:rsidR="000E21C0" w:rsidRDefault="00961F68">
      <w:pPr>
        <w:spacing w:before="120" w:after="20"/>
      </w:pPr>
      <w:r>
        <w:rPr>
          <w:b/>
          <w:bCs/>
          <w:color w:val="1A5C2A"/>
        </w:rPr>
        <w:t>Appendix  |  Command Verbs</w:t>
      </w:r>
      <w:r>
        <w:rPr>
          <w:b/>
          <w:bCs/>
          <w:color w:val="1A5C2A"/>
        </w:rPr>
        <w:ptab w:relativeTo="margin" w:alignment="right" w:leader="dot"/>
      </w:r>
      <w:r>
        <w:rPr>
          <w:b/>
          <w:bCs/>
          <w:color w:val="1A5C2A"/>
        </w:rPr>
        <w:t>15</w:t>
      </w:r>
    </w:p>
    <w:p w14:paraId="3F8C9CFF" w14:textId="77777777" w:rsidR="000E21C0" w:rsidRDefault="00961F68">
      <w:r>
        <w:br w:type="page"/>
      </w:r>
    </w:p>
    <w:p w14:paraId="106FB0DD" w14:textId="77777777" w:rsidR="000E21C0" w:rsidRDefault="00961F68">
      <w:pPr>
        <w:pStyle w:val="Heading1"/>
        <w:spacing w:before="300" w:after="150"/>
      </w:pPr>
      <w:r>
        <w:lastRenderedPageBreak/>
        <w:t>Foreword</w:t>
      </w:r>
    </w:p>
    <w:p w14:paraId="27E0DA0A" w14:textId="77777777" w:rsidR="000E21C0" w:rsidRDefault="000E21C0">
      <w:pPr>
        <w:pBdr>
          <w:bottom w:val="single" w:sz="8" w:space="1" w:color="C47B0B"/>
        </w:pBdr>
        <w:spacing w:before="60" w:after="160"/>
      </w:pPr>
    </w:p>
    <w:p w14:paraId="78197D9B" w14:textId="77777777" w:rsidR="000E21C0" w:rsidRDefault="00961F68">
      <w:pPr>
        <w:spacing w:after="160" w:line="348" w:lineRule="auto"/>
        <w:jc w:val="both"/>
      </w:pPr>
      <w:r>
        <w:t>This syllabus sets out what a candidate for the Certified Project Forensic Examiner must know and be able to do. It takes the practice of forensic investigation into project failure and dispute and turns it into learning outcomes and indicative content that can be taught and examined, with attention to the conditions under which such work is carried out across Africa.</w:t>
      </w:r>
    </w:p>
    <w:p w14:paraId="04F4AA8F" w14:textId="77777777" w:rsidR="000E21C0" w:rsidRDefault="00961F68">
      <w:pPr>
        <w:spacing w:after="160" w:line="348" w:lineRule="auto"/>
        <w:jc w:val="both"/>
      </w:pPr>
      <w:r>
        <w:t>It is written for three readers at once. For the candidate, it is a map of what to learn and the standard to reach. For the trainer, it is the specification a course must cover. For the examiner, it is the source of what may fairly be tested and how. The three should always be looking at the same thing, and this document is that thing.</w:t>
      </w:r>
    </w:p>
    <w:p w14:paraId="393FDE2E" w14:textId="77777777" w:rsidR="000E21C0" w:rsidRDefault="00961F68">
      <w:r>
        <w:br w:type="page"/>
      </w:r>
    </w:p>
    <w:p w14:paraId="623B6752" w14:textId="77777777" w:rsidR="000E21C0" w:rsidRDefault="00961F68">
      <w:pPr>
        <w:pStyle w:val="Heading1"/>
        <w:spacing w:before="300" w:after="150"/>
      </w:pPr>
      <w:r>
        <w:lastRenderedPageBreak/>
        <w:t>Part One  |  Using this Syllabus</w:t>
      </w:r>
    </w:p>
    <w:p w14:paraId="1BF7A21D" w14:textId="77777777" w:rsidR="000E21C0" w:rsidRDefault="000E21C0">
      <w:pPr>
        <w:pBdr>
          <w:bottom w:val="single" w:sz="8" w:space="1" w:color="C47B0B"/>
        </w:pBdr>
        <w:spacing w:before="60" w:after="160"/>
      </w:pPr>
    </w:p>
    <w:p w14:paraId="0612E68A" w14:textId="77777777" w:rsidR="000E21C0" w:rsidRDefault="00961F68">
      <w:pPr>
        <w:pStyle w:val="Heading2"/>
        <w:spacing w:before="270" w:after="110"/>
      </w:pPr>
      <w:r>
        <w:t>1.1  What the syllabus covers</w:t>
      </w:r>
    </w:p>
    <w:p w14:paraId="1E22F1DC" w14:textId="77777777" w:rsidR="000E21C0" w:rsidRDefault="00961F68">
      <w:pPr>
        <w:spacing w:after="160" w:line="348" w:lineRule="auto"/>
        <w:jc w:val="both"/>
      </w:pPr>
      <w:r>
        <w:t>The CPFE certifies competence to investigate a project that has failed, stalled, been abandoned, overrun, or fallen into dispute, and to establish, to a standard that withstands scrutiny, what happened and why. This syllabus covers the forensic-specific knowledge the credential tests. It builds on the shared foundation, which every candidate passes first, and does not repeat it.</w:t>
      </w:r>
    </w:p>
    <w:p w14:paraId="3DA54177" w14:textId="77777777" w:rsidR="000E21C0" w:rsidRDefault="00961F68">
      <w:pPr>
        <w:pStyle w:val="Heading2"/>
        <w:spacing w:before="270" w:after="110"/>
      </w:pPr>
      <w:r>
        <w:t>1.2  How it maps to the examinations</w:t>
      </w:r>
    </w:p>
    <w:p w14:paraId="07CD4315" w14:textId="77777777" w:rsidR="000E21C0" w:rsidRDefault="00961F68">
      <w:pPr>
        <w:spacing w:after="160" w:line="348" w:lineRule="auto"/>
        <w:jc w:val="both"/>
      </w:pPr>
      <w:r>
        <w:t>The practice of forensic investigation is examined across two written papers and one competency assessment, as set out in the Credential Specification. Investigation, causation, and evidence sit in the first paper. Delay, quantum, and expert evidence sit in the second. The competency assessment then asks the candidate to investigate and report a real case. The table below shows the map.</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5960"/>
      </w:tblGrid>
      <w:tr w:rsidR="000E21C0" w14:paraId="5FAE2F9E" w14:textId="77777777">
        <w:tblPrEx>
          <w:tblCellMar>
            <w:top w:w="0" w:type="dxa"/>
            <w:bottom w:w="0" w:type="dxa"/>
          </w:tblCellMar>
        </w:tblPrEx>
        <w:trPr>
          <w:tblHeader/>
        </w:trPr>
        <w:tc>
          <w:tcPr>
            <w:tcW w:w="3400" w:type="dxa"/>
            <w:shd w:val="clear" w:color="auto" w:fill="1A5C2A"/>
            <w:tcMar>
              <w:top w:w="80" w:type="dxa"/>
              <w:left w:w="110" w:type="dxa"/>
              <w:bottom w:w="80" w:type="dxa"/>
              <w:right w:w="110" w:type="dxa"/>
            </w:tcMar>
          </w:tcPr>
          <w:p w14:paraId="68932FBA" w14:textId="77777777" w:rsidR="000E21C0" w:rsidRDefault="00961F68">
            <w:r>
              <w:rPr>
                <w:b/>
                <w:bCs/>
                <w:color w:val="FFFFFF"/>
                <w:sz w:val="19"/>
                <w:szCs w:val="19"/>
              </w:rPr>
              <w:t>Assessment</w:t>
            </w:r>
          </w:p>
        </w:tc>
        <w:tc>
          <w:tcPr>
            <w:tcW w:w="5960" w:type="dxa"/>
            <w:shd w:val="clear" w:color="auto" w:fill="1A5C2A"/>
            <w:tcMar>
              <w:top w:w="80" w:type="dxa"/>
              <w:left w:w="110" w:type="dxa"/>
              <w:bottom w:w="80" w:type="dxa"/>
              <w:right w:w="110" w:type="dxa"/>
            </w:tcMar>
          </w:tcPr>
          <w:p w14:paraId="719AEE20" w14:textId="77777777" w:rsidR="000E21C0" w:rsidRDefault="00961F68">
            <w:r>
              <w:rPr>
                <w:b/>
                <w:bCs/>
                <w:color w:val="FFFFFF"/>
                <w:sz w:val="19"/>
                <w:szCs w:val="19"/>
              </w:rPr>
              <w:t>What it examines</w:t>
            </w:r>
          </w:p>
        </w:tc>
      </w:tr>
      <w:tr w:rsidR="000E21C0" w14:paraId="684E0377" w14:textId="77777777">
        <w:tblPrEx>
          <w:tblCellMar>
            <w:top w:w="0" w:type="dxa"/>
            <w:bottom w:w="0" w:type="dxa"/>
          </w:tblCellMar>
        </w:tblPrEx>
        <w:tc>
          <w:tcPr>
            <w:tcW w:w="3400" w:type="dxa"/>
            <w:shd w:val="clear" w:color="auto" w:fill="EAF1EC"/>
            <w:tcMar>
              <w:top w:w="70" w:type="dxa"/>
              <w:left w:w="110" w:type="dxa"/>
              <w:bottom w:w="70" w:type="dxa"/>
              <w:right w:w="110" w:type="dxa"/>
            </w:tcMar>
          </w:tcPr>
          <w:p w14:paraId="3865B31D" w14:textId="77777777" w:rsidR="000E21C0" w:rsidRDefault="00961F68">
            <w:pPr>
              <w:spacing w:line="262" w:lineRule="auto"/>
            </w:pPr>
            <w:r>
              <w:rPr>
                <w:b/>
                <w:bCs/>
                <w:sz w:val="18"/>
                <w:szCs w:val="18"/>
              </w:rPr>
              <w:t>P1  Forensic Investigation and Analysis</w:t>
            </w:r>
          </w:p>
        </w:tc>
        <w:tc>
          <w:tcPr>
            <w:tcW w:w="5960" w:type="dxa"/>
            <w:shd w:val="clear" w:color="auto" w:fill="EAF1EC"/>
            <w:tcMar>
              <w:top w:w="70" w:type="dxa"/>
              <w:left w:w="110" w:type="dxa"/>
              <w:bottom w:w="70" w:type="dxa"/>
              <w:right w:w="110" w:type="dxa"/>
            </w:tcMar>
          </w:tcPr>
          <w:p w14:paraId="30953CE6" w14:textId="77777777" w:rsidR="000E21C0" w:rsidRDefault="00961F68">
            <w:pPr>
              <w:spacing w:line="262" w:lineRule="auto"/>
            </w:pPr>
            <w:r>
              <w:rPr>
                <w:sz w:val="18"/>
                <w:szCs w:val="18"/>
              </w:rPr>
              <w:t>Principles of forensic investigation; root-cause analysis; investigation of fraud and irregularity; evidence and chain of custody.</w:t>
            </w:r>
          </w:p>
        </w:tc>
      </w:tr>
      <w:tr w:rsidR="000E21C0" w14:paraId="67C5506A"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13E7EA1D" w14:textId="77777777" w:rsidR="000E21C0" w:rsidRDefault="00961F68">
            <w:pPr>
              <w:spacing w:line="262" w:lineRule="auto"/>
            </w:pPr>
            <w:r>
              <w:rPr>
                <w:b/>
                <w:bCs/>
                <w:sz w:val="18"/>
                <w:szCs w:val="18"/>
              </w:rPr>
              <w:t>P2  Delay, Quantum, and Expert Evidence</w:t>
            </w:r>
          </w:p>
        </w:tc>
        <w:tc>
          <w:tcPr>
            <w:tcW w:w="5960" w:type="dxa"/>
            <w:shd w:val="clear" w:color="auto" w:fill="FFFFFF"/>
            <w:tcMar>
              <w:top w:w="70" w:type="dxa"/>
              <w:left w:w="110" w:type="dxa"/>
              <w:bottom w:w="70" w:type="dxa"/>
              <w:right w:w="110" w:type="dxa"/>
            </w:tcMar>
          </w:tcPr>
          <w:p w14:paraId="430D1401" w14:textId="77777777" w:rsidR="000E21C0" w:rsidRDefault="00961F68">
            <w:pPr>
              <w:spacing w:line="262" w:lineRule="auto"/>
            </w:pPr>
            <w:r>
              <w:rPr>
                <w:sz w:val="18"/>
                <w:szCs w:val="18"/>
              </w:rPr>
              <w:t>Forensic delay analysis; quantum and loss assessment; expert evidence and reporting; the dispute-resolution context.</w:t>
            </w:r>
          </w:p>
        </w:tc>
      </w:tr>
      <w:tr w:rsidR="000E21C0" w14:paraId="3AC341AB" w14:textId="77777777">
        <w:tblPrEx>
          <w:tblCellMar>
            <w:top w:w="0" w:type="dxa"/>
            <w:bottom w:w="0" w:type="dxa"/>
          </w:tblCellMar>
        </w:tblPrEx>
        <w:tc>
          <w:tcPr>
            <w:tcW w:w="3400" w:type="dxa"/>
            <w:shd w:val="clear" w:color="auto" w:fill="EAF1EC"/>
            <w:tcMar>
              <w:top w:w="70" w:type="dxa"/>
              <w:left w:w="110" w:type="dxa"/>
              <w:bottom w:w="70" w:type="dxa"/>
              <w:right w:w="110" w:type="dxa"/>
            </w:tcMar>
          </w:tcPr>
          <w:p w14:paraId="17AADB7C" w14:textId="77777777" w:rsidR="000E21C0" w:rsidRDefault="00961F68">
            <w:pPr>
              <w:spacing w:line="262" w:lineRule="auto"/>
            </w:pPr>
            <w:r>
              <w:rPr>
                <w:b/>
                <w:bCs/>
                <w:sz w:val="18"/>
                <w:szCs w:val="18"/>
              </w:rPr>
              <w:t>C  Competency Assessment</w:t>
            </w:r>
          </w:p>
        </w:tc>
        <w:tc>
          <w:tcPr>
            <w:tcW w:w="5960" w:type="dxa"/>
            <w:shd w:val="clear" w:color="auto" w:fill="EAF1EC"/>
            <w:tcMar>
              <w:top w:w="70" w:type="dxa"/>
              <w:left w:w="110" w:type="dxa"/>
              <w:bottom w:w="70" w:type="dxa"/>
              <w:right w:w="110" w:type="dxa"/>
            </w:tcMar>
          </w:tcPr>
          <w:p w14:paraId="10B2E9E2" w14:textId="77777777" w:rsidR="000E21C0" w:rsidRDefault="00961F68">
            <w:pPr>
              <w:spacing w:line="262" w:lineRule="auto"/>
            </w:pPr>
            <w:r>
              <w:rPr>
                <w:sz w:val="18"/>
                <w:szCs w:val="18"/>
              </w:rPr>
              <w:t>A forensic investigation and report on a set case, integrating the whole.</w:t>
            </w:r>
          </w:p>
        </w:tc>
      </w:tr>
    </w:tbl>
    <w:p w14:paraId="6FBB0A4B" w14:textId="77777777" w:rsidR="000E21C0" w:rsidRDefault="000E21C0">
      <w:pPr>
        <w:spacing w:after="40"/>
      </w:pPr>
    </w:p>
    <w:p w14:paraId="7586E2E4" w14:textId="77777777" w:rsidR="000E21C0" w:rsidRDefault="00961F68">
      <w:pPr>
        <w:pStyle w:val="Heading2"/>
        <w:spacing w:before="270" w:after="110"/>
      </w:pPr>
      <w:r>
        <w:t>1.3  Levels of learning and command verbs</w:t>
      </w:r>
    </w:p>
    <w:p w14:paraId="52BB4A93" w14:textId="77777777" w:rsidR="000E21C0" w:rsidRDefault="00961F68">
      <w:pPr>
        <w:spacing w:after="160" w:line="348" w:lineRule="auto"/>
        <w:jc w:val="both"/>
      </w:pPr>
      <w:r>
        <w:t>This is a practising credential, so most outcomes sit at the higher levels of learning. A candidate is rarely asked only to recall a fact. They are asked to apply, to analyse, and to judge. The syllabus uses three levels, and the command verbs in each outcome signal the level. The full list is in the appendix.</w:t>
      </w:r>
    </w:p>
    <w:p w14:paraId="7628CC14" w14:textId="77777777" w:rsidR="000E21C0" w:rsidRDefault="00961F68">
      <w:pPr>
        <w:pStyle w:val="ListParagraph"/>
        <w:numPr>
          <w:ilvl w:val="0"/>
          <w:numId w:val="2"/>
        </w:numPr>
        <w:spacing w:after="70" w:line="330" w:lineRule="auto"/>
        <w:jc w:val="both"/>
      </w:pPr>
      <w:r>
        <w:rPr>
          <w:b/>
          <w:bCs/>
          <w:color w:val="C47B0B"/>
          <w:sz w:val="22"/>
          <w:szCs w:val="22"/>
        </w:rPr>
        <w:t xml:space="preserve">Know. </w:t>
      </w:r>
      <w:r>
        <w:rPr>
          <w:sz w:val="22"/>
          <w:szCs w:val="22"/>
        </w:rPr>
        <w:t>Recall and state established facts and definitions.</w:t>
      </w:r>
    </w:p>
    <w:p w14:paraId="162A23F0" w14:textId="77777777" w:rsidR="000E21C0" w:rsidRDefault="00961F68">
      <w:pPr>
        <w:pStyle w:val="ListParagraph"/>
        <w:numPr>
          <w:ilvl w:val="0"/>
          <w:numId w:val="2"/>
        </w:numPr>
        <w:spacing w:after="70" w:line="330" w:lineRule="auto"/>
        <w:jc w:val="both"/>
      </w:pPr>
      <w:r>
        <w:rPr>
          <w:b/>
          <w:bCs/>
          <w:color w:val="C47B0B"/>
          <w:sz w:val="22"/>
          <w:szCs w:val="22"/>
        </w:rPr>
        <w:t xml:space="preserve">Understand. </w:t>
      </w:r>
      <w:r>
        <w:rPr>
          <w:sz w:val="22"/>
          <w:szCs w:val="22"/>
        </w:rPr>
        <w:t>Explain how and why something works, and distinguish between things.</w:t>
      </w:r>
    </w:p>
    <w:p w14:paraId="69B16DA6" w14:textId="77777777" w:rsidR="000E21C0" w:rsidRDefault="00961F68">
      <w:pPr>
        <w:pStyle w:val="ListParagraph"/>
        <w:numPr>
          <w:ilvl w:val="0"/>
          <w:numId w:val="2"/>
        </w:numPr>
        <w:spacing w:after="70" w:line="330" w:lineRule="auto"/>
        <w:jc w:val="both"/>
      </w:pPr>
      <w:r>
        <w:rPr>
          <w:b/>
          <w:bCs/>
          <w:color w:val="C47B0B"/>
          <w:sz w:val="22"/>
          <w:szCs w:val="22"/>
        </w:rPr>
        <w:t xml:space="preserve">Apply and evaluate. </w:t>
      </w:r>
      <w:r>
        <w:rPr>
          <w:sz w:val="22"/>
          <w:szCs w:val="22"/>
        </w:rPr>
        <w:t>Use knowledge in a real situation, analyse it, and reach a defensible judgement.</w:t>
      </w:r>
    </w:p>
    <w:p w14:paraId="56C873BD" w14:textId="77777777" w:rsidR="000E21C0" w:rsidRDefault="00961F68">
      <w:pPr>
        <w:pStyle w:val="Heading2"/>
        <w:spacing w:before="270" w:after="110"/>
      </w:pPr>
      <w:r>
        <w:t>1.4  Weighting and the pass standard</w:t>
      </w:r>
    </w:p>
    <w:p w14:paraId="630CEBDB" w14:textId="77777777" w:rsidR="000E21C0" w:rsidRDefault="00961F68">
      <w:pPr>
        <w:spacing w:after="160" w:line="348" w:lineRule="auto"/>
        <w:jc w:val="both"/>
      </w:pPr>
      <w:r>
        <w:t xml:space="preserve">Each paper carries a weighting across its modules, shown at the head of Parts Three and Four. The pass mark for each written paper is fifty per cent, and the competency </w:t>
      </w:r>
      <w:r>
        <w:lastRenderedPageBreak/>
        <w:t>assessment must be passed on its own terms. A candidate must pass all three, and the shared foundation before them, to be certified. The detail of examination format, resits, and time limits is in the Credential Specification and is not repeated here.</w:t>
      </w:r>
    </w:p>
    <w:p w14:paraId="01C1145E" w14:textId="77777777" w:rsidR="000E21C0" w:rsidRDefault="00961F68">
      <w:r>
        <w:br w:type="page"/>
      </w:r>
    </w:p>
    <w:p w14:paraId="67370B86" w14:textId="77777777" w:rsidR="000E21C0" w:rsidRDefault="00961F68">
      <w:pPr>
        <w:pStyle w:val="Heading1"/>
        <w:spacing w:before="300" w:after="150"/>
      </w:pPr>
      <w:r>
        <w:lastRenderedPageBreak/>
        <w:t>Part Two  |  The Shared Foundation</w:t>
      </w:r>
    </w:p>
    <w:p w14:paraId="45C2086C" w14:textId="77777777" w:rsidR="000E21C0" w:rsidRDefault="000E21C0">
      <w:pPr>
        <w:pBdr>
          <w:bottom w:val="single" w:sz="8" w:space="1" w:color="C47B0B"/>
        </w:pBdr>
        <w:spacing w:before="60" w:after="160"/>
      </w:pPr>
    </w:p>
    <w:p w14:paraId="3FC9E190" w14:textId="77777777" w:rsidR="000E21C0" w:rsidRDefault="00961F68">
      <w:pPr>
        <w:spacing w:after="160" w:line="348" w:lineRule="auto"/>
        <w:jc w:val="both"/>
      </w:pPr>
      <w:r>
        <w:t>Before reaching these papers, every candidate passes the shared foundation on which all designations of the Institute rest. It is set out in full in the Credential Specification and is a prerequisite for everything here. It is named so the whole path is visible in one place.</w:t>
      </w:r>
    </w:p>
    <w:p w14:paraId="3EDF3258" w14:textId="77777777" w:rsidR="000E21C0" w:rsidRDefault="00961F68">
      <w:pPr>
        <w:pStyle w:val="ListParagraph"/>
        <w:numPr>
          <w:ilvl w:val="0"/>
          <w:numId w:val="2"/>
        </w:numPr>
        <w:spacing w:after="70" w:line="330" w:lineRule="auto"/>
        <w:jc w:val="both"/>
      </w:pPr>
      <w:r>
        <w:rPr>
          <w:b/>
          <w:bCs/>
          <w:color w:val="C47B0B"/>
          <w:sz w:val="22"/>
          <w:szCs w:val="22"/>
        </w:rPr>
        <w:t xml:space="preserve">Principles of Project Delivery. </w:t>
      </w:r>
      <w:r>
        <w:rPr>
          <w:sz w:val="22"/>
          <w:szCs w:val="22"/>
        </w:rPr>
        <w:t>The lifecycle, governance, financing, procurement, and controls of projects, with attention to African delivery conditions.</w:t>
      </w:r>
    </w:p>
    <w:p w14:paraId="139B3C6D" w14:textId="77777777" w:rsidR="000E21C0" w:rsidRDefault="00961F68">
      <w:pPr>
        <w:pStyle w:val="ListParagraph"/>
        <w:numPr>
          <w:ilvl w:val="0"/>
          <w:numId w:val="2"/>
        </w:numPr>
        <w:spacing w:after="70" w:line="330" w:lineRule="auto"/>
        <w:jc w:val="both"/>
      </w:pPr>
      <w:r>
        <w:rPr>
          <w:b/>
          <w:bCs/>
          <w:color w:val="C47B0B"/>
          <w:sz w:val="22"/>
          <w:szCs w:val="22"/>
        </w:rPr>
        <w:t xml:space="preserve">Evidence and Method. </w:t>
      </w:r>
      <w:r>
        <w:rPr>
          <w:sz w:val="22"/>
          <w:szCs w:val="22"/>
        </w:rPr>
        <w:t>Gathering, handling, and weighing evidence to a standard that withstands scrutiny.</w:t>
      </w:r>
    </w:p>
    <w:p w14:paraId="4569EF00" w14:textId="77777777" w:rsidR="000E21C0" w:rsidRDefault="00961F68">
      <w:pPr>
        <w:pStyle w:val="ListParagraph"/>
        <w:numPr>
          <w:ilvl w:val="0"/>
          <w:numId w:val="2"/>
        </w:numPr>
        <w:spacing w:after="70" w:line="330" w:lineRule="auto"/>
        <w:jc w:val="both"/>
      </w:pPr>
      <w:r>
        <w:rPr>
          <w:b/>
          <w:bCs/>
          <w:color w:val="C47B0B"/>
          <w:sz w:val="22"/>
          <w:szCs w:val="22"/>
        </w:rPr>
        <w:t xml:space="preserve">Professional Ethics and Independence. </w:t>
      </w:r>
      <w:r>
        <w:rPr>
          <w:sz w:val="22"/>
          <w:szCs w:val="22"/>
        </w:rPr>
        <w:t>The code of conduct, the duties of independence and public interest, and the delivery-scrutiny separation. Mandatory, and never waived.</w:t>
      </w:r>
    </w:p>
    <w:p w14:paraId="0C029ED5" w14:textId="77777777" w:rsidR="000E21C0" w:rsidRDefault="00961F68">
      <w:pPr>
        <w:spacing w:after="160" w:line="348" w:lineRule="auto"/>
        <w:jc w:val="both"/>
      </w:pPr>
      <w:r>
        <w:t>The foundation matters especially here, because forensic investigation rests on independence and evidence above all. This syllabus assumes it throughout.</w:t>
      </w:r>
    </w:p>
    <w:p w14:paraId="5B93FDF6" w14:textId="77777777" w:rsidR="000E21C0" w:rsidRDefault="00961F68">
      <w:r>
        <w:br w:type="page"/>
      </w:r>
    </w:p>
    <w:p w14:paraId="5782A321" w14:textId="77777777" w:rsidR="000E21C0" w:rsidRDefault="00961F68">
      <w:pPr>
        <w:pStyle w:val="Heading1"/>
        <w:spacing w:before="300" w:after="150"/>
      </w:pPr>
      <w:r>
        <w:lastRenderedPageBreak/>
        <w:t>Part Three  |  Paper P1: Forensic Investigation and Analysis</w:t>
      </w:r>
    </w:p>
    <w:p w14:paraId="49B8FDE2" w14:textId="77777777" w:rsidR="000E21C0" w:rsidRDefault="000E21C0">
      <w:pPr>
        <w:pBdr>
          <w:bottom w:val="single" w:sz="8" w:space="1" w:color="C47B0B"/>
        </w:pBdr>
        <w:spacing w:before="60" w:after="160"/>
      </w:pPr>
    </w:p>
    <w:p w14:paraId="58F09939" w14:textId="77777777" w:rsidR="000E21C0" w:rsidRDefault="00961F68">
      <w:pPr>
        <w:spacing w:after="160" w:line="348" w:lineRule="auto"/>
        <w:jc w:val="both"/>
      </w:pPr>
      <w:r>
        <w:t>The first paper tests the foundations of forensic work: the discipline and independence it demands, the analysis of why a project failed, the investigation of fraud and irregularity, and the handling of evidence so that findings will hold. The weighting across the paper is shown below.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6360"/>
        <w:gridCol w:w="1600"/>
      </w:tblGrid>
      <w:tr w:rsidR="000E21C0" w14:paraId="11720373" w14:textId="77777777">
        <w:tblPrEx>
          <w:tblCellMar>
            <w:top w:w="0" w:type="dxa"/>
            <w:bottom w:w="0" w:type="dxa"/>
          </w:tblCellMar>
        </w:tblPrEx>
        <w:trPr>
          <w:tblHeader/>
        </w:trPr>
        <w:tc>
          <w:tcPr>
            <w:tcW w:w="1400" w:type="dxa"/>
            <w:shd w:val="clear" w:color="auto" w:fill="1A5C2A"/>
            <w:tcMar>
              <w:top w:w="80" w:type="dxa"/>
              <w:left w:w="110" w:type="dxa"/>
              <w:bottom w:w="80" w:type="dxa"/>
              <w:right w:w="110" w:type="dxa"/>
            </w:tcMar>
          </w:tcPr>
          <w:p w14:paraId="2132FC8C" w14:textId="77777777" w:rsidR="000E21C0" w:rsidRDefault="00961F68">
            <w:r>
              <w:rPr>
                <w:b/>
                <w:bCs/>
                <w:color w:val="FFFFFF"/>
                <w:sz w:val="19"/>
                <w:szCs w:val="19"/>
              </w:rPr>
              <w:t>Module</w:t>
            </w:r>
          </w:p>
        </w:tc>
        <w:tc>
          <w:tcPr>
            <w:tcW w:w="6360" w:type="dxa"/>
            <w:shd w:val="clear" w:color="auto" w:fill="1A5C2A"/>
            <w:tcMar>
              <w:top w:w="80" w:type="dxa"/>
              <w:left w:w="110" w:type="dxa"/>
              <w:bottom w:w="80" w:type="dxa"/>
              <w:right w:w="110" w:type="dxa"/>
            </w:tcMar>
          </w:tcPr>
          <w:p w14:paraId="3C0F3C5C" w14:textId="77777777" w:rsidR="000E21C0" w:rsidRDefault="00961F68">
            <w:r>
              <w:rPr>
                <w:b/>
                <w:bCs/>
                <w:color w:val="FFFFFF"/>
                <w:sz w:val="19"/>
                <w:szCs w:val="19"/>
              </w:rPr>
              <w:t>Domain</w:t>
            </w:r>
          </w:p>
        </w:tc>
        <w:tc>
          <w:tcPr>
            <w:tcW w:w="1600" w:type="dxa"/>
            <w:shd w:val="clear" w:color="auto" w:fill="1A5C2A"/>
            <w:tcMar>
              <w:top w:w="80" w:type="dxa"/>
              <w:left w:w="110" w:type="dxa"/>
              <w:bottom w:w="80" w:type="dxa"/>
              <w:right w:w="110" w:type="dxa"/>
            </w:tcMar>
          </w:tcPr>
          <w:p w14:paraId="2F8B636C" w14:textId="77777777" w:rsidR="000E21C0" w:rsidRDefault="00961F68">
            <w:r>
              <w:rPr>
                <w:b/>
                <w:bCs/>
                <w:color w:val="FFFFFF"/>
                <w:sz w:val="19"/>
                <w:szCs w:val="19"/>
              </w:rPr>
              <w:t>Weight</w:t>
            </w:r>
          </w:p>
        </w:tc>
      </w:tr>
      <w:tr w:rsidR="000E21C0" w14:paraId="3A93DED1"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5DFB04C1" w14:textId="77777777" w:rsidR="000E21C0" w:rsidRDefault="00961F68">
            <w:pPr>
              <w:spacing w:line="262" w:lineRule="auto"/>
            </w:pPr>
            <w:r>
              <w:rPr>
                <w:b/>
                <w:bCs/>
                <w:sz w:val="18"/>
                <w:szCs w:val="18"/>
              </w:rPr>
              <w:t>P1.1</w:t>
            </w:r>
          </w:p>
        </w:tc>
        <w:tc>
          <w:tcPr>
            <w:tcW w:w="6360" w:type="dxa"/>
            <w:shd w:val="clear" w:color="auto" w:fill="EAF1EC"/>
            <w:tcMar>
              <w:top w:w="70" w:type="dxa"/>
              <w:left w:w="110" w:type="dxa"/>
              <w:bottom w:w="70" w:type="dxa"/>
              <w:right w:w="110" w:type="dxa"/>
            </w:tcMar>
          </w:tcPr>
          <w:p w14:paraId="01F23FE0" w14:textId="77777777" w:rsidR="000E21C0" w:rsidRDefault="00961F68">
            <w:pPr>
              <w:spacing w:line="262" w:lineRule="auto"/>
            </w:pPr>
            <w:r>
              <w:rPr>
                <w:sz w:val="18"/>
                <w:szCs w:val="18"/>
              </w:rPr>
              <w:t>Principles of forensic investigation</w:t>
            </w:r>
          </w:p>
        </w:tc>
        <w:tc>
          <w:tcPr>
            <w:tcW w:w="1600" w:type="dxa"/>
            <w:shd w:val="clear" w:color="auto" w:fill="EAF1EC"/>
            <w:tcMar>
              <w:top w:w="70" w:type="dxa"/>
              <w:left w:w="110" w:type="dxa"/>
              <w:bottom w:w="70" w:type="dxa"/>
              <w:right w:w="110" w:type="dxa"/>
            </w:tcMar>
          </w:tcPr>
          <w:p w14:paraId="45892D19" w14:textId="77777777" w:rsidR="000E21C0" w:rsidRDefault="00961F68">
            <w:pPr>
              <w:spacing w:line="262" w:lineRule="auto"/>
            </w:pPr>
            <w:r>
              <w:rPr>
                <w:sz w:val="18"/>
                <w:szCs w:val="18"/>
              </w:rPr>
              <w:t>24%</w:t>
            </w:r>
          </w:p>
        </w:tc>
      </w:tr>
      <w:tr w:rsidR="000E21C0" w14:paraId="27406B87"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55D7D463" w14:textId="77777777" w:rsidR="000E21C0" w:rsidRDefault="00961F68">
            <w:pPr>
              <w:spacing w:line="262" w:lineRule="auto"/>
            </w:pPr>
            <w:r>
              <w:rPr>
                <w:b/>
                <w:bCs/>
                <w:sz w:val="18"/>
                <w:szCs w:val="18"/>
              </w:rPr>
              <w:t>P1.2</w:t>
            </w:r>
          </w:p>
        </w:tc>
        <w:tc>
          <w:tcPr>
            <w:tcW w:w="6360" w:type="dxa"/>
            <w:shd w:val="clear" w:color="auto" w:fill="FFFFFF"/>
            <w:tcMar>
              <w:top w:w="70" w:type="dxa"/>
              <w:left w:w="110" w:type="dxa"/>
              <w:bottom w:w="70" w:type="dxa"/>
              <w:right w:w="110" w:type="dxa"/>
            </w:tcMar>
          </w:tcPr>
          <w:p w14:paraId="53FBB959" w14:textId="77777777" w:rsidR="000E21C0" w:rsidRDefault="00961F68">
            <w:pPr>
              <w:spacing w:line="262" w:lineRule="auto"/>
            </w:pPr>
            <w:r>
              <w:rPr>
                <w:sz w:val="18"/>
                <w:szCs w:val="18"/>
              </w:rPr>
              <w:t>Root-cause analysis of project failure</w:t>
            </w:r>
          </w:p>
        </w:tc>
        <w:tc>
          <w:tcPr>
            <w:tcW w:w="1600" w:type="dxa"/>
            <w:shd w:val="clear" w:color="auto" w:fill="FFFFFF"/>
            <w:tcMar>
              <w:top w:w="70" w:type="dxa"/>
              <w:left w:w="110" w:type="dxa"/>
              <w:bottom w:w="70" w:type="dxa"/>
              <w:right w:w="110" w:type="dxa"/>
            </w:tcMar>
          </w:tcPr>
          <w:p w14:paraId="7B026DEF" w14:textId="77777777" w:rsidR="000E21C0" w:rsidRDefault="00961F68">
            <w:pPr>
              <w:spacing w:line="262" w:lineRule="auto"/>
            </w:pPr>
            <w:r>
              <w:rPr>
                <w:sz w:val="18"/>
                <w:szCs w:val="18"/>
              </w:rPr>
              <w:t>28%</w:t>
            </w:r>
          </w:p>
        </w:tc>
      </w:tr>
      <w:tr w:rsidR="000E21C0" w14:paraId="0AD692BE"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6D69DDB3" w14:textId="77777777" w:rsidR="000E21C0" w:rsidRDefault="00961F68">
            <w:pPr>
              <w:spacing w:line="262" w:lineRule="auto"/>
            </w:pPr>
            <w:r>
              <w:rPr>
                <w:b/>
                <w:bCs/>
                <w:sz w:val="18"/>
                <w:szCs w:val="18"/>
              </w:rPr>
              <w:t>P1.3</w:t>
            </w:r>
          </w:p>
        </w:tc>
        <w:tc>
          <w:tcPr>
            <w:tcW w:w="6360" w:type="dxa"/>
            <w:shd w:val="clear" w:color="auto" w:fill="EAF1EC"/>
            <w:tcMar>
              <w:top w:w="70" w:type="dxa"/>
              <w:left w:w="110" w:type="dxa"/>
              <w:bottom w:w="70" w:type="dxa"/>
              <w:right w:w="110" w:type="dxa"/>
            </w:tcMar>
          </w:tcPr>
          <w:p w14:paraId="116B1D0F" w14:textId="77777777" w:rsidR="000E21C0" w:rsidRDefault="00961F68">
            <w:pPr>
              <w:spacing w:line="262" w:lineRule="auto"/>
            </w:pPr>
            <w:r>
              <w:rPr>
                <w:sz w:val="18"/>
                <w:szCs w:val="18"/>
              </w:rPr>
              <w:t>Investigation of fraud and irregularity</w:t>
            </w:r>
          </w:p>
        </w:tc>
        <w:tc>
          <w:tcPr>
            <w:tcW w:w="1600" w:type="dxa"/>
            <w:shd w:val="clear" w:color="auto" w:fill="EAF1EC"/>
            <w:tcMar>
              <w:top w:w="70" w:type="dxa"/>
              <w:left w:w="110" w:type="dxa"/>
              <w:bottom w:w="70" w:type="dxa"/>
              <w:right w:w="110" w:type="dxa"/>
            </w:tcMar>
          </w:tcPr>
          <w:p w14:paraId="554673D5" w14:textId="77777777" w:rsidR="000E21C0" w:rsidRDefault="00961F68">
            <w:pPr>
              <w:spacing w:line="262" w:lineRule="auto"/>
            </w:pPr>
            <w:r>
              <w:rPr>
                <w:sz w:val="18"/>
                <w:szCs w:val="18"/>
              </w:rPr>
              <w:t>24%</w:t>
            </w:r>
          </w:p>
        </w:tc>
      </w:tr>
      <w:tr w:rsidR="000E21C0" w14:paraId="6F908197"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64C826C3" w14:textId="77777777" w:rsidR="000E21C0" w:rsidRDefault="00961F68">
            <w:pPr>
              <w:spacing w:line="262" w:lineRule="auto"/>
            </w:pPr>
            <w:r>
              <w:rPr>
                <w:b/>
                <w:bCs/>
                <w:sz w:val="18"/>
                <w:szCs w:val="18"/>
              </w:rPr>
              <w:t>P1.4</w:t>
            </w:r>
          </w:p>
        </w:tc>
        <w:tc>
          <w:tcPr>
            <w:tcW w:w="6360" w:type="dxa"/>
            <w:shd w:val="clear" w:color="auto" w:fill="FFFFFF"/>
            <w:tcMar>
              <w:top w:w="70" w:type="dxa"/>
              <w:left w:w="110" w:type="dxa"/>
              <w:bottom w:w="70" w:type="dxa"/>
              <w:right w:w="110" w:type="dxa"/>
            </w:tcMar>
          </w:tcPr>
          <w:p w14:paraId="6D83F954" w14:textId="77777777" w:rsidR="000E21C0" w:rsidRDefault="00961F68">
            <w:pPr>
              <w:spacing w:line="262" w:lineRule="auto"/>
            </w:pPr>
            <w:r>
              <w:rPr>
                <w:sz w:val="18"/>
                <w:szCs w:val="18"/>
              </w:rPr>
              <w:t>Evidence, documentation, and chain of custody</w:t>
            </w:r>
          </w:p>
        </w:tc>
        <w:tc>
          <w:tcPr>
            <w:tcW w:w="1600" w:type="dxa"/>
            <w:shd w:val="clear" w:color="auto" w:fill="FFFFFF"/>
            <w:tcMar>
              <w:top w:w="70" w:type="dxa"/>
              <w:left w:w="110" w:type="dxa"/>
              <w:bottom w:w="70" w:type="dxa"/>
              <w:right w:w="110" w:type="dxa"/>
            </w:tcMar>
          </w:tcPr>
          <w:p w14:paraId="7B00FA55" w14:textId="77777777" w:rsidR="000E21C0" w:rsidRDefault="00961F68">
            <w:pPr>
              <w:spacing w:line="262" w:lineRule="auto"/>
            </w:pPr>
            <w:r>
              <w:rPr>
                <w:sz w:val="18"/>
                <w:szCs w:val="18"/>
              </w:rPr>
              <w:t>24%</w:t>
            </w:r>
          </w:p>
        </w:tc>
      </w:tr>
    </w:tbl>
    <w:p w14:paraId="15C881A8" w14:textId="77777777" w:rsidR="000E21C0" w:rsidRDefault="000E21C0">
      <w:pPr>
        <w:spacing w:after="40"/>
      </w:pPr>
    </w:p>
    <w:p w14:paraId="4822D0FD" w14:textId="77777777" w:rsidR="000E21C0" w:rsidRDefault="00961F68">
      <w:pPr>
        <w:pStyle w:val="Heading3"/>
        <w:spacing w:before="220" w:after="70"/>
      </w:pPr>
      <w:r>
        <w:t>P1.1  Principles of forensic investigation</w:t>
      </w:r>
    </w:p>
    <w:p w14:paraId="7AB85445" w14:textId="77777777" w:rsidR="000E21C0" w:rsidRDefault="00961F68">
      <w:pPr>
        <w:spacing w:before="60" w:after="30"/>
      </w:pPr>
      <w:r>
        <w:rPr>
          <w:b/>
          <w:bCs/>
          <w:color w:val="C47B0B"/>
          <w:spacing w:val="24"/>
          <w:sz w:val="16"/>
          <w:szCs w:val="16"/>
        </w:rPr>
        <w:t>AIM</w:t>
      </w:r>
    </w:p>
    <w:p w14:paraId="0C85DD85" w14:textId="77777777" w:rsidR="000E21C0" w:rsidRDefault="00961F68">
      <w:pPr>
        <w:spacing w:after="80" w:line="340" w:lineRule="auto"/>
        <w:jc w:val="both"/>
      </w:pPr>
      <w:r>
        <w:rPr>
          <w:sz w:val="23"/>
          <w:szCs w:val="23"/>
        </w:rPr>
        <w:t>To understand the purpose, discipline, and independence of forensic investigation, and the standard to which it is held.</w:t>
      </w:r>
    </w:p>
    <w:p w14:paraId="068FF3F0" w14:textId="77777777" w:rsidR="000E21C0" w:rsidRDefault="00961F68">
      <w:pPr>
        <w:spacing w:before="60" w:after="30"/>
      </w:pPr>
      <w:r>
        <w:rPr>
          <w:b/>
          <w:bCs/>
          <w:color w:val="C47B0B"/>
          <w:spacing w:val="24"/>
          <w:sz w:val="16"/>
          <w:szCs w:val="16"/>
        </w:rPr>
        <w:t>LEARNING OUTCOMES: THE CANDIDATE IS ABLE TO</w:t>
      </w:r>
    </w:p>
    <w:p w14:paraId="5B8DEFA4" w14:textId="77777777" w:rsidR="000E21C0" w:rsidRDefault="00961F68">
      <w:pPr>
        <w:pStyle w:val="ListParagraph"/>
        <w:numPr>
          <w:ilvl w:val="0"/>
          <w:numId w:val="2"/>
        </w:numPr>
        <w:spacing w:after="70" w:line="330" w:lineRule="auto"/>
        <w:jc w:val="both"/>
      </w:pPr>
      <w:r>
        <w:rPr>
          <w:sz w:val="22"/>
          <w:szCs w:val="22"/>
        </w:rPr>
        <w:t>explain the purpose of forensic investigation and the standard it must meet;</w:t>
      </w:r>
    </w:p>
    <w:p w14:paraId="6F2F3BEB" w14:textId="77777777" w:rsidR="000E21C0" w:rsidRDefault="00961F68">
      <w:pPr>
        <w:pStyle w:val="ListParagraph"/>
        <w:numPr>
          <w:ilvl w:val="0"/>
          <w:numId w:val="2"/>
        </w:numPr>
        <w:spacing w:after="70" w:line="330" w:lineRule="auto"/>
        <w:jc w:val="both"/>
      </w:pPr>
      <w:r>
        <w:rPr>
          <w:sz w:val="22"/>
          <w:szCs w:val="22"/>
        </w:rPr>
        <w:t>distinguish forensic investigation from assurance, audit, and management review;</w:t>
      </w:r>
    </w:p>
    <w:p w14:paraId="021AA24E" w14:textId="77777777" w:rsidR="000E21C0" w:rsidRDefault="00961F68">
      <w:pPr>
        <w:pStyle w:val="ListParagraph"/>
        <w:numPr>
          <w:ilvl w:val="0"/>
          <w:numId w:val="2"/>
        </w:numPr>
        <w:spacing w:after="70" w:line="330" w:lineRule="auto"/>
        <w:jc w:val="both"/>
      </w:pPr>
      <w:r>
        <w:rPr>
          <w:sz w:val="22"/>
          <w:szCs w:val="22"/>
        </w:rPr>
        <w:t>explain why independence and evidentiary rigour are fundamental;</w:t>
      </w:r>
    </w:p>
    <w:p w14:paraId="52D14E98" w14:textId="77777777" w:rsidR="000E21C0" w:rsidRDefault="00961F68">
      <w:pPr>
        <w:pStyle w:val="ListParagraph"/>
        <w:numPr>
          <w:ilvl w:val="0"/>
          <w:numId w:val="2"/>
        </w:numPr>
        <w:spacing w:after="70" w:line="330" w:lineRule="auto"/>
        <w:jc w:val="both"/>
      </w:pPr>
      <w:r>
        <w:rPr>
          <w:sz w:val="22"/>
          <w:szCs w:val="22"/>
        </w:rPr>
        <w:t>apply the duties of objectivity to an investigation.</w:t>
      </w:r>
    </w:p>
    <w:p w14:paraId="42C10945" w14:textId="77777777" w:rsidR="000E21C0" w:rsidRDefault="00961F68">
      <w:pPr>
        <w:spacing w:before="60" w:after="30"/>
      </w:pPr>
      <w:r>
        <w:rPr>
          <w:b/>
          <w:bCs/>
          <w:color w:val="C47B0B"/>
          <w:spacing w:val="24"/>
          <w:sz w:val="16"/>
          <w:szCs w:val="16"/>
        </w:rPr>
        <w:t>INDICATIVE CONTENT</w:t>
      </w:r>
    </w:p>
    <w:p w14:paraId="028D63B4" w14:textId="77777777" w:rsidR="000E21C0" w:rsidRDefault="00961F68">
      <w:pPr>
        <w:pStyle w:val="ListParagraph"/>
        <w:numPr>
          <w:ilvl w:val="0"/>
          <w:numId w:val="2"/>
        </w:numPr>
        <w:spacing w:after="70" w:line="330" w:lineRule="auto"/>
        <w:jc w:val="both"/>
      </w:pPr>
      <w:r>
        <w:rPr>
          <w:sz w:val="22"/>
          <w:szCs w:val="22"/>
        </w:rPr>
        <w:t>the nature and purpose of forensic work;</w:t>
      </w:r>
    </w:p>
    <w:p w14:paraId="05369662" w14:textId="77777777" w:rsidR="000E21C0" w:rsidRDefault="00961F68">
      <w:pPr>
        <w:pStyle w:val="ListParagraph"/>
        <w:numPr>
          <w:ilvl w:val="0"/>
          <w:numId w:val="2"/>
        </w:numPr>
        <w:spacing w:after="70" w:line="330" w:lineRule="auto"/>
        <w:jc w:val="both"/>
      </w:pPr>
      <w:r>
        <w:rPr>
          <w:sz w:val="22"/>
          <w:szCs w:val="22"/>
        </w:rPr>
        <w:t>the evidentiary standard; surviving scrutiny;</w:t>
      </w:r>
    </w:p>
    <w:p w14:paraId="1A33E49B" w14:textId="77777777" w:rsidR="000E21C0" w:rsidRDefault="00961F68">
      <w:pPr>
        <w:pStyle w:val="ListParagraph"/>
        <w:numPr>
          <w:ilvl w:val="0"/>
          <w:numId w:val="2"/>
        </w:numPr>
        <w:spacing w:after="70" w:line="330" w:lineRule="auto"/>
        <w:jc w:val="both"/>
      </w:pPr>
      <w:r>
        <w:rPr>
          <w:sz w:val="22"/>
          <w:szCs w:val="22"/>
        </w:rPr>
        <w:t>independence and objectivity;</w:t>
      </w:r>
    </w:p>
    <w:p w14:paraId="53D5BEDA" w14:textId="77777777" w:rsidR="000E21C0" w:rsidRDefault="00961F68">
      <w:pPr>
        <w:pStyle w:val="ListParagraph"/>
        <w:numPr>
          <w:ilvl w:val="0"/>
          <w:numId w:val="2"/>
        </w:numPr>
        <w:spacing w:after="70" w:line="330" w:lineRule="auto"/>
        <w:jc w:val="both"/>
      </w:pPr>
      <w:r>
        <w:rPr>
          <w:sz w:val="22"/>
          <w:szCs w:val="22"/>
        </w:rPr>
        <w:t>the forensic examiner’s duties.</w:t>
      </w:r>
    </w:p>
    <w:p w14:paraId="4A0796C3" w14:textId="77777777" w:rsidR="000E21C0" w:rsidRDefault="00961F68">
      <w:pPr>
        <w:spacing w:before="60" w:after="30"/>
      </w:pPr>
      <w:r>
        <w:rPr>
          <w:b/>
          <w:bCs/>
          <w:color w:val="C47B0B"/>
          <w:spacing w:val="24"/>
          <w:sz w:val="16"/>
          <w:szCs w:val="16"/>
        </w:rPr>
        <w:t>IN THE AFRICAN CONTEXT</w:t>
      </w:r>
    </w:p>
    <w:p w14:paraId="202F85AB" w14:textId="77777777" w:rsidR="000E21C0" w:rsidRDefault="00961F68">
      <w:pPr>
        <w:spacing w:after="120" w:line="340" w:lineRule="auto"/>
        <w:jc w:val="both"/>
      </w:pPr>
      <w:r>
        <w:rPr>
          <w:i/>
          <w:iCs/>
          <w:color w:val="4D4D4D"/>
          <w:sz w:val="22"/>
          <w:szCs w:val="22"/>
        </w:rPr>
        <w:t>Forensic work in Africa often takes place where records are incomplete and interests are contested, so the discipline of building only what the evidence supports matters all the more.</w:t>
      </w:r>
    </w:p>
    <w:p w14:paraId="5A27A7E4" w14:textId="77777777" w:rsidR="000E21C0" w:rsidRDefault="00961F68">
      <w:pPr>
        <w:pStyle w:val="Heading3"/>
        <w:spacing w:before="220" w:after="70"/>
      </w:pPr>
      <w:r>
        <w:t>P1.2  Root-cause analysis of project failure</w:t>
      </w:r>
    </w:p>
    <w:p w14:paraId="3E60CD90" w14:textId="77777777" w:rsidR="000E21C0" w:rsidRDefault="00961F68">
      <w:pPr>
        <w:spacing w:before="60" w:after="30"/>
      </w:pPr>
      <w:r>
        <w:rPr>
          <w:b/>
          <w:bCs/>
          <w:color w:val="C47B0B"/>
          <w:spacing w:val="24"/>
          <w:sz w:val="16"/>
          <w:szCs w:val="16"/>
        </w:rPr>
        <w:t>AIM</w:t>
      </w:r>
    </w:p>
    <w:p w14:paraId="22BAF132" w14:textId="77777777" w:rsidR="000E21C0" w:rsidRDefault="00961F68">
      <w:pPr>
        <w:spacing w:after="80" w:line="340" w:lineRule="auto"/>
        <w:jc w:val="both"/>
      </w:pPr>
      <w:r>
        <w:rPr>
          <w:sz w:val="23"/>
          <w:szCs w:val="23"/>
        </w:rPr>
        <w:t>To establish why a project failed, distinguishing cause from symptom and coincidence.</w:t>
      </w:r>
    </w:p>
    <w:p w14:paraId="78C3C382" w14:textId="77777777" w:rsidR="000E21C0" w:rsidRDefault="00961F68">
      <w:pPr>
        <w:spacing w:before="60" w:after="30"/>
      </w:pPr>
      <w:r>
        <w:rPr>
          <w:b/>
          <w:bCs/>
          <w:color w:val="C47B0B"/>
          <w:spacing w:val="24"/>
          <w:sz w:val="16"/>
          <w:szCs w:val="16"/>
        </w:rPr>
        <w:t>LEARNING OUTCOMES: THE CANDIDATE IS ABLE TO</w:t>
      </w:r>
    </w:p>
    <w:p w14:paraId="093042D9" w14:textId="77777777" w:rsidR="000E21C0" w:rsidRDefault="00961F68">
      <w:pPr>
        <w:pStyle w:val="ListParagraph"/>
        <w:numPr>
          <w:ilvl w:val="0"/>
          <w:numId w:val="2"/>
        </w:numPr>
        <w:spacing w:after="70" w:line="330" w:lineRule="auto"/>
        <w:jc w:val="both"/>
      </w:pPr>
      <w:r>
        <w:rPr>
          <w:sz w:val="22"/>
          <w:szCs w:val="22"/>
        </w:rPr>
        <w:t>investigate and establish the root causes of project failure, delay, or overrun;</w:t>
      </w:r>
    </w:p>
    <w:p w14:paraId="1B81329C" w14:textId="77777777" w:rsidR="000E21C0" w:rsidRDefault="00961F68">
      <w:pPr>
        <w:pStyle w:val="ListParagraph"/>
        <w:numPr>
          <w:ilvl w:val="0"/>
          <w:numId w:val="2"/>
        </w:numPr>
        <w:spacing w:after="70" w:line="330" w:lineRule="auto"/>
        <w:jc w:val="both"/>
      </w:pPr>
      <w:r>
        <w:rPr>
          <w:sz w:val="22"/>
          <w:szCs w:val="22"/>
        </w:rPr>
        <w:t>distinguish cause from symptom, correlation, and coincidence;</w:t>
      </w:r>
    </w:p>
    <w:p w14:paraId="467F51DB" w14:textId="77777777" w:rsidR="000E21C0" w:rsidRDefault="00961F68">
      <w:pPr>
        <w:pStyle w:val="ListParagraph"/>
        <w:numPr>
          <w:ilvl w:val="0"/>
          <w:numId w:val="2"/>
        </w:numPr>
        <w:spacing w:after="70" w:line="330" w:lineRule="auto"/>
        <w:jc w:val="both"/>
      </w:pPr>
      <w:r>
        <w:rPr>
          <w:sz w:val="22"/>
          <w:szCs w:val="22"/>
        </w:rPr>
        <w:t>construct a defensible causal account supported by evidence;</w:t>
      </w:r>
    </w:p>
    <w:p w14:paraId="1D740777" w14:textId="77777777" w:rsidR="000E21C0" w:rsidRDefault="00961F68">
      <w:pPr>
        <w:pStyle w:val="ListParagraph"/>
        <w:numPr>
          <w:ilvl w:val="0"/>
          <w:numId w:val="2"/>
        </w:numPr>
        <w:spacing w:after="70" w:line="330" w:lineRule="auto"/>
        <w:jc w:val="both"/>
      </w:pPr>
      <w:r>
        <w:rPr>
          <w:sz w:val="22"/>
          <w:szCs w:val="22"/>
        </w:rPr>
        <w:lastRenderedPageBreak/>
        <w:t>present findings on causation clearly and without overreach.</w:t>
      </w:r>
    </w:p>
    <w:p w14:paraId="074F2FF5" w14:textId="77777777" w:rsidR="000E21C0" w:rsidRDefault="00961F68">
      <w:pPr>
        <w:spacing w:before="60" w:after="30"/>
      </w:pPr>
      <w:r>
        <w:rPr>
          <w:b/>
          <w:bCs/>
          <w:color w:val="C47B0B"/>
          <w:spacing w:val="24"/>
          <w:sz w:val="16"/>
          <w:szCs w:val="16"/>
        </w:rPr>
        <w:t>INDICATIVE CONTENT</w:t>
      </w:r>
    </w:p>
    <w:p w14:paraId="03EF87AD" w14:textId="77777777" w:rsidR="000E21C0" w:rsidRDefault="00961F68">
      <w:pPr>
        <w:pStyle w:val="ListParagraph"/>
        <w:numPr>
          <w:ilvl w:val="0"/>
          <w:numId w:val="2"/>
        </w:numPr>
        <w:spacing w:after="70" w:line="330" w:lineRule="auto"/>
        <w:jc w:val="both"/>
      </w:pPr>
      <w:r>
        <w:rPr>
          <w:sz w:val="22"/>
          <w:szCs w:val="22"/>
        </w:rPr>
        <w:t>root-cause analysis techniques;</w:t>
      </w:r>
    </w:p>
    <w:p w14:paraId="173497C5" w14:textId="77777777" w:rsidR="000E21C0" w:rsidRDefault="00961F68">
      <w:pPr>
        <w:pStyle w:val="ListParagraph"/>
        <w:numPr>
          <w:ilvl w:val="0"/>
          <w:numId w:val="2"/>
        </w:numPr>
        <w:spacing w:after="70" w:line="330" w:lineRule="auto"/>
        <w:jc w:val="both"/>
      </w:pPr>
      <w:r>
        <w:rPr>
          <w:sz w:val="22"/>
          <w:szCs w:val="22"/>
        </w:rPr>
        <w:t>cause, symptom, and coincidence;</w:t>
      </w:r>
    </w:p>
    <w:p w14:paraId="57AF2294" w14:textId="77777777" w:rsidR="000E21C0" w:rsidRDefault="00961F68">
      <w:pPr>
        <w:pStyle w:val="ListParagraph"/>
        <w:numPr>
          <w:ilvl w:val="0"/>
          <w:numId w:val="2"/>
        </w:numPr>
        <w:spacing w:after="70" w:line="330" w:lineRule="auto"/>
        <w:jc w:val="both"/>
      </w:pPr>
      <w:r>
        <w:rPr>
          <w:sz w:val="22"/>
          <w:szCs w:val="22"/>
        </w:rPr>
        <w:t>causation and its evidence;</w:t>
      </w:r>
    </w:p>
    <w:p w14:paraId="74CE6293" w14:textId="77777777" w:rsidR="000E21C0" w:rsidRDefault="00961F68">
      <w:pPr>
        <w:pStyle w:val="ListParagraph"/>
        <w:numPr>
          <w:ilvl w:val="0"/>
          <w:numId w:val="2"/>
        </w:numPr>
        <w:spacing w:after="70" w:line="330" w:lineRule="auto"/>
        <w:jc w:val="both"/>
      </w:pPr>
      <w:r>
        <w:rPr>
          <w:sz w:val="22"/>
          <w:szCs w:val="22"/>
        </w:rPr>
        <w:t>avoiding overreach in causal claims.</w:t>
      </w:r>
    </w:p>
    <w:p w14:paraId="2CA8A74D" w14:textId="77777777" w:rsidR="000E21C0" w:rsidRDefault="00961F68">
      <w:pPr>
        <w:spacing w:before="60" w:after="30"/>
      </w:pPr>
      <w:r>
        <w:rPr>
          <w:b/>
          <w:bCs/>
          <w:color w:val="C47B0B"/>
          <w:spacing w:val="24"/>
          <w:sz w:val="16"/>
          <w:szCs w:val="16"/>
        </w:rPr>
        <w:t>IN THE AFRICAN CONTEXT</w:t>
      </w:r>
    </w:p>
    <w:p w14:paraId="5D26FF3A" w14:textId="77777777" w:rsidR="000E21C0" w:rsidRDefault="00961F68">
      <w:pPr>
        <w:spacing w:after="120" w:line="340" w:lineRule="auto"/>
        <w:jc w:val="both"/>
      </w:pPr>
      <w:r>
        <w:rPr>
          <w:i/>
          <w:iCs/>
          <w:color w:val="4D4D4D"/>
          <w:sz w:val="22"/>
          <w:szCs w:val="22"/>
        </w:rPr>
        <w:t>African project failure frequently has several intertwined causes, from funding to consent to capacity, and the examiner must untangle them honestly rather than settling on the easiest single explanation.</w:t>
      </w:r>
    </w:p>
    <w:p w14:paraId="3C1A2E22" w14:textId="77777777" w:rsidR="000E21C0" w:rsidRDefault="00961F68">
      <w:pPr>
        <w:pStyle w:val="Heading3"/>
        <w:spacing w:before="220" w:after="70"/>
      </w:pPr>
      <w:r>
        <w:t>P1.3  Investigation of fraud and irregularity</w:t>
      </w:r>
    </w:p>
    <w:p w14:paraId="5368B4ED" w14:textId="77777777" w:rsidR="000E21C0" w:rsidRDefault="00961F68">
      <w:pPr>
        <w:spacing w:before="60" w:after="30"/>
      </w:pPr>
      <w:r>
        <w:rPr>
          <w:b/>
          <w:bCs/>
          <w:color w:val="C47B0B"/>
          <w:spacing w:val="24"/>
          <w:sz w:val="16"/>
          <w:szCs w:val="16"/>
        </w:rPr>
        <w:t>AIM</w:t>
      </w:r>
    </w:p>
    <w:p w14:paraId="72F1DB7C" w14:textId="77777777" w:rsidR="000E21C0" w:rsidRDefault="00961F68">
      <w:pPr>
        <w:spacing w:after="80" w:line="340" w:lineRule="auto"/>
        <w:jc w:val="both"/>
      </w:pPr>
      <w:r>
        <w:rPr>
          <w:sz w:val="23"/>
          <w:szCs w:val="23"/>
        </w:rPr>
        <w:t>To examine procurement irregularity, fraud, and value leakage in project delivery.</w:t>
      </w:r>
    </w:p>
    <w:p w14:paraId="437E19C2" w14:textId="77777777" w:rsidR="000E21C0" w:rsidRDefault="00961F68">
      <w:pPr>
        <w:spacing w:before="60" w:after="30"/>
      </w:pPr>
      <w:r>
        <w:rPr>
          <w:b/>
          <w:bCs/>
          <w:color w:val="C47B0B"/>
          <w:spacing w:val="24"/>
          <w:sz w:val="16"/>
          <w:szCs w:val="16"/>
        </w:rPr>
        <w:t>LEARNING OUTCOMES: THE CANDIDATE IS ABLE TO</w:t>
      </w:r>
    </w:p>
    <w:p w14:paraId="57AF0F1A" w14:textId="77777777" w:rsidR="000E21C0" w:rsidRDefault="00961F68">
      <w:pPr>
        <w:pStyle w:val="ListParagraph"/>
        <w:numPr>
          <w:ilvl w:val="0"/>
          <w:numId w:val="2"/>
        </w:numPr>
        <w:spacing w:after="70" w:line="330" w:lineRule="auto"/>
        <w:jc w:val="both"/>
      </w:pPr>
      <w:r>
        <w:rPr>
          <w:sz w:val="22"/>
          <w:szCs w:val="22"/>
        </w:rPr>
        <w:t>plan and conduct an investigation into suspected fraud or irregularity;</w:t>
      </w:r>
    </w:p>
    <w:p w14:paraId="71E33A4D" w14:textId="77777777" w:rsidR="000E21C0" w:rsidRDefault="00961F68">
      <w:pPr>
        <w:pStyle w:val="ListParagraph"/>
        <w:numPr>
          <w:ilvl w:val="0"/>
          <w:numId w:val="2"/>
        </w:numPr>
        <w:spacing w:after="70" w:line="330" w:lineRule="auto"/>
        <w:jc w:val="both"/>
      </w:pPr>
      <w:r>
        <w:rPr>
          <w:sz w:val="22"/>
          <w:szCs w:val="22"/>
        </w:rPr>
        <w:t>identify and follow the indicators of fraud, collusion, and value leakage;</w:t>
      </w:r>
    </w:p>
    <w:p w14:paraId="35407E5B" w14:textId="77777777" w:rsidR="000E21C0" w:rsidRDefault="00961F68">
      <w:pPr>
        <w:pStyle w:val="ListParagraph"/>
        <w:numPr>
          <w:ilvl w:val="0"/>
          <w:numId w:val="2"/>
        </w:numPr>
        <w:spacing w:after="70" w:line="330" w:lineRule="auto"/>
        <w:jc w:val="both"/>
      </w:pPr>
      <w:r>
        <w:rPr>
          <w:sz w:val="22"/>
          <w:szCs w:val="22"/>
        </w:rPr>
        <w:t>gather and preserve evidence to an admissible standard;</w:t>
      </w:r>
    </w:p>
    <w:p w14:paraId="063C2F92" w14:textId="77777777" w:rsidR="000E21C0" w:rsidRDefault="00961F68">
      <w:pPr>
        <w:pStyle w:val="ListParagraph"/>
        <w:numPr>
          <w:ilvl w:val="0"/>
          <w:numId w:val="2"/>
        </w:numPr>
        <w:spacing w:after="70" w:line="330" w:lineRule="auto"/>
        <w:jc w:val="both"/>
      </w:pPr>
      <w:r>
        <w:rPr>
          <w:sz w:val="22"/>
          <w:szCs w:val="22"/>
        </w:rPr>
        <w:t>distinguish irregularity from error, and report proportionately.</w:t>
      </w:r>
    </w:p>
    <w:p w14:paraId="4DF9A498" w14:textId="77777777" w:rsidR="000E21C0" w:rsidRDefault="00961F68">
      <w:pPr>
        <w:spacing w:before="60" w:after="30"/>
      </w:pPr>
      <w:r>
        <w:rPr>
          <w:b/>
          <w:bCs/>
          <w:color w:val="C47B0B"/>
          <w:spacing w:val="24"/>
          <w:sz w:val="16"/>
          <w:szCs w:val="16"/>
        </w:rPr>
        <w:t>INDICATIVE CONTENT</w:t>
      </w:r>
    </w:p>
    <w:p w14:paraId="7D2C29AA" w14:textId="77777777" w:rsidR="000E21C0" w:rsidRDefault="00961F68">
      <w:pPr>
        <w:pStyle w:val="ListParagraph"/>
        <w:numPr>
          <w:ilvl w:val="0"/>
          <w:numId w:val="2"/>
        </w:numPr>
        <w:spacing w:after="70" w:line="330" w:lineRule="auto"/>
        <w:jc w:val="both"/>
      </w:pPr>
      <w:r>
        <w:rPr>
          <w:sz w:val="22"/>
          <w:szCs w:val="22"/>
        </w:rPr>
        <w:t>fraud and irregularity in project delivery;</w:t>
      </w:r>
    </w:p>
    <w:p w14:paraId="224765C8" w14:textId="77777777" w:rsidR="000E21C0" w:rsidRDefault="00961F68">
      <w:pPr>
        <w:pStyle w:val="ListParagraph"/>
        <w:numPr>
          <w:ilvl w:val="0"/>
          <w:numId w:val="2"/>
        </w:numPr>
        <w:spacing w:after="70" w:line="330" w:lineRule="auto"/>
        <w:jc w:val="both"/>
      </w:pPr>
      <w:r>
        <w:rPr>
          <w:sz w:val="22"/>
          <w:szCs w:val="22"/>
        </w:rPr>
        <w:t>indicators and red flags;</w:t>
      </w:r>
    </w:p>
    <w:p w14:paraId="2818696C" w14:textId="77777777" w:rsidR="000E21C0" w:rsidRDefault="00961F68">
      <w:pPr>
        <w:pStyle w:val="ListParagraph"/>
        <w:numPr>
          <w:ilvl w:val="0"/>
          <w:numId w:val="2"/>
        </w:numPr>
        <w:spacing w:after="70" w:line="330" w:lineRule="auto"/>
        <w:jc w:val="both"/>
      </w:pPr>
      <w:r>
        <w:rPr>
          <w:sz w:val="22"/>
          <w:szCs w:val="22"/>
        </w:rPr>
        <w:t>investigative technique and evidence;</w:t>
      </w:r>
    </w:p>
    <w:p w14:paraId="4B911DD0" w14:textId="77777777" w:rsidR="000E21C0" w:rsidRDefault="00961F68">
      <w:pPr>
        <w:pStyle w:val="ListParagraph"/>
        <w:numPr>
          <w:ilvl w:val="0"/>
          <w:numId w:val="2"/>
        </w:numPr>
        <w:spacing w:after="70" w:line="330" w:lineRule="auto"/>
        <w:jc w:val="both"/>
      </w:pPr>
      <w:r>
        <w:rPr>
          <w:sz w:val="22"/>
          <w:szCs w:val="22"/>
        </w:rPr>
        <w:t>distinguishing fraud from error.</w:t>
      </w:r>
    </w:p>
    <w:p w14:paraId="19319CA4" w14:textId="77777777" w:rsidR="000E21C0" w:rsidRDefault="00961F68">
      <w:pPr>
        <w:spacing w:before="60" w:after="30"/>
      </w:pPr>
      <w:r>
        <w:rPr>
          <w:b/>
          <w:bCs/>
          <w:color w:val="C47B0B"/>
          <w:spacing w:val="24"/>
          <w:sz w:val="16"/>
          <w:szCs w:val="16"/>
        </w:rPr>
        <w:t>IN THE AFRICAN CONTEXT</w:t>
      </w:r>
    </w:p>
    <w:p w14:paraId="1F52FE85" w14:textId="77777777" w:rsidR="000E21C0" w:rsidRDefault="00961F68">
      <w:pPr>
        <w:spacing w:after="120" w:line="340" w:lineRule="auto"/>
        <w:jc w:val="both"/>
      </w:pPr>
      <w:r>
        <w:rPr>
          <w:i/>
          <w:iCs/>
          <w:color w:val="4D4D4D"/>
          <w:sz w:val="22"/>
          <w:szCs w:val="22"/>
        </w:rPr>
        <w:t>Where value leakage is a real and recurring loss, its investigation must be rigorous and fair, careful to establish what the evidence shows rather than what suspicion assumes.</w:t>
      </w:r>
    </w:p>
    <w:p w14:paraId="4DFAFDF8" w14:textId="77777777" w:rsidR="000E21C0" w:rsidRDefault="00961F68">
      <w:pPr>
        <w:pStyle w:val="Heading3"/>
        <w:spacing w:before="220" w:after="70"/>
      </w:pPr>
      <w:r>
        <w:t>P1.4  Evidence, documentation, and chain of custody</w:t>
      </w:r>
    </w:p>
    <w:p w14:paraId="30EE0224" w14:textId="77777777" w:rsidR="000E21C0" w:rsidRDefault="00961F68">
      <w:pPr>
        <w:spacing w:before="60" w:after="30"/>
      </w:pPr>
      <w:r>
        <w:rPr>
          <w:b/>
          <w:bCs/>
          <w:color w:val="C47B0B"/>
          <w:spacing w:val="24"/>
          <w:sz w:val="16"/>
          <w:szCs w:val="16"/>
        </w:rPr>
        <w:t>AIM</w:t>
      </w:r>
    </w:p>
    <w:p w14:paraId="35D4D9E6" w14:textId="77777777" w:rsidR="000E21C0" w:rsidRDefault="00961F68">
      <w:pPr>
        <w:spacing w:after="80" w:line="340" w:lineRule="auto"/>
        <w:jc w:val="both"/>
      </w:pPr>
      <w:r>
        <w:rPr>
          <w:sz w:val="23"/>
          <w:szCs w:val="23"/>
        </w:rPr>
        <w:t>To handle evidence so that its integrity is preserved and its provenance can be shown.</w:t>
      </w:r>
    </w:p>
    <w:p w14:paraId="41B81696" w14:textId="77777777" w:rsidR="000E21C0" w:rsidRDefault="00961F68">
      <w:pPr>
        <w:spacing w:before="60" w:after="30"/>
      </w:pPr>
      <w:r>
        <w:rPr>
          <w:b/>
          <w:bCs/>
          <w:color w:val="C47B0B"/>
          <w:spacing w:val="24"/>
          <w:sz w:val="16"/>
          <w:szCs w:val="16"/>
        </w:rPr>
        <w:t>LEARNING OUTCOMES: THE CANDIDATE IS ABLE TO</w:t>
      </w:r>
    </w:p>
    <w:p w14:paraId="4E473DA7" w14:textId="77777777" w:rsidR="000E21C0" w:rsidRDefault="00961F68">
      <w:pPr>
        <w:pStyle w:val="ListParagraph"/>
        <w:numPr>
          <w:ilvl w:val="0"/>
          <w:numId w:val="2"/>
        </w:numPr>
        <w:spacing w:after="70" w:line="330" w:lineRule="auto"/>
        <w:jc w:val="both"/>
      </w:pPr>
      <w:r>
        <w:rPr>
          <w:sz w:val="22"/>
          <w:szCs w:val="22"/>
        </w:rPr>
        <w:t>gather, handle, and preserve documentary and other evidence;</w:t>
      </w:r>
    </w:p>
    <w:p w14:paraId="1E14FC3F" w14:textId="77777777" w:rsidR="000E21C0" w:rsidRDefault="00961F68">
      <w:pPr>
        <w:pStyle w:val="ListParagraph"/>
        <w:numPr>
          <w:ilvl w:val="0"/>
          <w:numId w:val="2"/>
        </w:numPr>
        <w:spacing w:after="70" w:line="330" w:lineRule="auto"/>
        <w:jc w:val="both"/>
      </w:pPr>
      <w:r>
        <w:rPr>
          <w:sz w:val="22"/>
          <w:szCs w:val="22"/>
        </w:rPr>
        <w:t>maintain a chain of custody that withstands challenge;</w:t>
      </w:r>
    </w:p>
    <w:p w14:paraId="261DC8CA" w14:textId="77777777" w:rsidR="000E21C0" w:rsidRDefault="00961F68">
      <w:pPr>
        <w:pStyle w:val="ListParagraph"/>
        <w:numPr>
          <w:ilvl w:val="0"/>
          <w:numId w:val="2"/>
        </w:numPr>
        <w:spacing w:after="70" w:line="330" w:lineRule="auto"/>
        <w:jc w:val="both"/>
      </w:pPr>
      <w:r>
        <w:rPr>
          <w:sz w:val="22"/>
          <w:szCs w:val="22"/>
        </w:rPr>
        <w:t>assess the reliability and admissibility of evidence;</w:t>
      </w:r>
    </w:p>
    <w:p w14:paraId="5FACC74C" w14:textId="77777777" w:rsidR="000E21C0" w:rsidRDefault="00961F68">
      <w:pPr>
        <w:pStyle w:val="ListParagraph"/>
        <w:numPr>
          <w:ilvl w:val="0"/>
          <w:numId w:val="2"/>
        </w:numPr>
        <w:spacing w:after="70" w:line="330" w:lineRule="auto"/>
        <w:jc w:val="both"/>
      </w:pPr>
      <w:r>
        <w:rPr>
          <w:sz w:val="22"/>
          <w:szCs w:val="22"/>
        </w:rPr>
        <w:t>organise evidence so that every finding can be traced to it.</w:t>
      </w:r>
    </w:p>
    <w:p w14:paraId="02668741" w14:textId="77777777" w:rsidR="000E21C0" w:rsidRDefault="00961F68">
      <w:pPr>
        <w:spacing w:before="60" w:after="30"/>
      </w:pPr>
      <w:r>
        <w:rPr>
          <w:b/>
          <w:bCs/>
          <w:color w:val="C47B0B"/>
          <w:spacing w:val="24"/>
          <w:sz w:val="16"/>
          <w:szCs w:val="16"/>
        </w:rPr>
        <w:t>INDICATIVE CONTENT</w:t>
      </w:r>
    </w:p>
    <w:p w14:paraId="325F7785" w14:textId="77777777" w:rsidR="000E21C0" w:rsidRDefault="00961F68">
      <w:pPr>
        <w:pStyle w:val="ListParagraph"/>
        <w:numPr>
          <w:ilvl w:val="0"/>
          <w:numId w:val="2"/>
        </w:numPr>
        <w:spacing w:after="70" w:line="330" w:lineRule="auto"/>
        <w:jc w:val="both"/>
      </w:pPr>
      <w:r>
        <w:rPr>
          <w:sz w:val="22"/>
          <w:szCs w:val="22"/>
        </w:rPr>
        <w:t>evidence types and sources;</w:t>
      </w:r>
    </w:p>
    <w:p w14:paraId="1378F7EC" w14:textId="77777777" w:rsidR="000E21C0" w:rsidRDefault="00961F68">
      <w:pPr>
        <w:pStyle w:val="ListParagraph"/>
        <w:numPr>
          <w:ilvl w:val="0"/>
          <w:numId w:val="2"/>
        </w:numPr>
        <w:spacing w:after="70" w:line="330" w:lineRule="auto"/>
        <w:jc w:val="both"/>
      </w:pPr>
      <w:r>
        <w:rPr>
          <w:sz w:val="22"/>
          <w:szCs w:val="22"/>
        </w:rPr>
        <w:t>handling, preservation, and chain of custody;</w:t>
      </w:r>
    </w:p>
    <w:p w14:paraId="22CBD19B" w14:textId="77777777" w:rsidR="000E21C0" w:rsidRDefault="00961F68">
      <w:pPr>
        <w:pStyle w:val="ListParagraph"/>
        <w:numPr>
          <w:ilvl w:val="0"/>
          <w:numId w:val="2"/>
        </w:numPr>
        <w:spacing w:after="70" w:line="330" w:lineRule="auto"/>
        <w:jc w:val="both"/>
      </w:pPr>
      <w:r>
        <w:rPr>
          <w:sz w:val="22"/>
          <w:szCs w:val="22"/>
        </w:rPr>
        <w:lastRenderedPageBreak/>
        <w:t>reliability and admissibility;</w:t>
      </w:r>
    </w:p>
    <w:p w14:paraId="0034FBFB" w14:textId="77777777" w:rsidR="000E21C0" w:rsidRDefault="00961F68">
      <w:pPr>
        <w:pStyle w:val="ListParagraph"/>
        <w:numPr>
          <w:ilvl w:val="0"/>
          <w:numId w:val="2"/>
        </w:numPr>
        <w:spacing w:after="70" w:line="330" w:lineRule="auto"/>
        <w:jc w:val="both"/>
      </w:pPr>
      <w:r>
        <w:rPr>
          <w:sz w:val="22"/>
          <w:szCs w:val="22"/>
        </w:rPr>
        <w:t>linking findings to evidence.</w:t>
      </w:r>
    </w:p>
    <w:p w14:paraId="0BB38967" w14:textId="77777777" w:rsidR="000E21C0" w:rsidRDefault="00961F68">
      <w:pPr>
        <w:spacing w:before="60" w:after="30"/>
      </w:pPr>
      <w:r>
        <w:rPr>
          <w:b/>
          <w:bCs/>
          <w:color w:val="C47B0B"/>
          <w:spacing w:val="24"/>
          <w:sz w:val="16"/>
          <w:szCs w:val="16"/>
        </w:rPr>
        <w:t>IN THE AFRICAN CONTEXT</w:t>
      </w:r>
    </w:p>
    <w:p w14:paraId="01AAF742" w14:textId="77777777" w:rsidR="000E21C0" w:rsidRDefault="00961F68">
      <w:pPr>
        <w:spacing w:after="120" w:line="340" w:lineRule="auto"/>
        <w:jc w:val="both"/>
      </w:pPr>
      <w:r>
        <w:rPr>
          <w:i/>
          <w:iCs/>
          <w:color w:val="4D4D4D"/>
          <w:sz w:val="22"/>
          <w:szCs w:val="22"/>
        </w:rPr>
        <w:t>Where records may be partial, informal, or disputed, disciplined evidence handling is what separates a finding that will hold from one that will not.</w:t>
      </w:r>
    </w:p>
    <w:p w14:paraId="16DC61BB" w14:textId="77777777" w:rsidR="000E21C0" w:rsidRDefault="00961F68">
      <w:r>
        <w:br w:type="page"/>
      </w:r>
    </w:p>
    <w:p w14:paraId="1F9E0773" w14:textId="77777777" w:rsidR="000E21C0" w:rsidRDefault="00961F68">
      <w:pPr>
        <w:pStyle w:val="Heading1"/>
        <w:spacing w:before="300" w:after="150"/>
      </w:pPr>
      <w:r>
        <w:lastRenderedPageBreak/>
        <w:t>Part Four  |  Paper P2: Delay, Quantum, and Expert Evidence</w:t>
      </w:r>
    </w:p>
    <w:p w14:paraId="0C909968" w14:textId="77777777" w:rsidR="000E21C0" w:rsidRDefault="000E21C0">
      <w:pPr>
        <w:pBdr>
          <w:bottom w:val="single" w:sz="8" w:space="1" w:color="C47B0B"/>
        </w:pBdr>
        <w:spacing w:before="60" w:after="160"/>
      </w:pPr>
    </w:p>
    <w:p w14:paraId="2259F38A" w14:textId="77777777" w:rsidR="000E21C0" w:rsidRDefault="00961F68">
      <w:pPr>
        <w:spacing w:after="160" w:line="348" w:lineRule="auto"/>
        <w:jc w:val="both"/>
      </w:pPr>
      <w:r>
        <w:t>The second paper tests the specialist analytical and evidential work of forensic practice: the analysis of delay, the quantification of loss, the giving of expert evidence, and the dispute-resolution forums this work serves. The weighting across the paper is shown below.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6360"/>
        <w:gridCol w:w="1600"/>
      </w:tblGrid>
      <w:tr w:rsidR="000E21C0" w14:paraId="47D11D3F" w14:textId="77777777">
        <w:tblPrEx>
          <w:tblCellMar>
            <w:top w:w="0" w:type="dxa"/>
            <w:bottom w:w="0" w:type="dxa"/>
          </w:tblCellMar>
        </w:tblPrEx>
        <w:trPr>
          <w:tblHeader/>
        </w:trPr>
        <w:tc>
          <w:tcPr>
            <w:tcW w:w="1400" w:type="dxa"/>
            <w:shd w:val="clear" w:color="auto" w:fill="1A5C2A"/>
            <w:tcMar>
              <w:top w:w="80" w:type="dxa"/>
              <w:left w:w="110" w:type="dxa"/>
              <w:bottom w:w="80" w:type="dxa"/>
              <w:right w:w="110" w:type="dxa"/>
            </w:tcMar>
          </w:tcPr>
          <w:p w14:paraId="6FE0B6EB" w14:textId="77777777" w:rsidR="000E21C0" w:rsidRDefault="00961F68">
            <w:r>
              <w:rPr>
                <w:b/>
                <w:bCs/>
                <w:color w:val="FFFFFF"/>
                <w:sz w:val="19"/>
                <w:szCs w:val="19"/>
              </w:rPr>
              <w:t>Module</w:t>
            </w:r>
          </w:p>
        </w:tc>
        <w:tc>
          <w:tcPr>
            <w:tcW w:w="6360" w:type="dxa"/>
            <w:shd w:val="clear" w:color="auto" w:fill="1A5C2A"/>
            <w:tcMar>
              <w:top w:w="80" w:type="dxa"/>
              <w:left w:w="110" w:type="dxa"/>
              <w:bottom w:w="80" w:type="dxa"/>
              <w:right w:w="110" w:type="dxa"/>
            </w:tcMar>
          </w:tcPr>
          <w:p w14:paraId="1AD641A5" w14:textId="77777777" w:rsidR="000E21C0" w:rsidRDefault="00961F68">
            <w:r>
              <w:rPr>
                <w:b/>
                <w:bCs/>
                <w:color w:val="FFFFFF"/>
                <w:sz w:val="19"/>
                <w:szCs w:val="19"/>
              </w:rPr>
              <w:t>Domain</w:t>
            </w:r>
          </w:p>
        </w:tc>
        <w:tc>
          <w:tcPr>
            <w:tcW w:w="1600" w:type="dxa"/>
            <w:shd w:val="clear" w:color="auto" w:fill="1A5C2A"/>
            <w:tcMar>
              <w:top w:w="80" w:type="dxa"/>
              <w:left w:w="110" w:type="dxa"/>
              <w:bottom w:w="80" w:type="dxa"/>
              <w:right w:w="110" w:type="dxa"/>
            </w:tcMar>
          </w:tcPr>
          <w:p w14:paraId="28A11C8D" w14:textId="77777777" w:rsidR="000E21C0" w:rsidRDefault="00961F68">
            <w:r>
              <w:rPr>
                <w:b/>
                <w:bCs/>
                <w:color w:val="FFFFFF"/>
                <w:sz w:val="19"/>
                <w:szCs w:val="19"/>
              </w:rPr>
              <w:t>Weight</w:t>
            </w:r>
          </w:p>
        </w:tc>
      </w:tr>
      <w:tr w:rsidR="000E21C0" w14:paraId="6E7E6D6B"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3C5BD36D" w14:textId="77777777" w:rsidR="000E21C0" w:rsidRDefault="00961F68">
            <w:pPr>
              <w:spacing w:line="262" w:lineRule="auto"/>
            </w:pPr>
            <w:r>
              <w:rPr>
                <w:b/>
                <w:bCs/>
                <w:sz w:val="18"/>
                <w:szCs w:val="18"/>
              </w:rPr>
              <w:t>P2.1</w:t>
            </w:r>
          </w:p>
        </w:tc>
        <w:tc>
          <w:tcPr>
            <w:tcW w:w="6360" w:type="dxa"/>
            <w:shd w:val="clear" w:color="auto" w:fill="EAF1EC"/>
            <w:tcMar>
              <w:top w:w="70" w:type="dxa"/>
              <w:left w:w="110" w:type="dxa"/>
              <w:bottom w:w="70" w:type="dxa"/>
              <w:right w:w="110" w:type="dxa"/>
            </w:tcMar>
          </w:tcPr>
          <w:p w14:paraId="29CAD8C3" w14:textId="77777777" w:rsidR="000E21C0" w:rsidRDefault="00961F68">
            <w:pPr>
              <w:spacing w:line="262" w:lineRule="auto"/>
            </w:pPr>
            <w:r>
              <w:rPr>
                <w:sz w:val="18"/>
                <w:szCs w:val="18"/>
              </w:rPr>
              <w:t>Forensic delay analysis</w:t>
            </w:r>
          </w:p>
        </w:tc>
        <w:tc>
          <w:tcPr>
            <w:tcW w:w="1600" w:type="dxa"/>
            <w:shd w:val="clear" w:color="auto" w:fill="EAF1EC"/>
            <w:tcMar>
              <w:top w:w="70" w:type="dxa"/>
              <w:left w:w="110" w:type="dxa"/>
              <w:bottom w:w="70" w:type="dxa"/>
              <w:right w:w="110" w:type="dxa"/>
            </w:tcMar>
          </w:tcPr>
          <w:p w14:paraId="65EA7459" w14:textId="77777777" w:rsidR="000E21C0" w:rsidRDefault="00961F68">
            <w:pPr>
              <w:spacing w:line="262" w:lineRule="auto"/>
            </w:pPr>
            <w:r>
              <w:rPr>
                <w:sz w:val="18"/>
                <w:szCs w:val="18"/>
              </w:rPr>
              <w:t>28%</w:t>
            </w:r>
          </w:p>
        </w:tc>
      </w:tr>
      <w:tr w:rsidR="000E21C0" w14:paraId="0CD6BEDE"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0338A214" w14:textId="77777777" w:rsidR="000E21C0" w:rsidRDefault="00961F68">
            <w:pPr>
              <w:spacing w:line="262" w:lineRule="auto"/>
            </w:pPr>
            <w:r>
              <w:rPr>
                <w:b/>
                <w:bCs/>
                <w:sz w:val="18"/>
                <w:szCs w:val="18"/>
              </w:rPr>
              <w:t>P2.2</w:t>
            </w:r>
          </w:p>
        </w:tc>
        <w:tc>
          <w:tcPr>
            <w:tcW w:w="6360" w:type="dxa"/>
            <w:shd w:val="clear" w:color="auto" w:fill="FFFFFF"/>
            <w:tcMar>
              <w:top w:w="70" w:type="dxa"/>
              <w:left w:w="110" w:type="dxa"/>
              <w:bottom w:w="70" w:type="dxa"/>
              <w:right w:w="110" w:type="dxa"/>
            </w:tcMar>
          </w:tcPr>
          <w:p w14:paraId="2EAE84A7" w14:textId="77777777" w:rsidR="000E21C0" w:rsidRDefault="00961F68">
            <w:pPr>
              <w:spacing w:line="262" w:lineRule="auto"/>
            </w:pPr>
            <w:r>
              <w:rPr>
                <w:sz w:val="18"/>
                <w:szCs w:val="18"/>
              </w:rPr>
              <w:t>Quantum and loss assessment</w:t>
            </w:r>
          </w:p>
        </w:tc>
        <w:tc>
          <w:tcPr>
            <w:tcW w:w="1600" w:type="dxa"/>
            <w:shd w:val="clear" w:color="auto" w:fill="FFFFFF"/>
            <w:tcMar>
              <w:top w:w="70" w:type="dxa"/>
              <w:left w:w="110" w:type="dxa"/>
              <w:bottom w:w="70" w:type="dxa"/>
              <w:right w:w="110" w:type="dxa"/>
            </w:tcMar>
          </w:tcPr>
          <w:p w14:paraId="7823B4A9" w14:textId="77777777" w:rsidR="000E21C0" w:rsidRDefault="00961F68">
            <w:pPr>
              <w:spacing w:line="262" w:lineRule="auto"/>
            </w:pPr>
            <w:r>
              <w:rPr>
                <w:sz w:val="18"/>
                <w:szCs w:val="18"/>
              </w:rPr>
              <w:t>26%</w:t>
            </w:r>
          </w:p>
        </w:tc>
      </w:tr>
      <w:tr w:rsidR="000E21C0" w14:paraId="1A105C67"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25650DB6" w14:textId="77777777" w:rsidR="000E21C0" w:rsidRDefault="00961F68">
            <w:pPr>
              <w:spacing w:line="262" w:lineRule="auto"/>
            </w:pPr>
            <w:r>
              <w:rPr>
                <w:b/>
                <w:bCs/>
                <w:sz w:val="18"/>
                <w:szCs w:val="18"/>
              </w:rPr>
              <w:t>P2.3</w:t>
            </w:r>
          </w:p>
        </w:tc>
        <w:tc>
          <w:tcPr>
            <w:tcW w:w="6360" w:type="dxa"/>
            <w:shd w:val="clear" w:color="auto" w:fill="EAF1EC"/>
            <w:tcMar>
              <w:top w:w="70" w:type="dxa"/>
              <w:left w:w="110" w:type="dxa"/>
              <w:bottom w:w="70" w:type="dxa"/>
              <w:right w:w="110" w:type="dxa"/>
            </w:tcMar>
          </w:tcPr>
          <w:p w14:paraId="30CBC866" w14:textId="77777777" w:rsidR="000E21C0" w:rsidRDefault="00961F68">
            <w:pPr>
              <w:spacing w:line="262" w:lineRule="auto"/>
            </w:pPr>
            <w:r>
              <w:rPr>
                <w:sz w:val="18"/>
                <w:szCs w:val="18"/>
              </w:rPr>
              <w:t>Expert evidence and reporting</w:t>
            </w:r>
          </w:p>
        </w:tc>
        <w:tc>
          <w:tcPr>
            <w:tcW w:w="1600" w:type="dxa"/>
            <w:shd w:val="clear" w:color="auto" w:fill="EAF1EC"/>
            <w:tcMar>
              <w:top w:w="70" w:type="dxa"/>
              <w:left w:w="110" w:type="dxa"/>
              <w:bottom w:w="70" w:type="dxa"/>
              <w:right w:w="110" w:type="dxa"/>
            </w:tcMar>
          </w:tcPr>
          <w:p w14:paraId="14D3BD42" w14:textId="77777777" w:rsidR="000E21C0" w:rsidRDefault="00961F68">
            <w:pPr>
              <w:spacing w:line="262" w:lineRule="auto"/>
            </w:pPr>
            <w:r>
              <w:rPr>
                <w:sz w:val="18"/>
                <w:szCs w:val="18"/>
              </w:rPr>
              <w:t>26%</w:t>
            </w:r>
          </w:p>
        </w:tc>
      </w:tr>
      <w:tr w:rsidR="000E21C0" w14:paraId="42617180"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00B5A394" w14:textId="77777777" w:rsidR="000E21C0" w:rsidRDefault="00961F68">
            <w:pPr>
              <w:spacing w:line="262" w:lineRule="auto"/>
            </w:pPr>
            <w:r>
              <w:rPr>
                <w:b/>
                <w:bCs/>
                <w:sz w:val="18"/>
                <w:szCs w:val="18"/>
              </w:rPr>
              <w:t>P2.4</w:t>
            </w:r>
          </w:p>
        </w:tc>
        <w:tc>
          <w:tcPr>
            <w:tcW w:w="6360" w:type="dxa"/>
            <w:shd w:val="clear" w:color="auto" w:fill="FFFFFF"/>
            <w:tcMar>
              <w:top w:w="70" w:type="dxa"/>
              <w:left w:w="110" w:type="dxa"/>
              <w:bottom w:w="70" w:type="dxa"/>
              <w:right w:w="110" w:type="dxa"/>
            </w:tcMar>
          </w:tcPr>
          <w:p w14:paraId="5351152B" w14:textId="77777777" w:rsidR="000E21C0" w:rsidRDefault="00961F68">
            <w:pPr>
              <w:spacing w:line="262" w:lineRule="auto"/>
            </w:pPr>
            <w:r>
              <w:rPr>
                <w:sz w:val="18"/>
                <w:szCs w:val="18"/>
              </w:rPr>
              <w:t>Dispute resolution context</w:t>
            </w:r>
          </w:p>
        </w:tc>
        <w:tc>
          <w:tcPr>
            <w:tcW w:w="1600" w:type="dxa"/>
            <w:shd w:val="clear" w:color="auto" w:fill="FFFFFF"/>
            <w:tcMar>
              <w:top w:w="70" w:type="dxa"/>
              <w:left w:w="110" w:type="dxa"/>
              <w:bottom w:w="70" w:type="dxa"/>
              <w:right w:w="110" w:type="dxa"/>
            </w:tcMar>
          </w:tcPr>
          <w:p w14:paraId="68A5F97F" w14:textId="77777777" w:rsidR="000E21C0" w:rsidRDefault="00961F68">
            <w:pPr>
              <w:spacing w:line="262" w:lineRule="auto"/>
            </w:pPr>
            <w:r>
              <w:rPr>
                <w:sz w:val="18"/>
                <w:szCs w:val="18"/>
              </w:rPr>
              <w:t>20%</w:t>
            </w:r>
          </w:p>
        </w:tc>
      </w:tr>
    </w:tbl>
    <w:p w14:paraId="2F4C18B6" w14:textId="77777777" w:rsidR="000E21C0" w:rsidRDefault="000E21C0">
      <w:pPr>
        <w:spacing w:after="40"/>
      </w:pPr>
    </w:p>
    <w:p w14:paraId="155CD676" w14:textId="77777777" w:rsidR="000E21C0" w:rsidRDefault="00961F68">
      <w:pPr>
        <w:pStyle w:val="Heading3"/>
        <w:spacing w:before="220" w:after="70"/>
      </w:pPr>
      <w:r>
        <w:t>P2.1  Forensic delay analysis</w:t>
      </w:r>
    </w:p>
    <w:p w14:paraId="259C2644" w14:textId="77777777" w:rsidR="000E21C0" w:rsidRDefault="00961F68">
      <w:pPr>
        <w:spacing w:before="60" w:after="30"/>
      </w:pPr>
      <w:r>
        <w:rPr>
          <w:b/>
          <w:bCs/>
          <w:color w:val="C47B0B"/>
          <w:spacing w:val="24"/>
          <w:sz w:val="16"/>
          <w:szCs w:val="16"/>
        </w:rPr>
        <w:t>AIM</w:t>
      </w:r>
    </w:p>
    <w:p w14:paraId="7274B76C" w14:textId="77777777" w:rsidR="000E21C0" w:rsidRDefault="00961F68">
      <w:pPr>
        <w:spacing w:after="80" w:line="340" w:lineRule="auto"/>
        <w:jc w:val="both"/>
      </w:pPr>
      <w:r>
        <w:rPr>
          <w:sz w:val="23"/>
          <w:szCs w:val="23"/>
        </w:rPr>
        <w:t>To apply the recognised methods of delay analysis to establish responsibility for delay in a dispute.</w:t>
      </w:r>
    </w:p>
    <w:p w14:paraId="02AD9756" w14:textId="77777777" w:rsidR="000E21C0" w:rsidRDefault="00961F68">
      <w:pPr>
        <w:spacing w:before="60" w:after="30"/>
      </w:pPr>
      <w:r>
        <w:rPr>
          <w:b/>
          <w:bCs/>
          <w:color w:val="C47B0B"/>
          <w:spacing w:val="24"/>
          <w:sz w:val="16"/>
          <w:szCs w:val="16"/>
        </w:rPr>
        <w:t>LEARNING OUTCOMES: THE CANDIDATE IS ABLE TO</w:t>
      </w:r>
    </w:p>
    <w:p w14:paraId="58935D56" w14:textId="77777777" w:rsidR="000E21C0" w:rsidRDefault="00961F68">
      <w:pPr>
        <w:pStyle w:val="ListParagraph"/>
        <w:numPr>
          <w:ilvl w:val="0"/>
          <w:numId w:val="2"/>
        </w:numPr>
        <w:spacing w:after="70" w:line="330" w:lineRule="auto"/>
        <w:jc w:val="both"/>
      </w:pPr>
      <w:r>
        <w:rPr>
          <w:sz w:val="22"/>
          <w:szCs w:val="22"/>
        </w:rPr>
        <w:t>apply recognised delay-analysis methods appropriately;</w:t>
      </w:r>
    </w:p>
    <w:p w14:paraId="287094B2" w14:textId="77777777" w:rsidR="000E21C0" w:rsidRDefault="00961F68">
      <w:pPr>
        <w:pStyle w:val="ListParagraph"/>
        <w:numPr>
          <w:ilvl w:val="0"/>
          <w:numId w:val="2"/>
        </w:numPr>
        <w:spacing w:after="70" w:line="330" w:lineRule="auto"/>
        <w:jc w:val="both"/>
      </w:pPr>
      <w:r>
        <w:rPr>
          <w:sz w:val="22"/>
          <w:szCs w:val="22"/>
        </w:rPr>
        <w:t>select a method suited to the evidence and the dispute;</w:t>
      </w:r>
    </w:p>
    <w:p w14:paraId="02054317" w14:textId="77777777" w:rsidR="000E21C0" w:rsidRDefault="00961F68">
      <w:pPr>
        <w:pStyle w:val="ListParagraph"/>
        <w:numPr>
          <w:ilvl w:val="0"/>
          <w:numId w:val="2"/>
        </w:numPr>
        <w:spacing w:after="70" w:line="330" w:lineRule="auto"/>
        <w:jc w:val="both"/>
      </w:pPr>
      <w:r>
        <w:rPr>
          <w:sz w:val="22"/>
          <w:szCs w:val="22"/>
        </w:rPr>
        <w:t>establish and apportion responsibility for delay on the evidence;</w:t>
      </w:r>
    </w:p>
    <w:p w14:paraId="1EEB7557" w14:textId="77777777" w:rsidR="000E21C0" w:rsidRDefault="00961F68">
      <w:pPr>
        <w:pStyle w:val="ListParagraph"/>
        <w:numPr>
          <w:ilvl w:val="0"/>
          <w:numId w:val="2"/>
        </w:numPr>
        <w:spacing w:after="70" w:line="330" w:lineRule="auto"/>
        <w:jc w:val="both"/>
      </w:pPr>
      <w:r>
        <w:rPr>
          <w:sz w:val="22"/>
          <w:szCs w:val="22"/>
        </w:rPr>
        <w:t>state the assumptions and limits of the analysis.</w:t>
      </w:r>
    </w:p>
    <w:p w14:paraId="4A0155FC" w14:textId="77777777" w:rsidR="000E21C0" w:rsidRDefault="00961F68">
      <w:pPr>
        <w:spacing w:before="60" w:after="30"/>
      </w:pPr>
      <w:r>
        <w:rPr>
          <w:b/>
          <w:bCs/>
          <w:color w:val="C47B0B"/>
          <w:spacing w:val="24"/>
          <w:sz w:val="16"/>
          <w:szCs w:val="16"/>
        </w:rPr>
        <w:t>INDICATIVE CONTENT</w:t>
      </w:r>
    </w:p>
    <w:p w14:paraId="304C8B0D" w14:textId="77777777" w:rsidR="000E21C0" w:rsidRDefault="00961F68">
      <w:pPr>
        <w:pStyle w:val="ListParagraph"/>
        <w:numPr>
          <w:ilvl w:val="0"/>
          <w:numId w:val="2"/>
        </w:numPr>
        <w:spacing w:after="70" w:line="330" w:lineRule="auto"/>
        <w:jc w:val="both"/>
      </w:pPr>
      <w:r>
        <w:rPr>
          <w:sz w:val="22"/>
          <w:szCs w:val="22"/>
        </w:rPr>
        <w:t>delay-analysis methods, including as-planned versus as-built and windows analysis;</w:t>
      </w:r>
    </w:p>
    <w:p w14:paraId="037F37C9" w14:textId="77777777" w:rsidR="000E21C0" w:rsidRDefault="00961F68">
      <w:pPr>
        <w:pStyle w:val="ListParagraph"/>
        <w:numPr>
          <w:ilvl w:val="0"/>
          <w:numId w:val="2"/>
        </w:numPr>
        <w:spacing w:after="70" w:line="330" w:lineRule="auto"/>
        <w:jc w:val="both"/>
      </w:pPr>
      <w:r>
        <w:rPr>
          <w:sz w:val="22"/>
          <w:szCs w:val="22"/>
        </w:rPr>
        <w:t>method selection and its justification;</w:t>
      </w:r>
    </w:p>
    <w:p w14:paraId="428BC720" w14:textId="77777777" w:rsidR="000E21C0" w:rsidRDefault="00961F68">
      <w:pPr>
        <w:pStyle w:val="ListParagraph"/>
        <w:numPr>
          <w:ilvl w:val="0"/>
          <w:numId w:val="2"/>
        </w:numPr>
        <w:spacing w:after="70" w:line="330" w:lineRule="auto"/>
        <w:jc w:val="both"/>
      </w:pPr>
      <w:r>
        <w:rPr>
          <w:sz w:val="22"/>
          <w:szCs w:val="22"/>
        </w:rPr>
        <w:t>concurrency and apportionment;</w:t>
      </w:r>
    </w:p>
    <w:p w14:paraId="0762FDCE" w14:textId="77777777" w:rsidR="000E21C0" w:rsidRDefault="00961F68">
      <w:pPr>
        <w:pStyle w:val="ListParagraph"/>
        <w:numPr>
          <w:ilvl w:val="0"/>
          <w:numId w:val="2"/>
        </w:numPr>
        <w:spacing w:after="70" w:line="330" w:lineRule="auto"/>
        <w:jc w:val="both"/>
      </w:pPr>
      <w:r>
        <w:rPr>
          <w:sz w:val="22"/>
          <w:szCs w:val="22"/>
        </w:rPr>
        <w:t>assumptions and limitations.</w:t>
      </w:r>
    </w:p>
    <w:p w14:paraId="7BAF7FE1" w14:textId="77777777" w:rsidR="000E21C0" w:rsidRDefault="00961F68">
      <w:pPr>
        <w:spacing w:before="60" w:after="30"/>
      </w:pPr>
      <w:r>
        <w:rPr>
          <w:b/>
          <w:bCs/>
          <w:color w:val="C47B0B"/>
          <w:spacing w:val="24"/>
          <w:sz w:val="16"/>
          <w:szCs w:val="16"/>
        </w:rPr>
        <w:t>IN THE AFRICAN CONTEXT</w:t>
      </w:r>
    </w:p>
    <w:p w14:paraId="16C9D5D9" w14:textId="77777777" w:rsidR="000E21C0" w:rsidRDefault="00961F68">
      <w:pPr>
        <w:spacing w:after="120" w:line="340" w:lineRule="auto"/>
        <w:jc w:val="both"/>
      </w:pPr>
      <w:r>
        <w:rPr>
          <w:i/>
          <w:iCs/>
          <w:color w:val="4D4D4D"/>
          <w:sz w:val="22"/>
          <w:szCs w:val="22"/>
        </w:rPr>
        <w:t>Delay analysis rests on records, and where project records are thin the examiner must be candid about what the available evidence can and cannot support.</w:t>
      </w:r>
    </w:p>
    <w:p w14:paraId="581DAA17" w14:textId="77777777" w:rsidR="000E21C0" w:rsidRDefault="00961F68">
      <w:pPr>
        <w:pStyle w:val="Heading3"/>
        <w:spacing w:before="220" w:after="70"/>
      </w:pPr>
      <w:r>
        <w:t>P2.2  Quantum and loss assessment</w:t>
      </w:r>
    </w:p>
    <w:p w14:paraId="05132068" w14:textId="77777777" w:rsidR="000E21C0" w:rsidRDefault="00961F68">
      <w:pPr>
        <w:spacing w:before="60" w:after="30"/>
      </w:pPr>
      <w:r>
        <w:rPr>
          <w:b/>
          <w:bCs/>
          <w:color w:val="C47B0B"/>
          <w:spacing w:val="24"/>
          <w:sz w:val="16"/>
          <w:szCs w:val="16"/>
        </w:rPr>
        <w:t>AIM</w:t>
      </w:r>
    </w:p>
    <w:p w14:paraId="49CEE669" w14:textId="77777777" w:rsidR="000E21C0" w:rsidRDefault="00961F68">
      <w:pPr>
        <w:spacing w:after="80" w:line="340" w:lineRule="auto"/>
        <w:jc w:val="both"/>
      </w:pPr>
      <w:r>
        <w:rPr>
          <w:sz w:val="23"/>
          <w:szCs w:val="23"/>
        </w:rPr>
        <w:t>To quantify loss and its causation to a defensible standard.</w:t>
      </w:r>
    </w:p>
    <w:p w14:paraId="216A1F91" w14:textId="77777777" w:rsidR="000E21C0" w:rsidRDefault="00961F68">
      <w:pPr>
        <w:spacing w:before="60" w:after="30"/>
      </w:pPr>
      <w:r>
        <w:rPr>
          <w:b/>
          <w:bCs/>
          <w:color w:val="C47B0B"/>
          <w:spacing w:val="24"/>
          <w:sz w:val="16"/>
          <w:szCs w:val="16"/>
        </w:rPr>
        <w:t>LEARNING OUTCOMES: THE CANDIDATE IS ABLE TO</w:t>
      </w:r>
    </w:p>
    <w:p w14:paraId="7F49B3D8" w14:textId="77777777" w:rsidR="000E21C0" w:rsidRDefault="00961F68">
      <w:pPr>
        <w:pStyle w:val="ListParagraph"/>
        <w:numPr>
          <w:ilvl w:val="0"/>
          <w:numId w:val="2"/>
        </w:numPr>
        <w:spacing w:after="70" w:line="330" w:lineRule="auto"/>
        <w:jc w:val="both"/>
      </w:pPr>
      <w:r>
        <w:rPr>
          <w:sz w:val="22"/>
          <w:szCs w:val="22"/>
        </w:rPr>
        <w:t>quantify financial loss arising from delay, disruption, or default;</w:t>
      </w:r>
    </w:p>
    <w:p w14:paraId="4985722F" w14:textId="77777777" w:rsidR="000E21C0" w:rsidRDefault="00961F68">
      <w:pPr>
        <w:pStyle w:val="ListParagraph"/>
        <w:numPr>
          <w:ilvl w:val="0"/>
          <w:numId w:val="2"/>
        </w:numPr>
        <w:spacing w:after="70" w:line="330" w:lineRule="auto"/>
        <w:jc w:val="both"/>
      </w:pPr>
      <w:r>
        <w:rPr>
          <w:sz w:val="22"/>
          <w:szCs w:val="22"/>
        </w:rPr>
        <w:t>establish the causal link between the breach and the loss;</w:t>
      </w:r>
    </w:p>
    <w:p w14:paraId="1F7A53B6" w14:textId="77777777" w:rsidR="000E21C0" w:rsidRDefault="00961F68">
      <w:pPr>
        <w:pStyle w:val="ListParagraph"/>
        <w:numPr>
          <w:ilvl w:val="0"/>
          <w:numId w:val="2"/>
        </w:numPr>
        <w:spacing w:after="70" w:line="330" w:lineRule="auto"/>
        <w:jc w:val="both"/>
      </w:pPr>
      <w:r>
        <w:rPr>
          <w:sz w:val="22"/>
          <w:szCs w:val="22"/>
        </w:rPr>
        <w:t>assess quantum in multi-currency and inflationary conditions;</w:t>
      </w:r>
    </w:p>
    <w:p w14:paraId="32EA3067" w14:textId="77777777" w:rsidR="000E21C0" w:rsidRDefault="00961F68">
      <w:pPr>
        <w:pStyle w:val="ListParagraph"/>
        <w:numPr>
          <w:ilvl w:val="0"/>
          <w:numId w:val="2"/>
        </w:numPr>
        <w:spacing w:after="70" w:line="330" w:lineRule="auto"/>
        <w:jc w:val="both"/>
      </w:pPr>
      <w:r>
        <w:rPr>
          <w:sz w:val="22"/>
          <w:szCs w:val="22"/>
        </w:rPr>
        <w:lastRenderedPageBreak/>
        <w:t>state the basis and assumptions of the quantification.</w:t>
      </w:r>
    </w:p>
    <w:p w14:paraId="5D4FBD9A" w14:textId="77777777" w:rsidR="000E21C0" w:rsidRDefault="00961F68">
      <w:pPr>
        <w:spacing w:before="60" w:after="30"/>
      </w:pPr>
      <w:r>
        <w:rPr>
          <w:b/>
          <w:bCs/>
          <w:color w:val="C47B0B"/>
          <w:spacing w:val="24"/>
          <w:sz w:val="16"/>
          <w:szCs w:val="16"/>
        </w:rPr>
        <w:t>INDICATIVE CONTENT</w:t>
      </w:r>
    </w:p>
    <w:p w14:paraId="5729A325" w14:textId="77777777" w:rsidR="000E21C0" w:rsidRDefault="00961F68">
      <w:pPr>
        <w:pStyle w:val="ListParagraph"/>
        <w:numPr>
          <w:ilvl w:val="0"/>
          <w:numId w:val="2"/>
        </w:numPr>
        <w:spacing w:after="70" w:line="330" w:lineRule="auto"/>
        <w:jc w:val="both"/>
      </w:pPr>
      <w:r>
        <w:rPr>
          <w:sz w:val="22"/>
          <w:szCs w:val="22"/>
        </w:rPr>
        <w:t>heads of loss and their quantification;</w:t>
      </w:r>
    </w:p>
    <w:p w14:paraId="7364B95A" w14:textId="77777777" w:rsidR="000E21C0" w:rsidRDefault="00961F68">
      <w:pPr>
        <w:pStyle w:val="ListParagraph"/>
        <w:numPr>
          <w:ilvl w:val="0"/>
          <w:numId w:val="2"/>
        </w:numPr>
        <w:spacing w:after="70" w:line="330" w:lineRule="auto"/>
        <w:jc w:val="both"/>
      </w:pPr>
      <w:r>
        <w:rPr>
          <w:sz w:val="22"/>
          <w:szCs w:val="22"/>
        </w:rPr>
        <w:t>causation and the link to quantum;</w:t>
      </w:r>
    </w:p>
    <w:p w14:paraId="7A2795A5" w14:textId="77777777" w:rsidR="000E21C0" w:rsidRDefault="00961F68">
      <w:pPr>
        <w:pStyle w:val="ListParagraph"/>
        <w:numPr>
          <w:ilvl w:val="0"/>
          <w:numId w:val="2"/>
        </w:numPr>
        <w:spacing w:after="70" w:line="330" w:lineRule="auto"/>
        <w:jc w:val="both"/>
      </w:pPr>
      <w:r>
        <w:rPr>
          <w:sz w:val="22"/>
          <w:szCs w:val="22"/>
        </w:rPr>
        <w:t>currency and inflation in loss assessment;</w:t>
      </w:r>
    </w:p>
    <w:p w14:paraId="5BA4E722" w14:textId="77777777" w:rsidR="000E21C0" w:rsidRDefault="00961F68">
      <w:pPr>
        <w:pStyle w:val="ListParagraph"/>
        <w:numPr>
          <w:ilvl w:val="0"/>
          <w:numId w:val="2"/>
        </w:numPr>
        <w:spacing w:after="70" w:line="330" w:lineRule="auto"/>
        <w:jc w:val="both"/>
      </w:pPr>
      <w:r>
        <w:rPr>
          <w:sz w:val="22"/>
          <w:szCs w:val="22"/>
        </w:rPr>
        <w:t>the basis of quantum and its assumptions.</w:t>
      </w:r>
    </w:p>
    <w:p w14:paraId="6043D77F" w14:textId="77777777" w:rsidR="000E21C0" w:rsidRDefault="00961F68">
      <w:pPr>
        <w:spacing w:before="60" w:after="30"/>
      </w:pPr>
      <w:r>
        <w:rPr>
          <w:b/>
          <w:bCs/>
          <w:color w:val="C47B0B"/>
          <w:spacing w:val="24"/>
          <w:sz w:val="16"/>
          <w:szCs w:val="16"/>
        </w:rPr>
        <w:t>IN THE AFRICAN CONTEXT</w:t>
      </w:r>
    </w:p>
    <w:p w14:paraId="25AEFC4E" w14:textId="77777777" w:rsidR="000E21C0" w:rsidRDefault="00961F68">
      <w:pPr>
        <w:spacing w:after="120" w:line="340" w:lineRule="auto"/>
        <w:jc w:val="both"/>
      </w:pPr>
      <w:r>
        <w:rPr>
          <w:i/>
          <w:iCs/>
          <w:color w:val="4D4D4D"/>
          <w:sz w:val="22"/>
          <w:szCs w:val="22"/>
        </w:rPr>
        <w:t>Quantifying loss where costs are incurred in several currencies and inflation is significant demands care, and the basis of every figure must be shown.</w:t>
      </w:r>
    </w:p>
    <w:p w14:paraId="4511F5A8" w14:textId="77777777" w:rsidR="000E21C0" w:rsidRDefault="00961F68">
      <w:pPr>
        <w:pStyle w:val="Heading3"/>
        <w:spacing w:before="220" w:after="70"/>
      </w:pPr>
      <w:r>
        <w:t>P2.3  Expert evidence and reporting</w:t>
      </w:r>
    </w:p>
    <w:p w14:paraId="5D0A0625" w14:textId="77777777" w:rsidR="000E21C0" w:rsidRDefault="00961F68">
      <w:pPr>
        <w:spacing w:before="60" w:after="30"/>
      </w:pPr>
      <w:r>
        <w:rPr>
          <w:b/>
          <w:bCs/>
          <w:color w:val="C47B0B"/>
          <w:spacing w:val="24"/>
          <w:sz w:val="16"/>
          <w:szCs w:val="16"/>
        </w:rPr>
        <w:t>AIM</w:t>
      </w:r>
    </w:p>
    <w:p w14:paraId="649AAAA8" w14:textId="77777777" w:rsidR="000E21C0" w:rsidRDefault="00961F68">
      <w:pPr>
        <w:spacing w:after="80" w:line="340" w:lineRule="auto"/>
        <w:jc w:val="both"/>
      </w:pPr>
      <w:r>
        <w:rPr>
          <w:sz w:val="23"/>
          <w:szCs w:val="23"/>
        </w:rPr>
        <w:t>To prepare and give expert evidence, and to write a forensic report that withstands challenge.</w:t>
      </w:r>
    </w:p>
    <w:p w14:paraId="1C91DA7B" w14:textId="77777777" w:rsidR="000E21C0" w:rsidRDefault="00961F68">
      <w:pPr>
        <w:spacing w:before="60" w:after="30"/>
      </w:pPr>
      <w:r>
        <w:rPr>
          <w:b/>
          <w:bCs/>
          <w:color w:val="C47B0B"/>
          <w:spacing w:val="24"/>
          <w:sz w:val="16"/>
          <w:szCs w:val="16"/>
        </w:rPr>
        <w:t>LEARNING OUTCOMES: THE CANDIDATE IS ABLE TO</w:t>
      </w:r>
    </w:p>
    <w:p w14:paraId="2277664B" w14:textId="77777777" w:rsidR="000E21C0" w:rsidRDefault="00961F68">
      <w:pPr>
        <w:pStyle w:val="ListParagraph"/>
        <w:numPr>
          <w:ilvl w:val="0"/>
          <w:numId w:val="2"/>
        </w:numPr>
        <w:spacing w:after="70" w:line="330" w:lineRule="auto"/>
        <w:jc w:val="both"/>
      </w:pPr>
      <w:r>
        <w:rPr>
          <w:sz w:val="22"/>
          <w:szCs w:val="22"/>
        </w:rPr>
        <w:t>write a forensic report that is clear, evidenced, and defensible;</w:t>
      </w:r>
    </w:p>
    <w:p w14:paraId="599C1B45" w14:textId="77777777" w:rsidR="000E21C0" w:rsidRDefault="00961F68">
      <w:pPr>
        <w:pStyle w:val="ListParagraph"/>
        <w:numPr>
          <w:ilvl w:val="0"/>
          <w:numId w:val="2"/>
        </w:numPr>
        <w:spacing w:after="70" w:line="330" w:lineRule="auto"/>
        <w:jc w:val="both"/>
      </w:pPr>
      <w:r>
        <w:rPr>
          <w:sz w:val="22"/>
          <w:szCs w:val="22"/>
        </w:rPr>
        <w:t>present expert evidence and opinion within the duties of an expert;</w:t>
      </w:r>
    </w:p>
    <w:p w14:paraId="54CEFF9B" w14:textId="77777777" w:rsidR="000E21C0" w:rsidRDefault="00961F68">
      <w:pPr>
        <w:pStyle w:val="ListParagraph"/>
        <w:numPr>
          <w:ilvl w:val="0"/>
          <w:numId w:val="2"/>
        </w:numPr>
        <w:spacing w:after="70" w:line="330" w:lineRule="auto"/>
        <w:jc w:val="both"/>
      </w:pPr>
      <w:r>
        <w:rPr>
          <w:sz w:val="22"/>
          <w:szCs w:val="22"/>
        </w:rPr>
        <w:t>withstand challenge to findings under scrutiny;</w:t>
      </w:r>
    </w:p>
    <w:p w14:paraId="2430B979" w14:textId="77777777" w:rsidR="000E21C0" w:rsidRDefault="00961F68">
      <w:pPr>
        <w:pStyle w:val="ListParagraph"/>
        <w:numPr>
          <w:ilvl w:val="0"/>
          <w:numId w:val="2"/>
        </w:numPr>
        <w:spacing w:after="70" w:line="330" w:lineRule="auto"/>
        <w:jc w:val="both"/>
      </w:pPr>
      <w:r>
        <w:rPr>
          <w:sz w:val="22"/>
          <w:szCs w:val="22"/>
        </w:rPr>
        <w:t>distinguish fact, assumption, and opinion throughout.</w:t>
      </w:r>
    </w:p>
    <w:p w14:paraId="7C481A77" w14:textId="77777777" w:rsidR="000E21C0" w:rsidRDefault="00961F68">
      <w:pPr>
        <w:spacing w:before="60" w:after="30"/>
      </w:pPr>
      <w:r>
        <w:rPr>
          <w:b/>
          <w:bCs/>
          <w:color w:val="C47B0B"/>
          <w:spacing w:val="24"/>
          <w:sz w:val="16"/>
          <w:szCs w:val="16"/>
        </w:rPr>
        <w:t>INDICATIVE CONTENT</w:t>
      </w:r>
    </w:p>
    <w:p w14:paraId="752C3A51" w14:textId="77777777" w:rsidR="000E21C0" w:rsidRDefault="00961F68">
      <w:pPr>
        <w:pStyle w:val="ListParagraph"/>
        <w:numPr>
          <w:ilvl w:val="0"/>
          <w:numId w:val="2"/>
        </w:numPr>
        <w:spacing w:after="70" w:line="330" w:lineRule="auto"/>
        <w:jc w:val="both"/>
      </w:pPr>
      <w:r>
        <w:rPr>
          <w:sz w:val="22"/>
          <w:szCs w:val="22"/>
        </w:rPr>
        <w:t>the forensic report and its structure;</w:t>
      </w:r>
    </w:p>
    <w:p w14:paraId="3CC635A1" w14:textId="77777777" w:rsidR="000E21C0" w:rsidRDefault="00961F68">
      <w:pPr>
        <w:pStyle w:val="ListParagraph"/>
        <w:numPr>
          <w:ilvl w:val="0"/>
          <w:numId w:val="2"/>
        </w:numPr>
        <w:spacing w:after="70" w:line="330" w:lineRule="auto"/>
        <w:jc w:val="both"/>
      </w:pPr>
      <w:r>
        <w:rPr>
          <w:sz w:val="22"/>
          <w:szCs w:val="22"/>
        </w:rPr>
        <w:t>the duties of an expert witness;</w:t>
      </w:r>
    </w:p>
    <w:p w14:paraId="1B04333D" w14:textId="77777777" w:rsidR="000E21C0" w:rsidRDefault="00961F68">
      <w:pPr>
        <w:pStyle w:val="ListParagraph"/>
        <w:numPr>
          <w:ilvl w:val="0"/>
          <w:numId w:val="2"/>
        </w:numPr>
        <w:spacing w:after="70" w:line="330" w:lineRule="auto"/>
        <w:jc w:val="both"/>
      </w:pPr>
      <w:r>
        <w:rPr>
          <w:sz w:val="22"/>
          <w:szCs w:val="22"/>
        </w:rPr>
        <w:t>giving and defending evidence;</w:t>
      </w:r>
    </w:p>
    <w:p w14:paraId="0B2E6529" w14:textId="77777777" w:rsidR="000E21C0" w:rsidRDefault="00961F68">
      <w:pPr>
        <w:pStyle w:val="ListParagraph"/>
        <w:numPr>
          <w:ilvl w:val="0"/>
          <w:numId w:val="2"/>
        </w:numPr>
        <w:spacing w:after="70" w:line="330" w:lineRule="auto"/>
        <w:jc w:val="both"/>
      </w:pPr>
      <w:r>
        <w:rPr>
          <w:sz w:val="22"/>
          <w:szCs w:val="22"/>
        </w:rPr>
        <w:t>fact, assumption, and opinion.</w:t>
      </w:r>
    </w:p>
    <w:p w14:paraId="0DEB79A4" w14:textId="77777777" w:rsidR="000E21C0" w:rsidRDefault="00961F68">
      <w:pPr>
        <w:spacing w:before="60" w:after="30"/>
      </w:pPr>
      <w:r>
        <w:rPr>
          <w:b/>
          <w:bCs/>
          <w:color w:val="C47B0B"/>
          <w:spacing w:val="24"/>
          <w:sz w:val="16"/>
          <w:szCs w:val="16"/>
        </w:rPr>
        <w:t>IN THE AFRICAN CONTEXT</w:t>
      </w:r>
    </w:p>
    <w:p w14:paraId="1DA62E58" w14:textId="77777777" w:rsidR="000E21C0" w:rsidRDefault="00961F68">
      <w:pPr>
        <w:spacing w:after="120" w:line="340" w:lineRule="auto"/>
        <w:jc w:val="both"/>
      </w:pPr>
      <w:r>
        <w:rPr>
          <w:i/>
          <w:iCs/>
          <w:color w:val="4D4D4D"/>
          <w:sz w:val="22"/>
          <w:szCs w:val="22"/>
        </w:rPr>
        <w:t>The report and the testimony are the product of forensic work, and their authority rests on rigour, independence, and the honest marking of the limits of what could be established.</w:t>
      </w:r>
    </w:p>
    <w:p w14:paraId="0B4CAE6E" w14:textId="77777777" w:rsidR="000E21C0" w:rsidRDefault="00961F68">
      <w:pPr>
        <w:pStyle w:val="Heading3"/>
        <w:spacing w:before="220" w:after="70"/>
      </w:pPr>
      <w:r>
        <w:t>P2.4  Dispute resolution context</w:t>
      </w:r>
    </w:p>
    <w:p w14:paraId="17CC57E1" w14:textId="77777777" w:rsidR="000E21C0" w:rsidRDefault="00961F68">
      <w:pPr>
        <w:spacing w:before="60" w:after="30"/>
      </w:pPr>
      <w:r>
        <w:rPr>
          <w:b/>
          <w:bCs/>
          <w:color w:val="C47B0B"/>
          <w:spacing w:val="24"/>
          <w:sz w:val="16"/>
          <w:szCs w:val="16"/>
        </w:rPr>
        <w:t>AIM</w:t>
      </w:r>
    </w:p>
    <w:p w14:paraId="155402C5" w14:textId="77777777" w:rsidR="000E21C0" w:rsidRDefault="00961F68">
      <w:pPr>
        <w:spacing w:after="80" w:line="340" w:lineRule="auto"/>
        <w:jc w:val="both"/>
      </w:pPr>
      <w:r>
        <w:rPr>
          <w:sz w:val="23"/>
          <w:szCs w:val="23"/>
        </w:rPr>
        <w:t>To operate within the dispute-resolution mechanisms a forensic examiner serves, and the duties each imposes.</w:t>
      </w:r>
    </w:p>
    <w:p w14:paraId="52FB039A" w14:textId="77777777" w:rsidR="000E21C0" w:rsidRDefault="00961F68">
      <w:pPr>
        <w:spacing w:before="60" w:after="30"/>
      </w:pPr>
      <w:r>
        <w:rPr>
          <w:b/>
          <w:bCs/>
          <w:color w:val="C47B0B"/>
          <w:spacing w:val="24"/>
          <w:sz w:val="16"/>
          <w:szCs w:val="16"/>
        </w:rPr>
        <w:t>LEARNING OUTCOMES: THE CANDIDATE IS ABLE TO</w:t>
      </w:r>
    </w:p>
    <w:p w14:paraId="02C60217" w14:textId="77777777" w:rsidR="000E21C0" w:rsidRDefault="00961F68">
      <w:pPr>
        <w:pStyle w:val="ListParagraph"/>
        <w:numPr>
          <w:ilvl w:val="0"/>
          <w:numId w:val="2"/>
        </w:numPr>
        <w:spacing w:after="70" w:line="330" w:lineRule="auto"/>
        <w:jc w:val="both"/>
      </w:pPr>
      <w:r>
        <w:rPr>
          <w:sz w:val="22"/>
          <w:szCs w:val="22"/>
        </w:rPr>
        <w:t>explain the main dispute-resolution mechanisms and the examiner’s role in each;</w:t>
      </w:r>
    </w:p>
    <w:p w14:paraId="014AE95A" w14:textId="77777777" w:rsidR="000E21C0" w:rsidRDefault="00961F68">
      <w:pPr>
        <w:pStyle w:val="ListParagraph"/>
        <w:numPr>
          <w:ilvl w:val="0"/>
          <w:numId w:val="2"/>
        </w:numPr>
        <w:spacing w:after="70" w:line="330" w:lineRule="auto"/>
        <w:jc w:val="both"/>
      </w:pPr>
      <w:r>
        <w:rPr>
          <w:sz w:val="22"/>
          <w:szCs w:val="22"/>
        </w:rPr>
        <w:t>adapt forensic work to arbitration, litigation, adjudication, and expert determination;</w:t>
      </w:r>
    </w:p>
    <w:p w14:paraId="31E6CFA1" w14:textId="77777777" w:rsidR="000E21C0" w:rsidRDefault="00961F68">
      <w:pPr>
        <w:pStyle w:val="ListParagraph"/>
        <w:numPr>
          <w:ilvl w:val="0"/>
          <w:numId w:val="2"/>
        </w:numPr>
        <w:spacing w:after="70" w:line="330" w:lineRule="auto"/>
        <w:jc w:val="both"/>
      </w:pPr>
      <w:r>
        <w:rPr>
          <w:sz w:val="22"/>
          <w:szCs w:val="22"/>
        </w:rPr>
        <w:t>apply the duties owed to a tribunal or court;</w:t>
      </w:r>
    </w:p>
    <w:p w14:paraId="7EB82B38" w14:textId="77777777" w:rsidR="000E21C0" w:rsidRDefault="00961F68">
      <w:pPr>
        <w:pStyle w:val="ListParagraph"/>
        <w:numPr>
          <w:ilvl w:val="0"/>
          <w:numId w:val="2"/>
        </w:numPr>
        <w:spacing w:after="70" w:line="330" w:lineRule="auto"/>
        <w:jc w:val="both"/>
      </w:pPr>
      <w:r>
        <w:rPr>
          <w:sz w:val="22"/>
          <w:szCs w:val="22"/>
        </w:rPr>
        <w:t>maintain independence across the forms of dispute resolution.</w:t>
      </w:r>
    </w:p>
    <w:p w14:paraId="7A5F0B4C" w14:textId="77777777" w:rsidR="000E21C0" w:rsidRDefault="00961F68">
      <w:pPr>
        <w:spacing w:before="60" w:after="30"/>
      </w:pPr>
      <w:r>
        <w:rPr>
          <w:b/>
          <w:bCs/>
          <w:color w:val="C47B0B"/>
          <w:spacing w:val="24"/>
          <w:sz w:val="16"/>
          <w:szCs w:val="16"/>
        </w:rPr>
        <w:t>INDICATIVE CONTENT</w:t>
      </w:r>
    </w:p>
    <w:p w14:paraId="2B416643" w14:textId="77777777" w:rsidR="000E21C0" w:rsidRDefault="00961F68">
      <w:pPr>
        <w:pStyle w:val="ListParagraph"/>
        <w:numPr>
          <w:ilvl w:val="0"/>
          <w:numId w:val="2"/>
        </w:numPr>
        <w:spacing w:after="70" w:line="330" w:lineRule="auto"/>
        <w:jc w:val="both"/>
      </w:pPr>
      <w:r>
        <w:rPr>
          <w:sz w:val="22"/>
          <w:szCs w:val="22"/>
        </w:rPr>
        <w:t>arbitration, litigation, adjudication, and expert determination;</w:t>
      </w:r>
    </w:p>
    <w:p w14:paraId="06FCD15D" w14:textId="77777777" w:rsidR="000E21C0" w:rsidRDefault="00961F68">
      <w:pPr>
        <w:pStyle w:val="ListParagraph"/>
        <w:numPr>
          <w:ilvl w:val="0"/>
          <w:numId w:val="2"/>
        </w:numPr>
        <w:spacing w:after="70" w:line="330" w:lineRule="auto"/>
        <w:jc w:val="both"/>
      </w:pPr>
      <w:r>
        <w:rPr>
          <w:sz w:val="22"/>
          <w:szCs w:val="22"/>
        </w:rPr>
        <w:t>the examiner’s role and duties in each;</w:t>
      </w:r>
    </w:p>
    <w:p w14:paraId="2BF89907" w14:textId="77777777" w:rsidR="000E21C0" w:rsidRDefault="00961F68">
      <w:pPr>
        <w:pStyle w:val="ListParagraph"/>
        <w:numPr>
          <w:ilvl w:val="0"/>
          <w:numId w:val="2"/>
        </w:numPr>
        <w:spacing w:after="70" w:line="330" w:lineRule="auto"/>
        <w:jc w:val="both"/>
      </w:pPr>
      <w:r>
        <w:rPr>
          <w:sz w:val="22"/>
          <w:szCs w:val="22"/>
        </w:rPr>
        <w:lastRenderedPageBreak/>
        <w:t>duties to the tribunal;</w:t>
      </w:r>
    </w:p>
    <w:p w14:paraId="7B137CE1" w14:textId="77777777" w:rsidR="000E21C0" w:rsidRDefault="00961F68">
      <w:pPr>
        <w:pStyle w:val="ListParagraph"/>
        <w:numPr>
          <w:ilvl w:val="0"/>
          <w:numId w:val="2"/>
        </w:numPr>
        <w:spacing w:after="70" w:line="330" w:lineRule="auto"/>
        <w:jc w:val="both"/>
      </w:pPr>
      <w:r>
        <w:rPr>
          <w:sz w:val="22"/>
          <w:szCs w:val="22"/>
        </w:rPr>
        <w:t>independence across forums.</w:t>
      </w:r>
    </w:p>
    <w:p w14:paraId="35AAADB0" w14:textId="77777777" w:rsidR="000E21C0" w:rsidRDefault="00961F68">
      <w:pPr>
        <w:spacing w:before="60" w:after="30"/>
      </w:pPr>
      <w:r>
        <w:rPr>
          <w:b/>
          <w:bCs/>
          <w:color w:val="C47B0B"/>
          <w:spacing w:val="24"/>
          <w:sz w:val="16"/>
          <w:szCs w:val="16"/>
        </w:rPr>
        <w:t>IN THE AFRICAN CONTEXT</w:t>
      </w:r>
    </w:p>
    <w:p w14:paraId="6FD60CC8" w14:textId="77777777" w:rsidR="000E21C0" w:rsidRDefault="00961F68">
      <w:pPr>
        <w:spacing w:after="120" w:line="340" w:lineRule="auto"/>
        <w:jc w:val="both"/>
      </w:pPr>
      <w:r>
        <w:rPr>
          <w:i/>
          <w:iCs/>
          <w:color w:val="4D4D4D"/>
          <w:sz w:val="22"/>
          <w:szCs w:val="22"/>
        </w:rPr>
        <w:t>African project disputes are resolved through a range of forums, domestic and international, and the examiner must understand the setting their evidence will serve and the duties it imposes.</w:t>
      </w:r>
    </w:p>
    <w:p w14:paraId="01B53851" w14:textId="77777777" w:rsidR="000E21C0" w:rsidRDefault="00961F68">
      <w:r>
        <w:br w:type="page"/>
      </w:r>
    </w:p>
    <w:p w14:paraId="203E1F05" w14:textId="77777777" w:rsidR="000E21C0" w:rsidRDefault="00961F68">
      <w:pPr>
        <w:pStyle w:val="Heading1"/>
        <w:spacing w:before="300" w:after="150"/>
      </w:pPr>
      <w:r>
        <w:lastRenderedPageBreak/>
        <w:t>Part Five  |  The Competency Assessment</w:t>
      </w:r>
    </w:p>
    <w:p w14:paraId="0A38C103" w14:textId="77777777" w:rsidR="000E21C0" w:rsidRDefault="000E21C0">
      <w:pPr>
        <w:pBdr>
          <w:bottom w:val="single" w:sz="8" w:space="1" w:color="C47B0B"/>
        </w:pBdr>
        <w:spacing w:before="60" w:after="160"/>
      </w:pPr>
    </w:p>
    <w:p w14:paraId="3E51516E" w14:textId="77777777" w:rsidR="000E21C0" w:rsidRDefault="00961F68">
      <w:pPr>
        <w:spacing w:after="160" w:line="348" w:lineRule="auto"/>
        <w:jc w:val="both"/>
      </w:pPr>
      <w:r>
        <w:t>The written papers test the modules one by one. The competency assessment tests whether a candidate can bring them together on a real case, which is what the credential ultimately certifies.</w:t>
      </w:r>
    </w:p>
    <w:p w14:paraId="50ADAB6C" w14:textId="77777777" w:rsidR="000E21C0" w:rsidRDefault="00961F68">
      <w:pPr>
        <w:pStyle w:val="Heading2"/>
        <w:spacing w:before="270" w:after="110"/>
      </w:pPr>
      <w:r>
        <w:t>5.1  The task</w:t>
      </w:r>
    </w:p>
    <w:p w14:paraId="31962C7F" w14:textId="77777777" w:rsidR="000E21C0" w:rsidRDefault="00961F68">
      <w:pPr>
        <w:spacing w:after="160" w:line="348" w:lineRule="auto"/>
        <w:jc w:val="both"/>
      </w:pPr>
      <w:r>
        <w:t>The candidate is given a case of project failure or dispute set in recognisable African delivery conditions and asked to plan and conduct a forensic investigation of it, establish causation and, where relevant, delay and quantum, handle the evidence properly, and produce a forensic report. The case carries the incomplete records and contested interests that forensic work commonly meets, and the candidate must work with them rigorously.</w:t>
      </w:r>
    </w:p>
    <w:p w14:paraId="6935CAF1" w14:textId="77777777" w:rsidR="000E21C0" w:rsidRDefault="00961F68">
      <w:pPr>
        <w:pStyle w:val="Heading2"/>
        <w:spacing w:before="270" w:after="110"/>
      </w:pPr>
      <w:r>
        <w:t>5.2  What it must contain</w:t>
      </w:r>
    </w:p>
    <w:p w14:paraId="4FB77257" w14:textId="77777777" w:rsidR="000E21C0" w:rsidRDefault="00961F68">
      <w:pPr>
        <w:spacing w:after="160" w:line="348" w:lineRule="auto"/>
        <w:jc w:val="both"/>
      </w:pPr>
      <w:r>
        <w:t>The report is expected to set out the scope and basis of the investigation, the evidence and its handling, a defensible account of causation, any delay and quantum analysis the case requires, and findings that distinguish fact, assumption, and opinion. It is assessed on rigour and defensibility, not on length.</w:t>
      </w:r>
    </w:p>
    <w:p w14:paraId="4BAA57EF" w14:textId="77777777" w:rsidR="000E21C0" w:rsidRDefault="00961F68">
      <w:pPr>
        <w:pStyle w:val="Heading2"/>
        <w:spacing w:before="270" w:after="110"/>
      </w:pPr>
      <w:r>
        <w:t>5.3  How it is marked</w:t>
      </w:r>
    </w:p>
    <w:p w14:paraId="60FC4DFB" w14:textId="77777777" w:rsidR="000E21C0" w:rsidRDefault="00961F68">
      <w:pPr>
        <w:spacing w:after="160" w:line="348" w:lineRule="auto"/>
        <w:jc w:val="both"/>
      </w:pPr>
      <w:r>
        <w:t>The assessment is marked against six criteria, each carrying equal weight.</w:t>
      </w:r>
    </w:p>
    <w:p w14:paraId="4A486E13" w14:textId="77777777" w:rsidR="000E21C0" w:rsidRDefault="00961F68">
      <w:pPr>
        <w:pStyle w:val="ListParagraph"/>
        <w:numPr>
          <w:ilvl w:val="0"/>
          <w:numId w:val="2"/>
        </w:numPr>
        <w:spacing w:after="70" w:line="330" w:lineRule="auto"/>
        <w:jc w:val="both"/>
      </w:pPr>
      <w:r>
        <w:rPr>
          <w:b/>
          <w:bCs/>
          <w:color w:val="C47B0B"/>
          <w:sz w:val="22"/>
          <w:szCs w:val="22"/>
        </w:rPr>
        <w:t xml:space="preserve">Investigative rigour. </w:t>
      </w:r>
      <w:r>
        <w:rPr>
          <w:sz w:val="22"/>
          <w:szCs w:val="22"/>
        </w:rPr>
        <w:t>Was the investigation planned and conducted to a sound standard?</w:t>
      </w:r>
    </w:p>
    <w:p w14:paraId="57B3AB36" w14:textId="77777777" w:rsidR="000E21C0" w:rsidRDefault="00961F68">
      <w:pPr>
        <w:pStyle w:val="ListParagraph"/>
        <w:numPr>
          <w:ilvl w:val="0"/>
          <w:numId w:val="2"/>
        </w:numPr>
        <w:spacing w:after="70" w:line="330" w:lineRule="auto"/>
        <w:jc w:val="both"/>
      </w:pPr>
      <w:r>
        <w:rPr>
          <w:b/>
          <w:bCs/>
          <w:color w:val="C47B0B"/>
          <w:sz w:val="22"/>
          <w:szCs w:val="22"/>
        </w:rPr>
        <w:t xml:space="preserve">Soundness of causation. </w:t>
      </w:r>
      <w:r>
        <w:rPr>
          <w:sz w:val="22"/>
          <w:szCs w:val="22"/>
        </w:rPr>
        <w:t>Is the causal account defensible, and free of overreach?</w:t>
      </w:r>
    </w:p>
    <w:p w14:paraId="22BC2E6E" w14:textId="77777777" w:rsidR="000E21C0" w:rsidRDefault="00961F68">
      <w:pPr>
        <w:pStyle w:val="ListParagraph"/>
        <w:numPr>
          <w:ilvl w:val="0"/>
          <w:numId w:val="2"/>
        </w:numPr>
        <w:spacing w:after="70" w:line="330" w:lineRule="auto"/>
        <w:jc w:val="both"/>
      </w:pPr>
      <w:r>
        <w:rPr>
          <w:b/>
          <w:bCs/>
          <w:color w:val="C47B0B"/>
          <w:sz w:val="22"/>
          <w:szCs w:val="22"/>
        </w:rPr>
        <w:t xml:space="preserve">Evidence handling. </w:t>
      </w:r>
      <w:r>
        <w:rPr>
          <w:sz w:val="22"/>
          <w:szCs w:val="22"/>
        </w:rPr>
        <w:t>Is the evidence gathered, preserved, and linked to findings properly?</w:t>
      </w:r>
    </w:p>
    <w:p w14:paraId="284DF672" w14:textId="77777777" w:rsidR="000E21C0" w:rsidRDefault="00961F68">
      <w:pPr>
        <w:pStyle w:val="ListParagraph"/>
        <w:numPr>
          <w:ilvl w:val="0"/>
          <w:numId w:val="2"/>
        </w:numPr>
        <w:spacing w:after="70" w:line="330" w:lineRule="auto"/>
        <w:jc w:val="both"/>
      </w:pPr>
      <w:r>
        <w:rPr>
          <w:b/>
          <w:bCs/>
          <w:color w:val="C47B0B"/>
          <w:sz w:val="22"/>
          <w:szCs w:val="22"/>
        </w:rPr>
        <w:t xml:space="preserve">Analysis. </w:t>
      </w:r>
      <w:r>
        <w:rPr>
          <w:sz w:val="22"/>
          <w:szCs w:val="22"/>
        </w:rPr>
        <w:t>Where required, are delay and quantum analysed to a defensible standard?</w:t>
      </w:r>
    </w:p>
    <w:p w14:paraId="51F44E00" w14:textId="77777777" w:rsidR="000E21C0" w:rsidRDefault="00961F68">
      <w:pPr>
        <w:pStyle w:val="ListParagraph"/>
        <w:numPr>
          <w:ilvl w:val="0"/>
          <w:numId w:val="2"/>
        </w:numPr>
        <w:spacing w:after="70" w:line="330" w:lineRule="auto"/>
        <w:jc w:val="both"/>
      </w:pPr>
      <w:r>
        <w:rPr>
          <w:b/>
          <w:bCs/>
          <w:color w:val="C47B0B"/>
          <w:sz w:val="22"/>
          <w:szCs w:val="22"/>
        </w:rPr>
        <w:t xml:space="preserve">Clarity and defensibility. </w:t>
      </w:r>
      <w:r>
        <w:rPr>
          <w:sz w:val="22"/>
          <w:szCs w:val="22"/>
        </w:rPr>
        <w:t>Would this report withstand challenge as written?</w:t>
      </w:r>
    </w:p>
    <w:p w14:paraId="246146FE" w14:textId="77777777" w:rsidR="000E21C0" w:rsidRDefault="00961F68">
      <w:pPr>
        <w:pStyle w:val="ListParagraph"/>
        <w:numPr>
          <w:ilvl w:val="0"/>
          <w:numId w:val="2"/>
        </w:numPr>
        <w:spacing w:after="70" w:line="330" w:lineRule="auto"/>
        <w:jc w:val="both"/>
      </w:pPr>
      <w:r>
        <w:rPr>
          <w:b/>
          <w:bCs/>
          <w:color w:val="C47B0B"/>
          <w:sz w:val="22"/>
          <w:szCs w:val="22"/>
        </w:rPr>
        <w:t xml:space="preserve">Judgement and independence. </w:t>
      </w:r>
      <w:r>
        <w:rPr>
          <w:sz w:val="22"/>
          <w:szCs w:val="22"/>
        </w:rPr>
        <w:t>Does the work show the judgement and independence of a practitioner?</w:t>
      </w:r>
    </w:p>
    <w:p w14:paraId="42ED54D1" w14:textId="77777777" w:rsidR="000E21C0" w:rsidRDefault="00961F68">
      <w:r>
        <w:br w:type="page"/>
      </w:r>
    </w:p>
    <w:p w14:paraId="25DBA7E6" w14:textId="77777777" w:rsidR="000E21C0" w:rsidRDefault="00961F68">
      <w:pPr>
        <w:pStyle w:val="Heading1"/>
        <w:spacing w:before="300" w:after="150"/>
      </w:pPr>
      <w:r>
        <w:t>Part Six  |  Assessment Weighting and the Pass Standard</w:t>
      </w:r>
    </w:p>
    <w:p w14:paraId="76C4F173" w14:textId="77777777" w:rsidR="000E21C0" w:rsidRDefault="000E21C0">
      <w:pPr>
        <w:pBdr>
          <w:bottom w:val="single" w:sz="8" w:space="1" w:color="C47B0B"/>
        </w:pBdr>
        <w:spacing w:before="60" w:after="160"/>
      </w:pPr>
    </w:p>
    <w:p w14:paraId="7C6FD33E" w14:textId="77777777" w:rsidR="000E21C0" w:rsidRDefault="00961F68">
      <w:pPr>
        <w:spacing w:after="160" w:line="348" w:lineRule="auto"/>
        <w:jc w:val="both"/>
      </w:pPr>
      <w:r>
        <w:t>The three assessments are examined and passed independently. The written papers carry the module weightings shown at the head of Parts Three and Four. Across the credential, the three assessments contribute as set out below, and a candidate must pass each on its own terms, and the shared foundation before them, to be certified.</w:t>
      </w:r>
    </w:p>
    <w:tbl>
      <w:tblPr>
        <w:tblW w:w="9360" w:type="dxa"/>
        <w:tblInd w:w="-3"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0"/>
        <w:gridCol w:w="3560"/>
        <w:gridCol w:w="1400"/>
        <w:gridCol w:w="1400"/>
      </w:tblGrid>
      <w:tr w:rsidR="000E21C0" w14:paraId="40173781" w14:textId="77777777">
        <w:tblPrEx>
          <w:tblCellMar>
            <w:top w:w="0" w:type="dxa"/>
            <w:bottom w:w="0" w:type="dxa"/>
          </w:tblCellMar>
        </w:tblPrEx>
        <w:trPr>
          <w:tblHeader/>
        </w:trPr>
        <w:tc>
          <w:tcPr>
            <w:tcW w:w="3000" w:type="dxa"/>
            <w:shd w:val="clear" w:color="auto" w:fill="1A5C2A"/>
            <w:tcMar>
              <w:top w:w="80" w:type="dxa"/>
              <w:left w:w="110" w:type="dxa"/>
              <w:bottom w:w="80" w:type="dxa"/>
              <w:right w:w="110" w:type="dxa"/>
            </w:tcMar>
          </w:tcPr>
          <w:p w14:paraId="6907E523" w14:textId="77777777" w:rsidR="000E21C0" w:rsidRDefault="00961F68">
            <w:r>
              <w:rPr>
                <w:b/>
                <w:bCs/>
                <w:color w:val="FFFFFF"/>
                <w:sz w:val="19"/>
                <w:szCs w:val="19"/>
              </w:rPr>
              <w:t>Assessment</w:t>
            </w:r>
          </w:p>
        </w:tc>
        <w:tc>
          <w:tcPr>
            <w:tcW w:w="3560" w:type="dxa"/>
            <w:shd w:val="clear" w:color="auto" w:fill="1A5C2A"/>
            <w:tcMar>
              <w:top w:w="80" w:type="dxa"/>
              <w:left w:w="110" w:type="dxa"/>
              <w:bottom w:w="80" w:type="dxa"/>
              <w:right w:w="110" w:type="dxa"/>
            </w:tcMar>
          </w:tcPr>
          <w:p w14:paraId="6EEE540B" w14:textId="77777777" w:rsidR="000E21C0" w:rsidRDefault="00961F68">
            <w:r>
              <w:rPr>
                <w:b/>
                <w:bCs/>
                <w:color w:val="FFFFFF"/>
                <w:sz w:val="19"/>
                <w:szCs w:val="19"/>
              </w:rPr>
              <w:t>What it tests</w:t>
            </w:r>
          </w:p>
        </w:tc>
        <w:tc>
          <w:tcPr>
            <w:tcW w:w="1400" w:type="dxa"/>
            <w:shd w:val="clear" w:color="auto" w:fill="1A5C2A"/>
            <w:tcMar>
              <w:top w:w="80" w:type="dxa"/>
              <w:left w:w="110" w:type="dxa"/>
              <w:bottom w:w="80" w:type="dxa"/>
              <w:right w:w="110" w:type="dxa"/>
            </w:tcMar>
          </w:tcPr>
          <w:p w14:paraId="481B0C27" w14:textId="77777777" w:rsidR="000E21C0" w:rsidRDefault="00961F68">
            <w:r>
              <w:rPr>
                <w:b/>
                <w:bCs/>
                <w:color w:val="FFFFFF"/>
                <w:sz w:val="19"/>
                <w:szCs w:val="19"/>
              </w:rPr>
              <w:t>Contribution</w:t>
            </w:r>
          </w:p>
        </w:tc>
        <w:tc>
          <w:tcPr>
            <w:tcW w:w="1400" w:type="dxa"/>
            <w:shd w:val="clear" w:color="auto" w:fill="1A5C2A"/>
            <w:tcMar>
              <w:top w:w="80" w:type="dxa"/>
              <w:left w:w="110" w:type="dxa"/>
              <w:bottom w:w="80" w:type="dxa"/>
              <w:right w:w="110" w:type="dxa"/>
            </w:tcMar>
          </w:tcPr>
          <w:p w14:paraId="50AE0C35" w14:textId="77777777" w:rsidR="000E21C0" w:rsidRDefault="00961F68">
            <w:r>
              <w:rPr>
                <w:b/>
                <w:bCs/>
                <w:color w:val="FFFFFF"/>
                <w:sz w:val="19"/>
                <w:szCs w:val="19"/>
              </w:rPr>
              <w:t>Pass mark</w:t>
            </w:r>
          </w:p>
        </w:tc>
      </w:tr>
      <w:tr w:rsidR="000E21C0" w14:paraId="4D4C02BC" w14:textId="77777777">
        <w:tblPrEx>
          <w:tblCellMar>
            <w:top w:w="0" w:type="dxa"/>
            <w:bottom w:w="0" w:type="dxa"/>
          </w:tblCellMar>
        </w:tblPrEx>
        <w:tc>
          <w:tcPr>
            <w:tcW w:w="3000" w:type="dxa"/>
            <w:shd w:val="clear" w:color="auto" w:fill="EAF1EC"/>
            <w:tcMar>
              <w:top w:w="70" w:type="dxa"/>
              <w:left w:w="110" w:type="dxa"/>
              <w:bottom w:w="70" w:type="dxa"/>
              <w:right w:w="110" w:type="dxa"/>
            </w:tcMar>
          </w:tcPr>
          <w:p w14:paraId="55B91911" w14:textId="77777777" w:rsidR="000E21C0" w:rsidRDefault="00961F68">
            <w:pPr>
              <w:spacing w:line="262" w:lineRule="auto"/>
            </w:pPr>
            <w:r>
              <w:rPr>
                <w:b/>
                <w:bCs/>
                <w:sz w:val="18"/>
                <w:szCs w:val="18"/>
              </w:rPr>
              <w:t>P1  Forensic Investigation and Analysis</w:t>
            </w:r>
          </w:p>
        </w:tc>
        <w:tc>
          <w:tcPr>
            <w:tcW w:w="3560" w:type="dxa"/>
            <w:shd w:val="clear" w:color="auto" w:fill="EAF1EC"/>
            <w:tcMar>
              <w:top w:w="70" w:type="dxa"/>
              <w:left w:w="110" w:type="dxa"/>
              <w:bottom w:w="70" w:type="dxa"/>
              <w:right w:w="110" w:type="dxa"/>
            </w:tcMar>
          </w:tcPr>
          <w:p w14:paraId="39038CC6" w14:textId="77777777" w:rsidR="000E21C0" w:rsidRDefault="00961F68">
            <w:pPr>
              <w:spacing w:line="262" w:lineRule="auto"/>
            </w:pPr>
            <w:r>
              <w:rPr>
                <w:sz w:val="18"/>
                <w:szCs w:val="18"/>
              </w:rPr>
              <w:t>The discipline, causation analysis, and evidence of forensic work.</w:t>
            </w:r>
          </w:p>
        </w:tc>
        <w:tc>
          <w:tcPr>
            <w:tcW w:w="1400" w:type="dxa"/>
            <w:shd w:val="clear" w:color="auto" w:fill="EAF1EC"/>
            <w:tcMar>
              <w:top w:w="70" w:type="dxa"/>
              <w:left w:w="110" w:type="dxa"/>
              <w:bottom w:w="70" w:type="dxa"/>
              <w:right w:w="110" w:type="dxa"/>
            </w:tcMar>
          </w:tcPr>
          <w:p w14:paraId="583C5B79" w14:textId="77777777" w:rsidR="000E21C0" w:rsidRDefault="00961F68">
            <w:pPr>
              <w:spacing w:line="262" w:lineRule="auto"/>
            </w:pPr>
            <w:r>
              <w:rPr>
                <w:sz w:val="18"/>
                <w:szCs w:val="18"/>
              </w:rPr>
              <w:t>30%</w:t>
            </w:r>
          </w:p>
        </w:tc>
        <w:tc>
          <w:tcPr>
            <w:tcW w:w="1400" w:type="dxa"/>
            <w:shd w:val="clear" w:color="auto" w:fill="EAF1EC"/>
            <w:tcMar>
              <w:top w:w="70" w:type="dxa"/>
              <w:left w:w="110" w:type="dxa"/>
              <w:bottom w:w="70" w:type="dxa"/>
              <w:right w:w="110" w:type="dxa"/>
            </w:tcMar>
          </w:tcPr>
          <w:p w14:paraId="1E8E1F1B" w14:textId="77777777" w:rsidR="000E21C0" w:rsidRDefault="00961F68">
            <w:pPr>
              <w:spacing w:line="262" w:lineRule="auto"/>
            </w:pPr>
            <w:r>
              <w:rPr>
                <w:sz w:val="18"/>
                <w:szCs w:val="18"/>
              </w:rPr>
              <w:t>50%</w:t>
            </w:r>
          </w:p>
        </w:tc>
      </w:tr>
      <w:tr w:rsidR="000E21C0" w14:paraId="75B1A9EA"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7811BB6A" w14:textId="77777777" w:rsidR="000E21C0" w:rsidRDefault="00961F68">
            <w:pPr>
              <w:spacing w:line="262" w:lineRule="auto"/>
            </w:pPr>
            <w:r>
              <w:rPr>
                <w:b/>
                <w:bCs/>
                <w:sz w:val="18"/>
                <w:szCs w:val="18"/>
              </w:rPr>
              <w:t>P2  Delay, Quantum, and Expert Evidence</w:t>
            </w:r>
          </w:p>
        </w:tc>
        <w:tc>
          <w:tcPr>
            <w:tcW w:w="3560" w:type="dxa"/>
            <w:shd w:val="clear" w:color="auto" w:fill="FFFFFF"/>
            <w:tcMar>
              <w:top w:w="70" w:type="dxa"/>
              <w:left w:w="110" w:type="dxa"/>
              <w:bottom w:w="70" w:type="dxa"/>
              <w:right w:w="110" w:type="dxa"/>
            </w:tcMar>
          </w:tcPr>
          <w:p w14:paraId="5B4FB888" w14:textId="77777777" w:rsidR="000E21C0" w:rsidRDefault="00961F68">
            <w:pPr>
              <w:spacing w:line="262" w:lineRule="auto"/>
            </w:pPr>
            <w:r>
              <w:rPr>
                <w:sz w:val="18"/>
                <w:szCs w:val="18"/>
              </w:rPr>
              <w:t>The analysis of delay and loss, and the giving of expert evidence.</w:t>
            </w:r>
          </w:p>
        </w:tc>
        <w:tc>
          <w:tcPr>
            <w:tcW w:w="1400" w:type="dxa"/>
            <w:shd w:val="clear" w:color="auto" w:fill="FFFFFF"/>
            <w:tcMar>
              <w:top w:w="70" w:type="dxa"/>
              <w:left w:w="110" w:type="dxa"/>
              <w:bottom w:w="70" w:type="dxa"/>
              <w:right w:w="110" w:type="dxa"/>
            </w:tcMar>
          </w:tcPr>
          <w:p w14:paraId="1C673052" w14:textId="77777777" w:rsidR="000E21C0" w:rsidRDefault="00961F68">
            <w:pPr>
              <w:spacing w:line="262" w:lineRule="auto"/>
            </w:pPr>
            <w:r>
              <w:rPr>
                <w:sz w:val="18"/>
                <w:szCs w:val="18"/>
              </w:rPr>
              <w:t>30%</w:t>
            </w:r>
          </w:p>
        </w:tc>
        <w:tc>
          <w:tcPr>
            <w:tcW w:w="1400" w:type="dxa"/>
            <w:shd w:val="clear" w:color="auto" w:fill="FFFFFF"/>
            <w:tcMar>
              <w:top w:w="70" w:type="dxa"/>
              <w:left w:w="110" w:type="dxa"/>
              <w:bottom w:w="70" w:type="dxa"/>
              <w:right w:w="110" w:type="dxa"/>
            </w:tcMar>
          </w:tcPr>
          <w:p w14:paraId="3DB57761" w14:textId="77777777" w:rsidR="000E21C0" w:rsidRDefault="00961F68">
            <w:pPr>
              <w:spacing w:line="262" w:lineRule="auto"/>
            </w:pPr>
            <w:r>
              <w:rPr>
                <w:sz w:val="18"/>
                <w:szCs w:val="18"/>
              </w:rPr>
              <w:t>50%</w:t>
            </w:r>
          </w:p>
        </w:tc>
      </w:tr>
      <w:tr w:rsidR="000E21C0" w14:paraId="779748BC" w14:textId="77777777">
        <w:tblPrEx>
          <w:tblCellMar>
            <w:top w:w="0" w:type="dxa"/>
            <w:bottom w:w="0" w:type="dxa"/>
          </w:tblCellMar>
        </w:tblPrEx>
        <w:tc>
          <w:tcPr>
            <w:tcW w:w="3000" w:type="dxa"/>
            <w:shd w:val="clear" w:color="auto" w:fill="EAF1EC"/>
            <w:tcMar>
              <w:top w:w="70" w:type="dxa"/>
              <w:left w:w="110" w:type="dxa"/>
              <w:bottom w:w="70" w:type="dxa"/>
              <w:right w:w="110" w:type="dxa"/>
            </w:tcMar>
          </w:tcPr>
          <w:p w14:paraId="3BD06281" w14:textId="77777777" w:rsidR="000E21C0" w:rsidRDefault="00961F68">
            <w:pPr>
              <w:spacing w:line="262" w:lineRule="auto"/>
            </w:pPr>
            <w:r>
              <w:rPr>
                <w:b/>
                <w:bCs/>
                <w:sz w:val="18"/>
                <w:szCs w:val="18"/>
              </w:rPr>
              <w:t>C  Competency Assessment</w:t>
            </w:r>
          </w:p>
        </w:tc>
        <w:tc>
          <w:tcPr>
            <w:tcW w:w="3560" w:type="dxa"/>
            <w:shd w:val="clear" w:color="auto" w:fill="EAF1EC"/>
            <w:tcMar>
              <w:top w:w="70" w:type="dxa"/>
              <w:left w:w="110" w:type="dxa"/>
              <w:bottom w:w="70" w:type="dxa"/>
              <w:right w:w="110" w:type="dxa"/>
            </w:tcMar>
          </w:tcPr>
          <w:p w14:paraId="445FC94D" w14:textId="77777777" w:rsidR="000E21C0" w:rsidRDefault="00961F68">
            <w:pPr>
              <w:spacing w:line="262" w:lineRule="auto"/>
            </w:pPr>
            <w:r>
              <w:rPr>
                <w:sz w:val="18"/>
                <w:szCs w:val="18"/>
              </w:rPr>
              <w:t>A full forensic investigation and report on one case.</w:t>
            </w:r>
          </w:p>
        </w:tc>
        <w:tc>
          <w:tcPr>
            <w:tcW w:w="1400" w:type="dxa"/>
            <w:shd w:val="clear" w:color="auto" w:fill="EAF1EC"/>
            <w:tcMar>
              <w:top w:w="70" w:type="dxa"/>
              <w:left w:w="110" w:type="dxa"/>
              <w:bottom w:w="70" w:type="dxa"/>
              <w:right w:w="110" w:type="dxa"/>
            </w:tcMar>
          </w:tcPr>
          <w:p w14:paraId="29BA7208" w14:textId="77777777" w:rsidR="000E21C0" w:rsidRDefault="00961F68">
            <w:pPr>
              <w:spacing w:line="262" w:lineRule="auto"/>
            </w:pPr>
            <w:r>
              <w:rPr>
                <w:sz w:val="18"/>
                <w:szCs w:val="18"/>
              </w:rPr>
              <w:t>40%</w:t>
            </w:r>
          </w:p>
        </w:tc>
        <w:tc>
          <w:tcPr>
            <w:tcW w:w="1400" w:type="dxa"/>
            <w:shd w:val="clear" w:color="auto" w:fill="EAF1EC"/>
            <w:tcMar>
              <w:top w:w="70" w:type="dxa"/>
              <w:left w:w="110" w:type="dxa"/>
              <w:bottom w:w="70" w:type="dxa"/>
              <w:right w:w="110" w:type="dxa"/>
            </w:tcMar>
          </w:tcPr>
          <w:p w14:paraId="70B55553" w14:textId="77777777" w:rsidR="000E21C0" w:rsidRDefault="00961F68">
            <w:pPr>
              <w:spacing w:line="262" w:lineRule="auto"/>
            </w:pPr>
            <w:r>
              <w:rPr>
                <w:sz w:val="18"/>
                <w:szCs w:val="18"/>
              </w:rPr>
              <w:t>Pass on its own terms</w:t>
            </w:r>
          </w:p>
        </w:tc>
      </w:tr>
    </w:tbl>
    <w:p w14:paraId="01CE509B" w14:textId="77777777" w:rsidR="000E21C0" w:rsidRDefault="000E21C0">
      <w:pPr>
        <w:spacing w:after="40"/>
      </w:pPr>
    </w:p>
    <w:tbl>
      <w:tblPr>
        <w:tblW w:w="9360" w:type="dxa"/>
        <w:tblInd w:w="5" w:type="dxa"/>
        <w:tblBorders>
          <w:top w:val="single" w:sz="2" w:space="0" w:color="C47B0B"/>
          <w:left w:val="single" w:sz="18" w:space="0" w:color="C47B0B"/>
          <w:bottom w:val="single" w:sz="2" w:space="0" w:color="C47B0B"/>
          <w:right w:val="single" w:sz="2" w:space="0" w:color="C47B0B"/>
        </w:tblBorders>
        <w:tblCellMar>
          <w:left w:w="10" w:type="dxa"/>
          <w:right w:w="10" w:type="dxa"/>
        </w:tblCellMar>
        <w:tblLook w:val="04A0" w:firstRow="1" w:lastRow="0" w:firstColumn="1" w:lastColumn="0" w:noHBand="0" w:noVBand="1"/>
      </w:tblPr>
      <w:tblGrid>
        <w:gridCol w:w="9360"/>
      </w:tblGrid>
      <w:tr w:rsidR="000E21C0" w14:paraId="797F1872" w14:textId="77777777">
        <w:tblPrEx>
          <w:tblCellMar>
            <w:top w:w="0" w:type="dxa"/>
            <w:bottom w:w="0" w:type="dxa"/>
          </w:tblCellMar>
        </w:tblPrEx>
        <w:tc>
          <w:tcPr>
            <w:tcW w:w="9360" w:type="dxa"/>
            <w:shd w:val="clear" w:color="auto" w:fill="FBF3E6"/>
            <w:tcMar>
              <w:top w:w="130" w:type="dxa"/>
              <w:left w:w="180" w:type="dxa"/>
              <w:bottom w:w="130" w:type="dxa"/>
              <w:right w:w="180" w:type="dxa"/>
            </w:tcMar>
          </w:tcPr>
          <w:p w14:paraId="62F70AF8" w14:textId="77777777" w:rsidR="000E21C0" w:rsidRDefault="00961F68">
            <w:pPr>
              <w:spacing w:after="80"/>
            </w:pPr>
            <w:r>
              <w:rPr>
                <w:b/>
                <w:bCs/>
                <w:color w:val="C47B0B"/>
                <w:sz w:val="23"/>
                <w:szCs w:val="23"/>
              </w:rPr>
              <w:t>Why the competency assessment carries the most</w:t>
            </w:r>
          </w:p>
          <w:p w14:paraId="3A6CC2EF" w14:textId="77777777" w:rsidR="000E21C0" w:rsidRDefault="00961F68">
            <w:pPr>
              <w:spacing w:line="340" w:lineRule="auto"/>
              <w:jc w:val="both"/>
            </w:pPr>
            <w:r>
              <w:rPr>
                <w:sz w:val="22"/>
                <w:szCs w:val="22"/>
              </w:rPr>
              <w:t>The written papers can confirm that a candidate knows the methods of investigation, delay, and quantum. Only the competency assessment can show whether they can run an investigation and produce findings that would hold under challenge. Because that is what the CPFE certifies, it carries the largest single share.</w:t>
            </w:r>
          </w:p>
        </w:tc>
      </w:tr>
    </w:tbl>
    <w:p w14:paraId="1BD9D483" w14:textId="77777777" w:rsidR="000E21C0" w:rsidRDefault="00961F68">
      <w:r>
        <w:br w:type="page"/>
      </w:r>
    </w:p>
    <w:p w14:paraId="0EBA6C40" w14:textId="77777777" w:rsidR="000E21C0" w:rsidRDefault="00961F68">
      <w:pPr>
        <w:pStyle w:val="Heading1"/>
        <w:spacing w:before="300" w:after="150"/>
      </w:pPr>
      <w:r>
        <w:t>Appendix  |  Command Verbs</w:t>
      </w:r>
    </w:p>
    <w:p w14:paraId="20D791BE" w14:textId="77777777" w:rsidR="000E21C0" w:rsidRDefault="000E21C0">
      <w:pPr>
        <w:pBdr>
          <w:bottom w:val="single" w:sz="8" w:space="1" w:color="C47B0B"/>
        </w:pBdr>
        <w:spacing w:before="60" w:after="160"/>
      </w:pPr>
    </w:p>
    <w:p w14:paraId="08FEEC3C" w14:textId="77777777" w:rsidR="000E21C0" w:rsidRDefault="00961F68">
      <w:pPr>
        <w:spacing w:after="160" w:line="348" w:lineRule="auto"/>
        <w:jc w:val="both"/>
      </w:pPr>
      <w:r>
        <w:t>The command verbs used in the learning outcomes signal the level of learning each expects. They are grouped here by level so that candidates, trainers, and examiners read them the same way.</w:t>
      </w:r>
    </w:p>
    <w:p w14:paraId="36B974D7" w14:textId="77777777" w:rsidR="000E21C0" w:rsidRDefault="00961F68">
      <w:pPr>
        <w:pStyle w:val="Heading3"/>
        <w:spacing w:before="220" w:after="70"/>
      </w:pPr>
      <w:r>
        <w:t>Know</w:t>
      </w:r>
    </w:p>
    <w:p w14:paraId="03C43B0B" w14:textId="77777777" w:rsidR="000E21C0" w:rsidRDefault="00961F68">
      <w:pPr>
        <w:spacing w:after="160" w:line="348" w:lineRule="auto"/>
        <w:jc w:val="both"/>
      </w:pPr>
      <w:r>
        <w:t>Define, list, identify, state, name, recall. Used where the candidate must reproduce established facts and definitions.</w:t>
      </w:r>
    </w:p>
    <w:p w14:paraId="1A19CDCB" w14:textId="77777777" w:rsidR="000E21C0" w:rsidRDefault="00961F68">
      <w:pPr>
        <w:pStyle w:val="Heading3"/>
        <w:spacing w:before="220" w:after="70"/>
      </w:pPr>
      <w:r>
        <w:t>Understand</w:t>
      </w:r>
    </w:p>
    <w:p w14:paraId="6AF8B272" w14:textId="77777777" w:rsidR="000E21C0" w:rsidRDefault="00961F68">
      <w:pPr>
        <w:spacing w:after="160" w:line="348" w:lineRule="auto"/>
        <w:jc w:val="both"/>
      </w:pPr>
      <w:r>
        <w:t>Explain, describe, distinguish, illustrate, summarise, compare. Used where the candidate must show they grasp how and why something works.</w:t>
      </w:r>
    </w:p>
    <w:p w14:paraId="61E2A71D" w14:textId="77777777" w:rsidR="000E21C0" w:rsidRDefault="00961F68">
      <w:pPr>
        <w:pStyle w:val="Heading3"/>
        <w:spacing w:before="220" w:after="70"/>
      </w:pPr>
      <w:r>
        <w:t>Apply and evaluate</w:t>
      </w:r>
    </w:p>
    <w:p w14:paraId="4F31EC5C" w14:textId="77777777" w:rsidR="000E21C0" w:rsidRDefault="00961F68">
      <w:pPr>
        <w:spacing w:after="160" w:line="348" w:lineRule="auto"/>
        <w:jc w:val="both"/>
      </w:pPr>
      <w:r>
        <w:t>Plan, conduct, apply, assess, analyse, investigate, quantify, evaluate, justify, recommend, report. Used where the candidate must use knowledge on a real case, reach a judgement, and defend it. Most outcomes in this syllabus sit here, because the credential certifies a practitioner.</w:t>
      </w:r>
    </w:p>
    <w:p w14:paraId="494563AE" w14:textId="77777777" w:rsidR="000E21C0" w:rsidRDefault="000E21C0">
      <w:pPr>
        <w:pBdr>
          <w:bottom w:val="single" w:sz="8" w:space="1" w:color="C47B0B"/>
        </w:pBdr>
        <w:spacing w:before="60" w:after="160"/>
      </w:pPr>
    </w:p>
    <w:p w14:paraId="060DF763" w14:textId="77777777" w:rsidR="000E21C0" w:rsidRDefault="00961F68">
      <w:pPr>
        <w:spacing w:before="150"/>
      </w:pPr>
      <w:r>
        <w:rPr>
          <w:b/>
          <w:bCs/>
          <w:sz w:val="20"/>
          <w:szCs w:val="20"/>
        </w:rPr>
        <w:t>African Institute of Project Assurance and Forensics (AIPAF)</w:t>
      </w:r>
    </w:p>
    <w:p w14:paraId="60D83707" w14:textId="77777777" w:rsidR="000E21C0" w:rsidRDefault="00961F68">
      <w:r>
        <w:rPr>
          <w:color w:val="4D4D4D"/>
          <w:sz w:val="19"/>
          <w:szCs w:val="19"/>
        </w:rPr>
        <w:t>Certified Project Forensic Examiner: Detailed Syllabus  •  Edition 2026</w:t>
      </w:r>
    </w:p>
    <w:sectPr w:rsidR="000E21C0">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C774F" w14:textId="77777777" w:rsidR="00961F68" w:rsidRDefault="00961F68">
      <w:r>
        <w:separator/>
      </w:r>
    </w:p>
  </w:endnote>
  <w:endnote w:type="continuationSeparator" w:id="0">
    <w:p w14:paraId="57BD0727" w14:textId="77777777" w:rsidR="00961F68" w:rsidRDefault="00961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07FE" w14:textId="77777777" w:rsidR="000E21C0" w:rsidRDefault="00961F68">
    <w:pPr>
      <w:pBdr>
        <w:top w:val="single" w:sz="4" w:space="4" w:color="C47B0B"/>
      </w:pBdr>
      <w:jc w:val="center"/>
    </w:pPr>
    <w:r>
      <w:rPr>
        <w:color w:val="4D4D4D"/>
        <w:sz w:val="15"/>
        <w:szCs w:val="15"/>
      </w:rPr>
      <w:t xml:space="preserve">AIPAF  •  CPFE Syllabus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CD2CC4">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234E3" w14:textId="77777777" w:rsidR="00961F68" w:rsidRDefault="00961F68">
      <w:r>
        <w:separator/>
      </w:r>
    </w:p>
  </w:footnote>
  <w:footnote w:type="continuationSeparator" w:id="0">
    <w:p w14:paraId="04C0D37E" w14:textId="77777777" w:rsidR="00961F68" w:rsidRDefault="00961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C8BA8" w14:textId="77777777" w:rsidR="000E21C0" w:rsidRDefault="00961F68">
    <w:pPr>
      <w:pBdr>
        <w:bottom w:val="single" w:sz="4" w:space="4" w:color="C47B0B"/>
      </w:pBdr>
      <w:jc w:val="right"/>
    </w:pPr>
    <w:r>
      <w:rPr>
        <w:b/>
        <w:bCs/>
        <w:color w:val="1A5C2A"/>
        <w:sz w:val="15"/>
        <w:szCs w:val="15"/>
      </w:rPr>
      <w:t>CPFE Detailed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08DD"/>
    <w:multiLevelType w:val="hybridMultilevel"/>
    <w:tmpl w:val="8932D7E0"/>
    <w:lvl w:ilvl="0" w:tplc="3C9A4876">
      <w:start w:val="1"/>
      <w:numFmt w:val="bullet"/>
      <w:lvlText w:val="●"/>
      <w:lvlJc w:val="left"/>
      <w:pPr>
        <w:ind w:left="720" w:hanging="360"/>
      </w:pPr>
    </w:lvl>
    <w:lvl w:ilvl="1" w:tplc="2B6E7D8A">
      <w:start w:val="1"/>
      <w:numFmt w:val="bullet"/>
      <w:lvlText w:val="○"/>
      <w:lvlJc w:val="left"/>
      <w:pPr>
        <w:ind w:left="1440" w:hanging="360"/>
      </w:pPr>
    </w:lvl>
    <w:lvl w:ilvl="2" w:tplc="A034666C">
      <w:start w:val="1"/>
      <w:numFmt w:val="bullet"/>
      <w:lvlText w:val="■"/>
      <w:lvlJc w:val="left"/>
      <w:pPr>
        <w:ind w:left="2160" w:hanging="360"/>
      </w:pPr>
    </w:lvl>
    <w:lvl w:ilvl="3" w:tplc="B4FA6E30">
      <w:start w:val="1"/>
      <w:numFmt w:val="bullet"/>
      <w:lvlText w:val="●"/>
      <w:lvlJc w:val="left"/>
      <w:pPr>
        <w:ind w:left="2880" w:hanging="360"/>
      </w:pPr>
    </w:lvl>
    <w:lvl w:ilvl="4" w:tplc="C3589490">
      <w:start w:val="1"/>
      <w:numFmt w:val="bullet"/>
      <w:lvlText w:val="○"/>
      <w:lvlJc w:val="left"/>
      <w:pPr>
        <w:ind w:left="3600" w:hanging="360"/>
      </w:pPr>
    </w:lvl>
    <w:lvl w:ilvl="5" w:tplc="0736236E">
      <w:start w:val="1"/>
      <w:numFmt w:val="bullet"/>
      <w:lvlText w:val="■"/>
      <w:lvlJc w:val="left"/>
      <w:pPr>
        <w:ind w:left="4320" w:hanging="360"/>
      </w:pPr>
    </w:lvl>
    <w:lvl w:ilvl="6" w:tplc="A01CCFB6">
      <w:start w:val="1"/>
      <w:numFmt w:val="bullet"/>
      <w:lvlText w:val="●"/>
      <w:lvlJc w:val="left"/>
      <w:pPr>
        <w:ind w:left="5040" w:hanging="360"/>
      </w:pPr>
    </w:lvl>
    <w:lvl w:ilvl="7" w:tplc="23A83FE6">
      <w:start w:val="1"/>
      <w:numFmt w:val="bullet"/>
      <w:lvlText w:val="●"/>
      <w:lvlJc w:val="left"/>
      <w:pPr>
        <w:ind w:left="5760" w:hanging="360"/>
      </w:pPr>
    </w:lvl>
    <w:lvl w:ilvl="8" w:tplc="E92E5258">
      <w:start w:val="1"/>
      <w:numFmt w:val="bullet"/>
      <w:lvlText w:val="●"/>
      <w:lvlJc w:val="left"/>
      <w:pPr>
        <w:ind w:left="6480" w:hanging="360"/>
      </w:pPr>
    </w:lvl>
  </w:abstractNum>
  <w:abstractNum w:abstractNumId="1" w15:restartNumberingAfterBreak="0">
    <w:nsid w:val="3F5563FC"/>
    <w:multiLevelType w:val="hybridMultilevel"/>
    <w:tmpl w:val="0E96F01C"/>
    <w:lvl w:ilvl="0" w:tplc="EA16CD9A">
      <w:start w:val="1"/>
      <w:numFmt w:val="bullet"/>
      <w:lvlText w:val="•"/>
      <w:lvlJc w:val="left"/>
      <w:pPr>
        <w:ind w:left="360" w:hanging="220"/>
      </w:pPr>
      <w:rPr>
        <w:color w:val="C47B0B"/>
      </w:rPr>
    </w:lvl>
    <w:lvl w:ilvl="1" w:tplc="3CC24CFC">
      <w:numFmt w:val="decimal"/>
      <w:lvlText w:val=""/>
      <w:lvlJc w:val="left"/>
    </w:lvl>
    <w:lvl w:ilvl="2" w:tplc="ADA65032">
      <w:numFmt w:val="decimal"/>
      <w:lvlText w:val=""/>
      <w:lvlJc w:val="left"/>
    </w:lvl>
    <w:lvl w:ilvl="3" w:tplc="1EA0575E">
      <w:numFmt w:val="decimal"/>
      <w:lvlText w:val=""/>
      <w:lvlJc w:val="left"/>
    </w:lvl>
    <w:lvl w:ilvl="4" w:tplc="36B2C21A">
      <w:numFmt w:val="decimal"/>
      <w:lvlText w:val=""/>
      <w:lvlJc w:val="left"/>
    </w:lvl>
    <w:lvl w:ilvl="5" w:tplc="E200C4A2">
      <w:numFmt w:val="decimal"/>
      <w:lvlText w:val=""/>
      <w:lvlJc w:val="left"/>
    </w:lvl>
    <w:lvl w:ilvl="6" w:tplc="2FA07852">
      <w:numFmt w:val="decimal"/>
      <w:lvlText w:val=""/>
      <w:lvlJc w:val="left"/>
    </w:lvl>
    <w:lvl w:ilvl="7" w:tplc="6E9AAD36">
      <w:numFmt w:val="decimal"/>
      <w:lvlText w:val=""/>
      <w:lvlJc w:val="left"/>
    </w:lvl>
    <w:lvl w:ilvl="8" w:tplc="79F64484">
      <w:numFmt w:val="decimal"/>
      <w:lvlText w:val=""/>
      <w:lvlJc w:val="left"/>
    </w:lvl>
  </w:abstractNum>
  <w:num w:numId="1" w16cid:durableId="1900283609">
    <w:abstractNumId w:val="0"/>
    <w:lvlOverride w:ilvl="0">
      <w:startOverride w:val="1"/>
    </w:lvlOverride>
  </w:num>
  <w:num w:numId="2" w16cid:durableId="1730761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1C0"/>
    <w:rsid w:val="000E21C0"/>
    <w:rsid w:val="008B04FB"/>
    <w:rsid w:val="00961F68"/>
    <w:rsid w:val="00CD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B2856"/>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1A5C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2433</Words>
  <Characters>13870</Characters>
  <Application>Microsoft Office Word</Application>
  <DocSecurity>0</DocSecurity>
  <Lines>115</Lines>
  <Paragraphs>32</Paragraphs>
  <ScaleCrop>false</ScaleCrop>
  <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CPFE Detailed Syllabus</dc:title>
  <dc:creator>Prof Degi</dc:creator>
  <cp:lastModifiedBy>Prof. De-Graft Owusu-Manu</cp:lastModifiedBy>
  <cp:revision>2</cp:revision>
  <dcterms:created xsi:type="dcterms:W3CDTF">2026-07-09T04:44:00Z</dcterms:created>
  <dcterms:modified xsi:type="dcterms:W3CDTF">2026-07-09T04:44:00Z</dcterms:modified>
</cp:coreProperties>
</file>