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47B0B"/>
          <w:spacing w:val="40"/>
          <w:sz w:val="18"/>
          <w:szCs w:val="18"/>
        </w:rPr>
        <w:t xml:space="preserve">ANNEX 2 TO PROFESSIONAL BODIES FORM A</w:t>
      </w:r>
    </w:p>
    <w:p>
      <w:pPr>
        <w:spacing w:after="60"/>
      </w:pPr>
      <w:r>
        <w:rPr>
          <w:rFonts w:ascii="Arial" w:cs="Arial" w:eastAsia="Arial" w:hAnsi="Arial"/>
          <w:b/>
          <w:bCs/>
          <w:color w:val="1A5C2A"/>
          <w:sz w:val="32"/>
          <w:szCs w:val="32"/>
        </w:rPr>
        <w:t xml:space="preserve">Schedule of Members</w:t>
      </w:r>
    </w:p>
    <w:p>
      <w:pPr>
        <w:spacing w:after="120"/>
      </w:pPr>
      <w:r>
        <w:rPr>
          <w:rFonts w:ascii="Arial" w:cs="Arial" w:eastAsia="Arial" w:hAnsi="Arial"/>
          <w:color w:val="404040"/>
          <w:sz w:val="24"/>
          <w:szCs w:val="24"/>
        </w:rPr>
        <w:t xml:space="preserve">African Institute of Project Assurance and Forensics (AIPAF)</w:t>
      </w:r>
    </w:p>
    <w:p>
      <w:pPr>
        <w:pBdr>
          <w:bottom w:val="single" w:color="C47B0B" w:sz="8" w:space="6"/>
        </w:pBdr>
        <w:spacing w:after="220"/>
      </w:pPr>
      <w:r>
        <w:rPr>
          <w:rFonts w:ascii="Arial" w:cs="Arial" w:eastAsia="Arial" w:hAnsi="Arial"/>
          <w:sz w:val="12"/>
          <w:szCs w:val="12"/>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Field</w:t>
            </w:r>
          </w:p>
        </w:tc>
        <w:tc>
          <w:tcPr>
            <w:tcW w:type="dxa" w:w="67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Particulars</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Body applying</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African Institute of Project Assurance and Forensics</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Profession as defined for registration</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Project assurance and forensics, comprising forensic delay and quantum analysis, project audit and assurance, project cost engineering, and value management</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Statutory basis</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Professional Bodies Registration Act, 1973 (NRCD 143), requirement for a list of members with qualifications and addresses</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Registering authority</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Office of the Registrar of Companies, Accra</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Register cut off date</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 on filing</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Total entries on the working register</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96</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Entries in professional grades counting toward coverage</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17</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Entries with written consent on file</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Prepared by</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De-Graft Owusu-Manu, Founding Convenor</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Status</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Working register. The filed schedule is the extract of consented entries only</w:t>
            </w:r>
          </w:p>
        </w:tc>
      </w:tr>
    </w:tbl>
    <w:p>
      <w:pPr>
        <w:spacing w:after="22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1. How this register is to be used</w:t>
      </w:r>
    </w:p>
    <w:p>
      <w:pPr>
        <w:spacing w:after="140" w:line="324"/>
        <w:jc w:val="both"/>
      </w:pPr>
      <w:r>
        <w:rPr>
          <w:rFonts w:ascii="Arial" w:cs="Arial" w:eastAsia="Arial" w:hAnsi="Arial"/>
          <w:color w:val="000000"/>
          <w:sz w:val="24"/>
          <w:szCs w:val="24"/>
        </w:rPr>
        <w:t xml:space="preserve">This document serves two related purposes and the distinction between them governs what may be filed.</w:t>
      </w:r>
    </w:p>
    <w:p>
      <w:pPr>
        <w:spacing w:after="140" w:line="324"/>
        <w:jc w:val="both"/>
      </w:pPr>
      <w:r>
        <w:rPr>
          <w:rFonts w:ascii="Arial" w:cs="Arial" w:eastAsia="Arial" w:hAnsi="Arial"/>
          <w:color w:val="000000"/>
          <w:sz w:val="24"/>
          <w:szCs w:val="24"/>
        </w:rPr>
        <w:t xml:space="preserve">As a working register, it captures the full field of persons identified by the founding convenors as candidates for association with the Institute, whether as members of the profession, as honorary fellows, or as affiliates from adjacent disciplines. Candidates are drawn from the academic staff of the College of Art and Built Environment at KNUST, from the board, management and professional associates of Green Communities International, and from the academic and industry leaders who contributed to the International Conference on Environment, Social, Governance and Sustainable Development of Africa in 2024 and 2025.</w:t>
      </w:r>
    </w:p>
    <w:p>
      <w:pPr>
        <w:spacing w:after="140" w:line="324"/>
        <w:jc w:val="both"/>
      </w:pPr>
      <w:r>
        <w:rPr>
          <w:rFonts w:ascii="Arial" w:cs="Arial" w:eastAsia="Arial" w:hAnsi="Arial"/>
          <w:color w:val="000000"/>
          <w:sz w:val="24"/>
          <w:szCs w:val="24"/>
        </w:rPr>
        <w:t xml:space="preserve">As a statutory schedule, only a subset may be filed. The Registrar treats the list of members as a representation that the persons named are members at the date of application. A person who has not signed a membership application and accepted the code of conduct is not a member, and the disciplinary jurisdiction asserted in the constitution cannot attach to that person. Every entry therefore carries a consent status, and the schedule annexed to Form A is generated as the extract of consented entries on the cut off date.</w:t>
      </w:r>
    </w:p>
    <w:p>
      <w:pPr>
        <w:spacing w:after="140" w:line="324"/>
        <w:jc w:val="both"/>
      </w:pPr>
      <w:r>
        <w:rPr>
          <w:rFonts w:ascii="Arial" w:cs="Arial" w:eastAsia="Arial" w:hAnsi="Arial"/>
          <w:color w:val="000000"/>
          <w:sz w:val="24"/>
          <w:szCs w:val="24"/>
        </w:rPr>
        <w:t xml:space="preserve">The sequence is straightforward. Issue the invitation and application form. Record the signed acceptance. Change the consent status. Generate the filing extract. Nothing here should be filed ahead of that sequence.</w:t>
      </w:r>
    </w:p>
    <w:p>
      <w:pPr>
        <w:pStyle w:val="Heading1"/>
        <w:spacing w:after="160" w:before="320"/>
      </w:pPr>
      <w:r>
        <w:rPr>
          <w:rFonts w:ascii="Arial" w:cs="Arial" w:eastAsia="Arial" w:hAnsi="Arial"/>
          <w:b/>
          <w:bCs/>
          <w:color w:val="1A5C2A"/>
          <w:sz w:val="28"/>
          <w:szCs w:val="28"/>
        </w:rPr>
        <w:t xml:space="preserve">2. Membership classes and the coverage calculation</w:t>
      </w:r>
    </w:p>
    <w:p>
      <w:pPr>
        <w:spacing w:after="140" w:line="324"/>
        <w:jc w:val="both"/>
      </w:pPr>
      <w:r>
        <w:rPr>
          <w:rFonts w:ascii="Arial" w:cs="Arial" w:eastAsia="Arial" w:hAnsi="Arial"/>
          <w:color w:val="000000"/>
          <w:sz w:val="24"/>
          <w:szCs w:val="24"/>
        </w:rPr>
        <w:t xml:space="preserve">Section 5(2) of NRCD 143 requires that the membership of a professional body represent at least seventy five per cent of all persons trained and qualified in the profession concerned. That is a ratio, and both terms of it move together. A qualified person who joins the Institute enters the numerator and the denominator; a qualified person who does not join enters the denominator alone. Enrolment is therefore never harmful. What is harmful is defining the profession so broadly that the denominator swells with practitioners the Institute has no claim to and no prospect of enrolling.</w:t>
      </w:r>
    </w:p>
    <w:p>
      <w:pPr>
        <w:spacing w:after="140" w:line="324"/>
        <w:jc w:val="both"/>
      </w:pPr>
      <w:r>
        <w:rPr>
          <w:rFonts w:ascii="Arial" w:cs="Arial" w:eastAsia="Arial" w:hAnsi="Arial"/>
          <w:color w:val="000000"/>
          <w:sz w:val="24"/>
          <w:szCs w:val="24"/>
        </w:rPr>
        <w:t xml:space="preserve">The constitution accordingly separates the classes of association into those that fall within the profession and those that do not. Only the professional grades enter the coverage calculation.</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1100"/>
        <w:gridCol w:w="3200"/>
        <w:gridCol w:w="2960"/>
      </w:tblGrid>
      <w:tr>
        <w:trPr>
          <w:tblHeader/>
        </w:trPr>
        <w:tc>
          <w:tcPr>
            <w:tcW w:type="dxa" w:w="21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Class</w:t>
            </w:r>
          </w:p>
        </w:tc>
        <w:tc>
          <w:tcPr>
            <w:tcW w:type="dxa" w:w="11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Entries</w:t>
            </w:r>
          </w:p>
        </w:tc>
        <w:tc>
          <w:tcPr>
            <w:tcW w:type="dxa" w:w="32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Basis of admission</w:t>
            </w:r>
          </w:p>
        </w:tc>
        <w:tc>
          <w:tcPr>
            <w:tcW w:type="dxa" w:w="29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Effect on coverage</w:t>
            </w:r>
          </w:p>
        </w:tc>
      </w:tr>
      <w:tr>
        <w:trPr>
          <w:tblHeader w:val="false"/>
        </w:trPr>
        <w:tc>
          <w:tcPr>
            <w:tcW w:type="dxa" w:w="2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 (FAIPAF)</w:t>
            </w:r>
          </w:p>
        </w:tc>
        <w:tc>
          <w:tcPr>
            <w:tcW w:type="dxa" w:w="1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14</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Professorial rank or equivalent standing, with teaching, examining or senior practice in project assurance and forensics</w:t>
            </w:r>
          </w:p>
        </w:tc>
        <w:tc>
          <w:tcPr>
            <w:tcW w:type="dxa" w:w="2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Counts in numerator and denominator</w:t>
            </w:r>
          </w:p>
        </w:tc>
      </w:tr>
      <w:tr>
        <w:trPr>
          <w:tblHeader w:val="false"/>
        </w:trPr>
        <w:tc>
          <w:tcPr>
            <w:tcW w:type="dxa" w:w="21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Member (MAIPAF)</w:t>
            </w:r>
          </w:p>
        </w:tc>
        <w:tc>
          <w:tcPr>
            <w:tcW w:type="dxa" w:w="11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Doctoral qualification or the AIPAF credential, with established practice in the profession</w:t>
            </w:r>
          </w:p>
        </w:tc>
        <w:tc>
          <w:tcPr>
            <w:tcW w:type="dxa" w:w="2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Counts in numerator and denominator</w:t>
            </w:r>
          </w:p>
        </w:tc>
      </w:tr>
      <w:tr>
        <w:trPr>
          <w:tblHeader w:val="false"/>
        </w:trPr>
        <w:tc>
          <w:tcPr>
            <w:tcW w:type="dxa" w:w="2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Associate (AAIPAF)</w:t>
            </w:r>
          </w:p>
        </w:tc>
        <w:tc>
          <w:tcPr>
            <w:tcW w:type="dxa" w:w="1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0</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Practising in the profession, pending assessment of qualification</w:t>
            </w:r>
          </w:p>
        </w:tc>
        <w:tc>
          <w:tcPr>
            <w:tcW w:type="dxa" w:w="2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Counts on admission to full grade</w:t>
            </w:r>
          </w:p>
        </w:tc>
      </w:tr>
      <w:tr>
        <w:trPr>
          <w:tblHeader w:val="false"/>
        </w:trPr>
        <w:tc>
          <w:tcPr>
            <w:tcW w:type="dxa" w:w="21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11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21</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Conferred on distinguished academic and institutional leaders in recognition of contribution</w:t>
            </w:r>
          </w:p>
        </w:tc>
        <w:tc>
          <w:tcPr>
            <w:tcW w:type="dxa" w:w="2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Excluded; not a qualification based grade</w:t>
            </w:r>
          </w:p>
        </w:tc>
      </w:tr>
      <w:tr>
        <w:trPr>
          <w:tblHeader w:val="false"/>
        </w:trPr>
        <w:tc>
          <w:tcPr>
            <w:tcW w:type="dxa" w:w="2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1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37</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Qualified in an adjacent discipline and engaged with the work of the Institute</w:t>
            </w:r>
          </w:p>
        </w:tc>
        <w:tc>
          <w:tcPr>
            <w:tcW w:type="dxa" w:w="2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Excluded; outside the defined profession</w:t>
            </w:r>
          </w:p>
        </w:tc>
      </w:tr>
      <w:tr>
        <w:trPr>
          <w:tblHeader w:val="false"/>
        </w:trPr>
        <w:tc>
          <w:tcPr>
            <w:tcW w:type="dxa" w:w="21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11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21</w:t>
            </w:r>
          </w:p>
        </w:tc>
        <w:tc>
          <w:tcPr>
            <w:tcW w:type="dxa" w:w="3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Doctoral candidates and early career researchers in training</w:t>
            </w:r>
          </w:p>
        </w:tc>
        <w:tc>
          <w:tcPr>
            <w:tcW w:type="dxa" w:w="2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Excluded; in training, not yet qualified</w:t>
            </w:r>
          </w:p>
        </w:tc>
      </w:tr>
      <w:tr>
        <w:trPr>
          <w:tblHeader w:val="false"/>
        </w:trPr>
        <w:tc>
          <w:tcPr>
            <w:tcW w:type="dxa" w:w="2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Total</w:t>
            </w:r>
          </w:p>
        </w:tc>
        <w:tc>
          <w:tcPr>
            <w:tcW w:type="dxa" w:w="11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96</w:t>
            </w:r>
          </w:p>
        </w:tc>
        <w:tc>
          <w:tcPr>
            <w:tcW w:type="dxa" w:w="3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w:r>
          </w:p>
        </w:tc>
        <w:tc>
          <w:tcPr>
            <w:tcW w:type="dxa" w:w="2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Counting toward coverage: 17</w:t>
            </w:r>
          </w:p>
        </w:tc>
      </w:tr>
    </w:tbl>
    <w:p>
      <w:pPr>
        <w:spacing w:after="200" w:line="324"/>
        <w:jc w:val="both"/>
      </w:pPr>
      <w:r>
        <w:rPr>
          <w:rFonts w:ascii="Arial" w:cs="Arial" w:eastAsia="Arial" w:hAnsi="Arial"/>
          <w:color w:val="000000"/>
          <w:sz w:val="24"/>
          <w:szCs w:val="24"/>
        </w:rPr>
        <w:t xml:space="preserve"/>
      </w:r>
    </w:p>
    <w:p>
      <w:pPr>
        <w:spacing w:after="140" w:line="324"/>
        <w:jc w:val="both"/>
      </w:pPr>
      <w:r>
        <w:rPr>
          <w:rFonts w:ascii="Arial" w:cs="Arial" w:eastAsia="Arial" w:hAnsi="Arial"/>
          <w:color w:val="000000"/>
          <w:sz w:val="24"/>
          <w:szCs w:val="24"/>
        </w:rPr>
        <w:t xml:space="preserve">Two consequences follow, and both are deliberate. Architecture, planning and land economy colleagues are recorded as Affiliates rather than dropped, because their association carries real institutional value while their disciplines are occupied by the Ghana Institute of Architects, the Ghana Institute of Planners and the Ghana Institution of Surveyors, and the Registrar does not register more than one professional body per profession. The international academic leadership is recorded as Honorary Fellows constituting the International Advisory Council, which is a stronger relationship than ordinary membership and costs nothing on the ratio.</w:t>
      </w:r>
    </w:p>
    <w:p>
      <w:pPr>
        <w:spacing w:after="140" w:line="324"/>
        <w:jc w:val="both"/>
      </w:pPr>
      <w:r>
        <w:rPr>
          <w:rFonts w:ascii="Arial" w:cs="Arial" w:eastAsia="Arial" w:hAnsi="Arial"/>
          <w:color w:val="000000"/>
          <w:sz w:val="24"/>
          <w:szCs w:val="24"/>
        </w:rPr>
        <w:t xml:space="preserve">Classes shown are proposed rather than conferred. Admission rests with the Membership and Credentials Committee against the criteria in the constitution.</w:t>
      </w:r>
    </w:p>
    <w:p>
      <w:pPr>
        <w:pStyle w:val="Heading1"/>
        <w:spacing w:after="160" w:before="320"/>
      </w:pPr>
      <w:r>
        <w:rPr>
          <w:rFonts w:ascii="Arial" w:cs="Arial" w:eastAsia="Arial" w:hAnsi="Arial"/>
          <w:b/>
          <w:bCs/>
          <w:color w:val="1A5C2A"/>
          <w:sz w:val="28"/>
          <w:szCs w:val="28"/>
        </w:rPr>
        <w:t xml:space="preserve">3. Coverage evidence: the postgraduate qualification pathway</w:t>
      </w:r>
    </w:p>
    <w:p>
      <w:pPr>
        <w:spacing w:after="140" w:line="324"/>
        <w:jc w:val="both"/>
      </w:pPr>
      <w:r>
        <w:rPr>
          <w:rFonts w:ascii="Arial" w:cs="Arial" w:eastAsia="Arial" w:hAnsi="Arial"/>
          <w:color w:val="000000"/>
          <w:sz w:val="24"/>
          <w:szCs w:val="24"/>
        </w:rPr>
        <w:t xml:space="preserve">The strength of this application rests on the Institute being able to show the Registrar an enumerable population rather than an estimate. The postgraduate programmes of the Department of Construction Technology and Management at KNUST provide exactly that, since they constitute the principal formal training pathway producing qualified persons in project assurance and forensics in Ghana.</w:t>
      </w:r>
    </w:p>
    <w:p>
      <w:pPr>
        <w:spacing w:after="140" w:line="324"/>
        <w:jc w:val="both"/>
      </w:pPr>
      <w:r>
        <w:rPr>
          <w:rFonts w:ascii="Arial" w:cs="Arial" w:eastAsia="Arial" w:hAnsi="Arial"/>
          <w:color w:val="000000"/>
          <w:sz w:val="24"/>
          <w:szCs w:val="24"/>
        </w:rPr>
        <w:t xml:space="preserve">The cumulative graduate roll of those programmes, certified by the Head of Department, is therefore proposed as the primary evidence of the denominator. An examining officer can verify a certified graduate roll. He cannot verify an assertion that there are approximately two hundred practitioners nationally, and an application founded on the second kind of statement invites a refusal, which is published and harder to unwind than a delay.</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1600"/>
        <w:gridCol w:w="1900"/>
        <w:gridCol w:w="1960"/>
      </w:tblGrid>
      <w:tr>
        <w:trPr>
          <w:tblHeader/>
        </w:trPr>
        <w:tc>
          <w:tcPr>
            <w:tcW w:type="dxa" w:w="39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Qualifying programme</w:t>
            </w:r>
          </w:p>
        </w:tc>
        <w:tc>
          <w:tcPr>
            <w:tcW w:type="dxa" w:w="1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Graduates to date</w:t>
            </w:r>
          </w:p>
        </w:tc>
        <w:tc>
          <w:tcPr>
            <w:tcW w:type="dxa" w:w="19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Enrolled in AIPAF</w:t>
            </w:r>
          </w:p>
        </w:tc>
        <w:tc>
          <w:tcPr>
            <w:tcW w:type="dxa" w:w="19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Coverage</w:t>
            </w:r>
          </w:p>
        </w:tc>
      </w:tr>
      <w:tr>
        <w:trPr>
          <w:tblHeader w:val="false"/>
        </w:trPr>
        <w:tc>
          <w:tcPr>
            <w:tcW w:type="dxa" w:w="3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MSc Project Forensics, KNUST</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certified</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1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computed</w:t>
            </w:r>
          </w:p>
        </w:tc>
      </w:tr>
      <w:tr>
        <w:trPr>
          <w:tblHeader w:val="false"/>
        </w:trPr>
        <w:tc>
          <w:tcPr>
            <w:tcW w:type="dxa" w:w="3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MSc Value Management, KNUST</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certified</w:t>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1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computed</w:t>
            </w:r>
          </w:p>
        </w:tc>
      </w:tr>
      <w:tr>
        <w:trPr>
          <w:tblHeader w:val="false"/>
        </w:trPr>
        <w:tc>
          <w:tcPr>
            <w:tcW w:type="dxa" w:w="3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MSc Project Cost Engineering and Management, KNUST</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certified</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1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computed</w:t>
            </w:r>
          </w:p>
        </w:tc>
      </w:tr>
      <w:tr>
        <w:trPr>
          <w:tblHeader w:val="false"/>
        </w:trPr>
        <w:tc>
          <w:tcPr>
            <w:tcW w:type="dxa" w:w="3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Comparable programmes at other Ghanaian institutions</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established</w:t>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1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computed</w:t>
            </w:r>
          </w:p>
        </w:tc>
      </w:tr>
      <w:tr>
        <w:trPr>
          <w:tblHeader w:val="false"/>
        </w:trPr>
        <w:tc>
          <w:tcPr>
            <w:tcW w:type="dxa" w:w="3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Practitioners qualified by assessed equivalence</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established</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inserted</w:t>
            </w:r>
          </w:p>
        </w:tc>
        <w:tc>
          <w:tcPr>
            <w:tcW w:type="dxa" w:w="19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computed</w:t>
            </w:r>
          </w:p>
        </w:tc>
      </w:tr>
      <w:tr>
        <w:trPr>
          <w:tblHeader w:val="false"/>
        </w:trPr>
        <w:tc>
          <w:tcPr>
            <w:tcW w:type="dxa" w:w="3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Total qualified population</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w:r>
          </w:p>
        </w:tc>
        <w:tc>
          <w:tcPr>
            <w:tcW w:type="dxa" w:w="19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Requirement: not less than 75%</w:t>
            </w:r>
          </w:p>
        </w:tc>
      </w:tr>
    </w:tbl>
    <w:p>
      <w:pPr>
        <w:spacing w:after="200" w:line="324"/>
        <w:jc w:val="both"/>
      </w:pPr>
      <w:r>
        <w:rPr>
          <w:rFonts w:ascii="Arial" w:cs="Arial" w:eastAsia="Arial" w:hAnsi="Arial"/>
          <w:color w:val="000000"/>
          <w:sz w:val="24"/>
          <w:szCs w:val="24"/>
        </w:rPr>
        <w:t xml:space="preserve"/>
      </w:r>
    </w:p>
    <w:p>
      <w:pPr>
        <w:spacing w:after="140" w:line="324"/>
        <w:jc w:val="both"/>
      </w:pPr>
      <w:r>
        <w:rPr>
          <w:rFonts w:ascii="Arial" w:cs="Arial" w:eastAsia="Arial" w:hAnsi="Arial"/>
          <w:color w:val="000000"/>
          <w:sz w:val="24"/>
          <w:szCs w:val="24"/>
        </w:rPr>
        <w:t xml:space="preserve">Three points on completing that table. Graduates count and current students do not, since a person in training is not yet trained and qualified within the meaning of section 5(2); current students should nonetheless be enrolled in the Graduate class as the pipeline of the Institute. The count must be established before the definition of the profession is finalised, because a profession comprising fewer than fifty qualified persons cannot be registered without presidential dispensation, and the workable range sits between roughly sixty and two hundred. And the survey of comparable programmes at other institutions should be done honestly and documented, since an incomplete denominator discovered later is more damaging than a larger one disclosed at the outset.</w:t>
      </w:r>
    </w:p>
    <w:p>
      <w:pPr>
        <w:pStyle w:val="Heading1"/>
        <w:spacing w:after="160" w:before="320"/>
      </w:pPr>
      <w:r>
        <w:rPr>
          <w:rFonts w:ascii="Arial" w:cs="Arial" w:eastAsia="Arial" w:hAnsi="Arial"/>
          <w:b/>
          <w:bCs/>
          <w:color w:val="1A5C2A"/>
          <w:sz w:val="28"/>
          <w:szCs w:val="28"/>
        </w:rPr>
        <w:t xml:space="preserve">4. Source key</w:t>
      </w:r>
    </w:p>
    <w:p>
      <w:pPr>
        <w:spacing w:after="140" w:line="324"/>
        <w:jc w:val="both"/>
      </w:pPr>
      <w:r>
        <w:rPr>
          <w:rFonts w:ascii="Arial" w:cs="Arial" w:eastAsia="Arial" w:hAnsi="Arial"/>
          <w:color w:val="000000"/>
          <w:sz w:val="24"/>
          <w:szCs w:val="24"/>
        </w:rPr>
        <w:t xml:space="preserve">The source column in the register records where each candidate was identified. It exists so that any entry can be traced back to its evidence if the Registrar queries it, and so that the correct invitation and covering letter can be issued. Where a candidate appears from more than one source, all are recorded.</w:t>
      </w:r>
    </w:p>
    <w:p>
      <w:pPr>
        <w:pStyle w:val="ListParagraph"/>
        <w:numPr>
          <w:ilvl w:val="0"/>
          <w:numId w:val="2"/>
        </w:numPr>
        <w:spacing w:after="90" w:line="324"/>
        <w:jc w:val="both"/>
      </w:pPr>
      <w:r>
        <w:rPr>
          <w:rFonts w:ascii="Arial" w:cs="Arial" w:eastAsia="Arial" w:hAnsi="Arial"/>
          <w:sz w:val="24"/>
          <w:szCs w:val="24"/>
        </w:rPr>
        <w:t xml:space="preserve">A. Founding cohort of the Institute.</w:t>
      </w:r>
    </w:p>
    <w:p>
      <w:pPr>
        <w:pStyle w:val="ListParagraph"/>
        <w:numPr>
          <w:ilvl w:val="0"/>
          <w:numId w:val="2"/>
        </w:numPr>
        <w:spacing w:after="90" w:line="324"/>
        <w:jc w:val="both"/>
      </w:pPr>
      <w:r>
        <w:rPr>
          <w:rFonts w:ascii="Arial" w:cs="Arial" w:eastAsia="Arial" w:hAnsi="Arial"/>
          <w:sz w:val="24"/>
          <w:szCs w:val="24"/>
        </w:rPr>
        <w:t xml:space="preserve">B. Academic staff of the College of Art and Built Environment, KNUST.</w:t>
      </w:r>
    </w:p>
    <w:p>
      <w:pPr>
        <w:pStyle w:val="ListParagraph"/>
        <w:numPr>
          <w:ilvl w:val="0"/>
          <w:numId w:val="2"/>
        </w:numPr>
        <w:spacing w:after="90" w:line="324"/>
        <w:jc w:val="both"/>
      </w:pPr>
      <w:r>
        <w:rPr>
          <w:rFonts w:ascii="Arial" w:cs="Arial" w:eastAsia="Arial" w:hAnsi="Arial"/>
          <w:sz w:val="24"/>
          <w:szCs w:val="24"/>
        </w:rPr>
        <w:t xml:space="preserve">C. Board, management and professional associates of Green Communities International.</w:t>
      </w:r>
    </w:p>
    <w:p>
      <w:pPr>
        <w:pStyle w:val="ListParagraph"/>
        <w:numPr>
          <w:ilvl w:val="0"/>
          <w:numId w:val="2"/>
        </w:numPr>
        <w:spacing w:after="90" w:line="324"/>
        <w:jc w:val="both"/>
      </w:pPr>
      <w:r>
        <w:rPr>
          <w:rFonts w:ascii="Arial" w:cs="Arial" w:eastAsia="Arial" w:hAnsi="Arial"/>
          <w:sz w:val="24"/>
          <w:szCs w:val="24"/>
        </w:rPr>
        <w:t xml:space="preserve">D. Speaker, presenter, panellist or session contributor at ICESDA 2024.</w:t>
      </w:r>
    </w:p>
    <w:p>
      <w:pPr>
        <w:pStyle w:val="ListParagraph"/>
        <w:numPr>
          <w:ilvl w:val="0"/>
          <w:numId w:val="2"/>
        </w:numPr>
        <w:spacing w:after="90" w:line="324"/>
        <w:jc w:val="both"/>
      </w:pPr>
      <w:r>
        <w:rPr>
          <w:rFonts w:ascii="Arial" w:cs="Arial" w:eastAsia="Arial" w:hAnsi="Arial"/>
          <w:sz w:val="24"/>
          <w:szCs w:val="24"/>
        </w:rPr>
        <w:t xml:space="preserve">E. Speaker, chair, panellist or facilitator at ICESDA 2025.</w:t>
      </w:r>
    </w:p>
    <w:p>
      <w:pPr>
        <w:spacing w:after="140" w:line="324"/>
        <w:jc w:val="both"/>
      </w:pPr>
      <w:r>
        <w:rPr>
          <w:rFonts w:ascii="Arial" w:cs="Arial" w:eastAsia="Arial" w:hAnsi="Arial"/>
          <w:color w:val="000000"/>
          <w:sz w:val="24"/>
          <w:szCs w:val="24"/>
        </w:rPr>
        <w:t xml:space="preserve">Entries marked "to be confirmed" require verification of qualification or current affiliation before the candidate is moved to consented status.</w:t>
      </w:r>
    </w:p>
    <w:p>
      <w:pPr>
        <w:pStyle w:val="Heading1"/>
        <w:spacing w:after="160" w:before="320"/>
      </w:pPr>
      <w:r>
        <w:rPr>
          <w:rFonts w:ascii="Arial" w:cs="Arial" w:eastAsia="Arial" w:hAnsi="Arial"/>
          <w:b/>
          <w:bCs/>
          <w:color w:val="1A5C2A"/>
          <w:sz w:val="28"/>
          <w:szCs w:val="28"/>
        </w:rPr>
        <w:t xml:space="preserve">5. Rolls still to be imported</w:t>
      </w:r>
    </w:p>
    <w:p>
      <w:pPr>
        <w:spacing w:after="140" w:line="324"/>
        <w:jc w:val="both"/>
      </w:pPr>
      <w:r>
        <w:rPr>
          <w:rFonts w:ascii="Arial" w:cs="Arial" w:eastAsia="Arial" w:hAnsi="Arial"/>
          <w:color w:val="000000"/>
          <w:sz w:val="24"/>
          <w:szCs w:val="24"/>
        </w:rPr>
        <w:t xml:space="preserve">The entries in section 6 capture every individual for whom the founding convenors hold documentary evidence at the date of preparation. Three further rolls remain to be imported.</w:t>
      </w:r>
    </w:p>
    <w:p>
      <w:pPr>
        <w:pStyle w:val="ListParagraph"/>
        <w:numPr>
          <w:ilvl w:val="0"/>
          <w:numId w:val="2"/>
        </w:numPr>
        <w:spacing w:after="90" w:line="324"/>
        <w:jc w:val="both"/>
      </w:pPr>
      <w:r>
        <w:rPr>
          <w:rFonts w:ascii="Arial" w:cs="Arial" w:eastAsia="Arial" w:hAnsi="Arial"/>
          <w:sz w:val="24"/>
          <w:szCs w:val="24"/>
        </w:rPr>
        <w:t xml:space="preserve">The alumni rolls of the MSc Project Forensics, MSc Value Management and MSc Project Cost Engineering and Management programmes, from the Department of Construction Technology and Management. These are the priority, since they populate both the numerator and the denominator.</w:t>
      </w:r>
    </w:p>
    <w:p>
      <w:pPr>
        <w:pStyle w:val="ListParagraph"/>
        <w:numPr>
          <w:ilvl w:val="0"/>
          <w:numId w:val="2"/>
        </w:numPr>
        <w:spacing w:after="90" w:line="324"/>
        <w:jc w:val="both"/>
      </w:pPr>
      <w:r>
        <w:rPr>
          <w:rFonts w:ascii="Arial" w:cs="Arial" w:eastAsia="Arial" w:hAnsi="Arial"/>
          <w:sz w:val="24"/>
          <w:szCs w:val="24"/>
        </w:rPr>
        <w:t xml:space="preserve">The current student registers of the same three programmes, for enrolment in the Graduate class.</w:t>
      </w:r>
    </w:p>
    <w:p>
      <w:pPr>
        <w:pStyle w:val="ListParagraph"/>
        <w:numPr>
          <w:ilvl w:val="0"/>
          <w:numId w:val="2"/>
        </w:numPr>
        <w:spacing w:after="90" w:line="324"/>
        <w:jc w:val="both"/>
      </w:pPr>
      <w:r>
        <w:rPr>
          <w:rFonts w:ascii="Arial" w:cs="Arial" w:eastAsia="Arial" w:hAnsi="Arial"/>
          <w:sz w:val="24"/>
          <w:szCs w:val="24"/>
        </w:rPr>
        <w:t xml:space="preserve">The balance of the academic staff establishment of the Departments of Construction Technology and Management, Land Economy, Planning and Architecture, from the College Secretariat.</w:t>
      </w:r>
    </w:p>
    <w:p>
      <w:pPr>
        <w:spacing w:after="140" w:line="324"/>
        <w:jc w:val="both"/>
      </w:pPr>
      <w:r>
        <w:rPr>
          <w:rFonts w:ascii="Arial" w:cs="Arial" w:eastAsia="Arial" w:hAnsi="Arial"/>
          <w:color w:val="000000"/>
          <w:sz w:val="24"/>
          <w:szCs w:val="24"/>
        </w:rPr>
        <w:t xml:space="preserve">Request all three formally through the Heads of Department rather than compiling them from public sources, since personal particulars are involved and the filed schedule sits on a public register. Invitations go to individuals; departmental endorsement is not membership.</w:t>
      </w:r>
    </w:p>
    <w:p>
      <w:pPr>
        <w:sectPr>
          <w:headerReference w:type="default" r:id="rId7"/>
          <w:footerReference w:type="default" r:id="rId8"/>
          <w:pgSz w:w="11906" w:h="16838" w:orient="portrait"/>
          <w:pgMar w:top="1100" w:right="1080" w:bottom="1100" w:left="1080" w:header="708" w:footer="708" w:gutter="0"/>
          <w:pgNumType/>
          <w:docGrid w:linePitch="360"/>
        </w:sectPr>
      </w:pPr>
    </w:p>
    <w:p>
      <w:pPr>
        <w:pStyle w:val="Heading1"/>
        <w:spacing w:after="160" w:before="320"/>
      </w:pPr>
      <w:r>
        <w:rPr>
          <w:rFonts w:ascii="Arial" w:cs="Arial" w:eastAsia="Arial" w:hAnsi="Arial"/>
          <w:b/>
          <w:bCs/>
          <w:color w:val="1A5C2A"/>
          <w:sz w:val="28"/>
          <w:szCs w:val="28"/>
        </w:rPr>
        <w:t xml:space="preserve">6. Working register</w:t>
      </w:r>
    </w:p>
    <w:p>
      <w:pPr>
        <w:spacing w:after="200" w:line="324"/>
        <w:jc w:val="both"/>
      </w:pPr>
      <w:r>
        <w:rPr>
          <w:rFonts w:ascii="Arial" w:cs="Arial" w:eastAsia="Arial" w:hAnsi="Arial"/>
          <w:color w:val="000000"/>
          <w:sz w:val="24"/>
          <w:szCs w:val="24"/>
        </w:rPr>
        <w:t xml:space="preserve">Consent status governs what may be filed. Entries marked "Pending" are candidates, not members. The coverage column shows whether the entry falls within the defined profession and therefore enters the calculation under section 5(2). The source column records where the candidate was identified, using the key at section 4: A founding cohort, B KNUST College of Art and Built Environment, C Green Communities International, D ICESDA 2024, E ICESDA 2025.</w:t>
      </w:r>
    </w:p>
    <w:tbl>
      <w:tblPr>
        <w:tblW w:type="dxa" w:w="14678"/>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450"/>
        <w:gridCol w:w="2550"/>
        <w:gridCol w:w="1450"/>
        <w:gridCol w:w="3878"/>
        <w:gridCol w:w="1050"/>
        <w:gridCol w:w="1200"/>
        <w:gridCol w:w="1600"/>
      </w:tblGrid>
      <w:tr>
        <w:trPr>
          <w:tblHeader/>
        </w:trPr>
        <w:tc>
          <w:tcPr>
            <w:tcW w:type="dxa" w:w="5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No.</w:t>
            </w:r>
          </w:p>
        </w:tc>
        <w:tc>
          <w:tcPr>
            <w:tcW w:type="dxa" w:w="245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Full name</w:t>
            </w:r>
          </w:p>
        </w:tc>
        <w:tc>
          <w:tcPr>
            <w:tcW w:type="dxa" w:w="255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Professional qualification</w:t>
            </w:r>
          </w:p>
        </w:tc>
        <w:tc>
          <w:tcPr>
            <w:tcW w:type="dxa" w:w="145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Class</w:t>
            </w:r>
          </w:p>
        </w:tc>
        <w:tc>
          <w:tcPr>
            <w:tcW w:type="dxa" w:w="3878"/>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Institutional affiliation and address for service</w:t>
            </w:r>
          </w:p>
        </w:tc>
        <w:tc>
          <w:tcPr>
            <w:tcW w:type="dxa" w:w="105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Source</w:t>
            </w:r>
          </w:p>
        </w:tc>
        <w:tc>
          <w:tcPr>
            <w:tcW w:type="dxa" w:w="12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Consent</w:t>
            </w:r>
          </w:p>
        </w:tc>
        <w:tc>
          <w:tcPr>
            <w:tcW w:type="dxa" w:w="1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In coverage</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De-Graft Owusu-Manu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of Construction Finance and Project Management</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 B, C, 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Mrs. Matilda Owusu-Manu</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 be confirmed on consent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Green Communities International,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 C</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Christian Sewordor Mensah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Executive Director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African Centre for Business Incubation,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 C,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Joshua Ayarkwa</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former Provost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College of Art and Built Environment,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Edward Badu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of Construction Management</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Theophilus Adjei-Kumi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Head of Department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Emmanuel Adinyira</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of Construction Management</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Bernard Kofi Baiden</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of Construction Management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Divine Kwaku Ahadzie</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Director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Centre for Settlement Studies,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Ernest Kissi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Senior Lecturer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Member</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Michael Nii Addy Adesi</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Senior Lecturer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Member</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Alex Acheampong</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Lecturer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Member</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Kenneth Appiah Donkor-Hyiaman</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Senior Lecturer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Land Economy,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Daniel Yaw Addai Duah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Associate Professor; Dean</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Architecture,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Rexford Assassie Oppong</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of Architecture</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Architecture,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(Mrs.) Ayisha Ida Baffoe-Eshun</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Lecturer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Architecture,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Prince Osei-Wusu Adjei</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Geography and Rural Development,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Kingsley Opoku Appiah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Vice Dean</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KNUST School of Business,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19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Rev. Prof. Ing. Joseph Ignatius Teye Buertey</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Associate Professor; Dean; Registered Engineer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Faculty of Built Environment, Pentecost University,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Matthew Kwaw Somiah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Associate Professor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Engineering and Management, Takoradi Technical University,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Engr. Prof. Humphrey Danso</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Associate Professor; Registered Engineer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and Wood Technology Education, AAMUSTED,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Richard Ohene Asiedu</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Pro Vice Chancellor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Koforidua Technical University, Koforidua,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Francis Kwesi Bondinuba</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Kumasi Technical University,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Ebenezer Adaku</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Deputy Rector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Ghana Institute of Management and Public Administration,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Ing. Prof. Kwadwo Adinkrah-Appiah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Vice Chancellor; Registered Engineer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Sunyani Technical University, Sunyani,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Yes</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George Ofori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Dean</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School of Built Environment and Architecture, London South Bank University, United Kingdom</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David John Edwards</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Birmingham City University, Birmingham, United Kingdom</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Clinton Ohis Aigbavboa</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Management and Quantity Surveying, University of Johannesburg, South Africa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29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Wellington Didibhuku Thwala</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Executive Dean</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Faculty of Engineering, Built Environment and Information Technology, Walter Sisulu University, South Africa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Nnamdi Nwulu</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University of Johannesburg, South Africa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Margaret King</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Global Institute for Planning and Sustainable Development, United States of America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Douglas Boateng</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Executive Chair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PanAvest International,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Maxwell Fordjour Antwi-Afari</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Senior Lecturer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Aston University, Birmingham, United Kingdom (affiliation to be confirmed)</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Ehsan Saghatforoush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Senior Lecturer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South Africa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P. Kio</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United Kingdom</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(Mrs.) Goski Alabi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Vice Chancellor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Accra Metropolitan University,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Samuel Kwaku Bonsu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Rector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Ghana Institute of Management and Public Administration,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Tsotetsi Makong</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Director of Coordination and Programmes</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AfCFTA Secretariat,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39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Joseph Siaw Agyepong</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Executive Chairman; honorary doctorate</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Jospong Group of Companies,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Daniel McKorley</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Chairman and Chief Executive; honorary doctorate</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McDan Group of Companies,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Samuel Amo Tobin</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Chief Executive; honorary doctorate</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Tobinco Group of Companies,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Bright Adom</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Chief Executive; honorary doctorate</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Adom Group of Companies,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Rev. Dr. Nanayaa Tina Owusu-Prempeh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Chairman and Chief Executive</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Tin-Ifa Group,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Rev. Ing. Edmund Yirenkyi Fianko</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Registered Engineer; Director General</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National Communications Authority,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Rev. (Mrs.) Angela Carmen Appiah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Chief Executive;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 Corporate Governance Network,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Nana Yaa Serwaa Sarpong</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Founder and President;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Honorary Fellow</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Women in Sustainability Africa,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Engr. Prof. Mike Agbesi Acheampong</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Registered Engineer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Chemical Engineering, All Nations University, Koforidua,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Emmanuel Appiah-Kubi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Dean</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Faculty of Technical Education, AAMUSTED,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49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Bernard Acquah Obeng</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Dean</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GIMPA Business School,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Samuel Antwi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Pro Vice Chancellor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University of Professional Studies,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Kwame Asamoah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University of Ghana Business School, Legon,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(Mrs.) Adwoa Yirenkyi-Fianko</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 Head of Department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Management Science, GIMPA,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John Owusu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Professor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Koforidua Technical University, Koforidua,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Ben Asante</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Lecturer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Ghana Communication Technology University,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Ing. Dr. Shelter Lotsu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Registered Engineer; Founder and Chief Executive</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TSL Sustainability,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Engr. Dr. Anna Amankwah-Minkah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Registered Engineer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Institution of Engineering and Technology Ghana,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Ing. Kwadwo Boateng</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Registered Engineer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Institution of Engineering and Technology Ghana,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Ing. Felix Kwame Atsrim</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Registered Engineer; Chief Executive</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FeDems Group,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 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59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Glenn Kwabena Gyimah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General Manager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Jospong Group of Companies,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Abena Asomeni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Jospong Group of Companies,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Charles Gyamfi Ofori</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Policy Lead, Climate Change and Energy Transition</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 Centre for Energy Policy,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Dr. Desmond Bugbilla</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PhD;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Abdel-Razak Yakubu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Executive Secretary;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Gold Fields Ghana Foundation, Tarkwa and Damang,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Daniel Kontie</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Chief Executive;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 Continental Engineering and Construction Network Limited,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Abdul-Latif Seidu Bogobiri</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Executive Director;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Bogolat Business Consult,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Andrew Akoto</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Investment Adviser and Consultant;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Injaro Investment Advisors,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Samuel Kweku Kumah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 and Impact Management Officer;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Fidelity Bank Ghana Limited,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Mrs. Majorie Quansah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Corporate Social Responsibility Coordinator;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Fidelity Bank Ghana Limited,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69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Ms. Seyram Awushie Agbemenya</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Coordinator, Climate and Energy Programmes;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African Capacity Building Foundation, Harare, Zimbabwe</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Komla Buami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Qualification to be confirmed on consent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Telecel Ghana Limited, Accra,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Eric Asamoah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Data analysis specialist;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 Centre for Doctoral Studies and Applied Research,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Hayford Eshun</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Qualification to be confirmed on consent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Jocilyn Kwame Gyelaa</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Qualification to be confirmed on consent</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Ms. Bridgetta Glover</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Qualification to be confirmed on consent</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Mrs. Brew Hammond Abbah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Qualification to be confirmed on consent</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Accra,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D. E. Dzramado</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S. Kotey</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E. M. Fynn</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79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J. Owusu-Boadi</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M. I. Abu</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C. Owusu-Dapaah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Alexander Baah Amoakwa</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O. R. Asiedu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S. Gyimah</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M. M. Opoku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V. Acheamfuor</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Department of Construction Technology and Management, KNUST, Kumasi,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B, 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87</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Bismarck Ackah</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88</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Ms. Rhoda Osei</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89</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M. W. Manpaya</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Ghana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90</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T. Mndawe</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Affiliation to be confirmed, South Africa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91</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 Sam</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Postgraduate researcher</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University of Johannesburg, South Africa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92</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Adeyemi Aderin</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University of Greenwich, London, United Kingdom</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93</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W. O. Shittu</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Lagos, Nigeria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94</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A. I. Abass</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Lagos, Nigeria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95</w:t>
            </w:r>
          </w:p>
        </w:tc>
        <w:tc>
          <w:tcPr>
            <w:tcW w:type="dxa" w:w="2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O. O. Adebayo</w:t>
            </w:r>
          </w:p>
        </w:tc>
        <w:tc>
          <w:tcPr>
            <w:tcW w:type="dxa" w:w="25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Lagos, Nigeria</w:t>
            </w:r>
          </w:p>
        </w:tc>
        <w:tc>
          <w:tcPr>
            <w:tcW w:type="dxa" w:w="105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r>
        <w:trPr>
          <w:tblHeader w:val="false"/>
        </w:trPr>
        <w:tc>
          <w:tcPr>
            <w:tcW w:type="dxa" w:w="5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96</w:t>
            </w:r>
          </w:p>
        </w:tc>
        <w:tc>
          <w:tcPr>
            <w:tcW w:type="dxa" w:w="2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Mr. S. R. Abdulazeez</w:t>
            </w:r>
          </w:p>
        </w:tc>
        <w:tc>
          <w:tcPr>
            <w:tcW w:type="dxa" w:w="25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Researcher; qualification to be confirmed</w:t>
            </w:r>
          </w:p>
        </w:tc>
        <w:tc>
          <w:tcPr>
            <w:tcW w:type="dxa" w:w="14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Graduate</w:t>
            </w:r>
          </w:p>
        </w:tc>
        <w:tc>
          <w:tcPr>
            <w:tcW w:type="dxa" w:w="3878"/>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Lagos, Nigeria</w:t>
            </w:r>
          </w:p>
        </w:tc>
        <w:tc>
          <w:tcPr>
            <w:tcW w:type="dxa" w:w="105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w:t>
            </w:r>
          </w:p>
        </w:tc>
        <w:tc>
          <w:tcPr>
            <w:tcW w:type="dxa" w:w="12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Pending</w:t>
            </w:r>
          </w:p>
        </w:tc>
        <w:tc>
          <w:tcPr>
            <w:tcW w:type="dxa" w:w="1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w:t>
            </w:r>
          </w:p>
        </w:tc>
      </w:tr>
    </w:tbl>
    <w:p>
      <w:pPr>
        <w:sectPr>
          <w:headerReference w:type="default" r:id="rId9"/>
          <w:footerReference w:type="default" r:id="rId10"/>
          <w:pgSz w:w="16838" w:h="11906" w:orient="landscape"/>
          <w:pgMar w:top="900" w:right="1080" w:bottom="900" w:left="1080" w:header="708" w:footer="708" w:gutter="0"/>
          <w:pgNumType/>
          <w:docGrid w:linePitch="360"/>
        </w:sectPr>
      </w:pPr>
    </w:p>
    <w:p>
      <w:pPr>
        <w:pStyle w:val="Heading1"/>
        <w:spacing w:after="160" w:before="320"/>
      </w:pPr>
      <w:r>
        <w:rPr>
          <w:rFonts w:ascii="Arial" w:cs="Arial" w:eastAsia="Arial" w:hAnsi="Arial"/>
          <w:b/>
          <w:bCs/>
          <w:color w:val="1A5C2A"/>
          <w:sz w:val="28"/>
          <w:szCs w:val="28"/>
        </w:rPr>
        <w:t xml:space="preserve">7. Institutional partners</w:t>
      </w:r>
    </w:p>
    <w:p>
      <w:pPr>
        <w:spacing w:after="140" w:line="324"/>
        <w:jc w:val="both"/>
      </w:pPr>
      <w:r>
        <w:rPr>
          <w:rFonts w:ascii="Arial" w:cs="Arial" w:eastAsia="Arial" w:hAnsi="Arial"/>
          <w:color w:val="000000"/>
          <w:sz w:val="24"/>
          <w:szCs w:val="24"/>
        </w:rPr>
        <w:t xml:space="preserve">Organisations are not persons trained and qualified in a profession and do not enter the coverage calculation. They are recorded in a separate register of institutional partners, which is not filed with Form A but supports the statement of activities.</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Organisation</w:t>
            </w:r>
          </w:p>
        </w:tc>
        <w:tc>
          <w:tcPr>
            <w:tcW w:type="dxa" w:w="468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Basis of association</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Green Communities International</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Promoting institution</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Kwame Nkrumah University of Science and Technology</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Qualifying academic institution</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Jospong Group of Companies</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Industry partner, ICESDA 2024 and 2025</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Telecel Ghana Limited</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Corporate partner, ICESDA 2025</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Fidelity Bank Ghana Limited</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Corporate partner, ICESDA 2024</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Gold Fields Ghana Foundation</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Industry partner, ICESDA 2024</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Tobinco Group of Companies</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Corporate sponsor, ICESDA 2025</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Adom Group of Companies</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Corporate sponsor, ICESDA 2025</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FeDems Group</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Industry partner, ICESDA 2024 and 2025</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National Communications Authority</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Regulatory partner, ICESDA 2025</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Institution of Engineering and Technology Ghana</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Professional body partner</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Africa Corporate Governance Network</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Professional network partner</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Women in Sustainability Africa</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Professional network partner</w:t>
            </w:r>
          </w:p>
        </w:tc>
      </w:tr>
    </w:tbl>
    <w:p>
      <w:pPr>
        <w:spacing w:after="24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8. Certification</w:t>
      </w:r>
    </w:p>
    <w:p>
      <w:pPr>
        <w:spacing w:after="140" w:line="324"/>
        <w:jc w:val="both"/>
      </w:pPr>
      <w:r>
        <w:rPr>
          <w:rFonts w:ascii="Arial" w:cs="Arial" w:eastAsia="Arial" w:hAnsi="Arial"/>
          <w:color w:val="000000"/>
          <w:sz w:val="24"/>
          <w:szCs w:val="24"/>
        </w:rPr>
        <w:t xml:space="preserve">The certificate below is executed only when the schedule filed with the Registrar consists exclusively of consented entries.</w:t>
      </w:r>
    </w:p>
    <w:p>
      <w:pPr>
        <w:spacing w:after="200" w:line="324"/>
        <w:jc w:val="both"/>
      </w:pPr>
      <w:r>
        <w:rPr>
          <w:rFonts w:ascii="Arial" w:cs="Arial" w:eastAsia="Arial" w:hAnsi="Arial"/>
          <w:color w:val="000000"/>
          <w:sz w:val="24"/>
          <w:szCs w:val="24"/>
        </w:rPr>
        <w:t xml:space="preserve"/>
      </w:r>
    </w:p>
    <w:p>
      <w:pPr>
        <w:spacing w:after="140" w:line="324"/>
        <w:jc w:val="both"/>
      </w:pPr>
      <w:r>
        <w:rPr>
          <w:rFonts w:ascii="Arial" w:cs="Arial" w:eastAsia="Arial" w:hAnsi="Arial"/>
          <w:color w:val="000000"/>
          <w:sz w:val="24"/>
          <w:szCs w:val="24"/>
        </w:rPr>
        <w:t xml:space="preserve">We certify that the persons named in the schedule annexed to Professional Bodies Form A are members of the African Institute of Project Assurance and Forensics as at the cut off date shown, that each has made written application for membership and accepted the code of conduct of the Institute, and that the particulars of qualification and address recorded against each name are true to the best of our knowledge.</w:t>
      </w:r>
    </w:p>
    <w:p>
      <w:pPr>
        <w:spacing w:after="40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President</w:t>
            </w:r>
          </w:p>
        </w:tc>
        <w:tc>
          <w:tcPr>
            <w:tcW w:type="dxa" w:w="468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Honorary Secretary</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Signature
</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
Signature
</w:t>
            </w:r>
          </w:p>
        </w:tc>
      </w:tr>
      <w:tr>
        <w:trPr>
          <w:tblHeader w:val="false"/>
        </w:trPr>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Name</w:t>
            </w:r>
          </w:p>
        </w:tc>
        <w:tc>
          <w:tcPr>
            <w:tcW w:type="dxa" w:w="468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Name</w:t>
            </w:r>
          </w:p>
        </w:tc>
      </w:tr>
      <w:tr>
        <w:trPr>
          <w:tblHeader w:val="false"/>
        </w:trPr>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Date</w:t>
            </w:r>
          </w:p>
        </w:tc>
        <w:tc>
          <w:tcPr>
            <w:tcW w:type="dxa" w:w="468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Date</w:t>
            </w:r>
          </w:p>
        </w:tc>
      </w:tr>
    </w:tbl>
    <w:p>
      <w:pPr>
        <w:spacing w:after="24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9. Search of the register of professional bodies</w:t>
      </w:r>
    </w:p>
    <w:p>
      <w:pPr>
        <w:spacing w:after="140" w:line="324"/>
        <w:jc w:val="both"/>
      </w:pPr>
      <w:r>
        <w:rPr>
          <w:rFonts w:ascii="Arial" w:cs="Arial" w:eastAsia="Arial" w:hAnsi="Arial"/>
          <w:color w:val="000000"/>
          <w:sz w:val="24"/>
          <w:szCs w:val="24"/>
        </w:rPr>
        <w:t xml:space="preserve">The register published by the ORC in August 2024 records eighty three registered professional bodies, of which forty were in good standing at 31 July 2024 and forty three were not, together with eleven newly registered bodies and four that requested removal on gaining chartered status by Act of Parliament. That register has been searched against the proposed definition of the profession.</w:t>
      </w:r>
    </w:p>
    <w:p>
      <w:pPr>
        <w:spacing w:after="140" w:line="324"/>
        <w:jc w:val="both"/>
      </w:pPr>
      <w:r>
        <w:rPr>
          <w:rFonts w:ascii="Arial" w:cs="Arial" w:eastAsia="Arial" w:hAnsi="Arial"/>
          <w:color w:val="000000"/>
          <w:sz w:val="24"/>
          <w:szCs w:val="24"/>
        </w:rPr>
        <w:t xml:space="preserve">No registered body claims project forensics or project assurance. The territory is open. Several entries nonetheless sit close enough to bear on the drafting, and one point about them should not be overlooked: a body that is not in good standing remains on the register and continues to occupy its profession. Non compliance does not free the field.</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900"/>
        <w:gridCol w:w="3860"/>
      </w:tblGrid>
      <w:tr>
        <w:trPr>
          <w:tblHeader/>
        </w:trPr>
        <w:tc>
          <w:tcPr>
            <w:tcW w:type="dxa" w:w="3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Registered body</w:t>
            </w:r>
          </w:p>
        </w:tc>
        <w:tc>
          <w:tcPr>
            <w:tcW w:type="dxa" w:w="19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Standing at July 2024</w:t>
            </w:r>
          </w:p>
        </w:tc>
        <w:tc>
          <w:tcPr>
            <w:tcW w:type="dxa" w:w="38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Bearing on the application</w:t>
            </w:r>
          </w:p>
        </w:tc>
      </w:tr>
      <w:tr>
        <w:trPr>
          <w:tblHeader w:val="false"/>
        </w:trPr>
        <w:tc>
          <w:tcPr>
            <w:tcW w:type="dxa" w:w="3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Institute of Project Management Professionals</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Good standing</w:t>
            </w:r>
          </w:p>
        </w:tc>
        <w:tc>
          <w:tcPr>
            <w:tcW w:type="dxa" w:w="38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Project management is occupied and must not appear as the governing description of the profession</w:t>
            </w:r>
          </w:p>
        </w:tc>
      </w:tr>
      <w:tr>
        <w:trPr>
          <w:tblHeader w:val="false"/>
        </w:trPr>
        <w:tc>
          <w:tcPr>
            <w:tcW w:type="dxa" w:w="3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Project Management Institute, Ghana</w:t>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Good standing</w:t>
            </w:r>
          </w:p>
        </w:tc>
        <w:tc>
          <w:tcPr>
            <w:tcW w:type="dxa" w:w="38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Occupied a second time; the Registrar evidently tolerates fine distinctions between related professions</w:t>
            </w:r>
          </w:p>
        </w:tc>
      </w:tr>
      <w:tr>
        <w:trPr>
          <w:tblHeader w:val="false"/>
        </w:trPr>
        <w:tc>
          <w:tcPr>
            <w:tcW w:type="dxa" w:w="3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Ghana Institute of Construction</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Not in good standing</w:t>
            </w:r>
          </w:p>
        </w:tc>
        <w:tc>
          <w:tcPr>
            <w:tcW w:type="dxa" w:w="38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Still occupies construction; the objects should not be framed around construction practice generally</w:t>
            </w:r>
          </w:p>
        </w:tc>
      </w:tr>
      <w:tr>
        <w:trPr>
          <w:tblHeader w:val="false"/>
        </w:trPr>
        <w:tc>
          <w:tcPr>
            <w:tcW w:type="dxa" w:w="3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Association of Quality Assurance</w:t>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Not in good standing</w:t>
            </w:r>
          </w:p>
        </w:tc>
        <w:tc>
          <w:tcPr>
            <w:tcW w:type="dxa" w:w="38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Holds the unqualified term assurance; AIPAF usage should always be project assurance</w:t>
            </w:r>
          </w:p>
        </w:tc>
      </w:tr>
      <w:tr>
        <w:trPr>
          <w:tblHeader w:val="false"/>
        </w:trPr>
        <w:tc>
          <w:tcPr>
            <w:tcW w:type="dxa" w:w="3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Ghana National Association of ADR Practitioners</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Good standing</w:t>
            </w:r>
          </w:p>
        </w:tc>
        <w:tc>
          <w:tcPr>
            <w:tcW w:type="dxa" w:w="38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Occupies dispute resolution practice; see section 10</w:t>
            </w:r>
          </w:p>
        </w:tc>
      </w:tr>
      <w:tr>
        <w:trPr>
          <w:tblHeader w:val="false"/>
        </w:trPr>
        <w:tc>
          <w:tcPr>
            <w:tcW w:type="dxa" w:w="3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International Institute of Certified Forensic Accountants</w:t>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Good standing</w:t>
            </w:r>
          </w:p>
        </w:tc>
        <w:tc>
          <w:tcPr>
            <w:tcW w:type="dxa" w:w="38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Forensic accounting, not forensic project analysis; no collision</w:t>
            </w:r>
          </w:p>
        </w:tc>
      </w:tr>
      <w:tr>
        <w:trPr>
          <w:tblHeader w:val="false"/>
        </w:trPr>
        <w:tc>
          <w:tcPr>
            <w:tcW w:type="dxa" w:w="3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Chartered Institute of Tax Law and Forensic Accountants</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Good standing</w:t>
            </w:r>
          </w:p>
        </w:tc>
        <w:tc>
          <w:tcPr>
            <w:tcW w:type="dxa" w:w="38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Tax and accounting forensics; no collision</w:t>
            </w:r>
          </w:p>
        </w:tc>
      </w:tr>
      <w:tr>
        <w:trPr>
          <w:tblHeader w:val="false"/>
        </w:trPr>
        <w:tc>
          <w:tcPr>
            <w:tcW w:type="dxa" w:w="3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Ghana Institute of Architects; Ghana Institute of Planners; Ghana Institute of Surveyors</w:t>
            </w:r>
          </w:p>
        </w:tc>
        <w:tc>
          <w:tcPr>
            <w:tcW w:type="dxa" w:w="19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Good standing</w:t>
            </w:r>
          </w:p>
        </w:tc>
        <w:tc>
          <w:tcPr>
            <w:tcW w:type="dxa" w:w="38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Confirms the treatment of those disciplines as Affiliate classes</w:t>
            </w:r>
          </w:p>
        </w:tc>
      </w:tr>
      <w:tr>
        <w:trPr>
          <w:tblHeader w:val="false"/>
        </w:trPr>
        <w:tc>
          <w:tcPr>
            <w:tcW w:type="dxa" w:w="3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Institute of Internal Auditors (Ghana)</w:t>
            </w:r>
          </w:p>
        </w:tc>
        <w:tc>
          <w:tcPr>
            <w:tcW w:type="dxa" w:w="19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Not in good standing</w:t>
            </w:r>
          </w:p>
        </w:tc>
        <w:tc>
          <w:tcPr>
            <w:tcW w:type="dxa" w:w="38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General internal audit; project audit remains distinguishable but should be worded as such</w:t>
            </w:r>
          </w:p>
        </w:tc>
      </w:tr>
    </w:tbl>
    <w:p>
      <w:pPr>
        <w:spacing w:after="200" w:line="324"/>
        <w:jc w:val="both"/>
      </w:pPr>
      <w:r>
        <w:rPr>
          <w:rFonts w:ascii="Arial" w:cs="Arial" w:eastAsia="Arial" w:hAnsi="Arial"/>
          <w:color w:val="000000"/>
          <w:sz w:val="24"/>
          <w:szCs w:val="24"/>
        </w:rPr>
        <w:t xml:space="preserve"/>
      </w:r>
    </w:p>
    <w:p>
      <w:pPr>
        <w:spacing w:after="140" w:line="324"/>
        <w:jc w:val="both"/>
      </w:pPr>
      <w:r>
        <w:rPr>
          <w:rFonts w:ascii="Arial" w:cs="Arial" w:eastAsia="Arial" w:hAnsi="Arial"/>
          <w:color w:val="000000"/>
          <w:sz w:val="24"/>
          <w:szCs w:val="24"/>
        </w:rPr>
        <w:t xml:space="preserve">A formal entity information search should nonetheless be lodged with the ORC on the specific name strings before filing, since the published list dates from July 2024 and eleven bodies were newly registered in that period alone.</w:t>
      </w:r>
    </w:p>
    <w:p>
      <w:pPr>
        <w:pStyle w:val="Heading1"/>
        <w:spacing w:after="160" w:before="320"/>
      </w:pPr>
      <w:r>
        <w:rPr>
          <w:rFonts w:ascii="Arial" w:cs="Arial" w:eastAsia="Arial" w:hAnsi="Arial"/>
          <w:b/>
          <w:bCs/>
          <w:color w:val="1A5C2A"/>
          <w:sz w:val="28"/>
          <w:szCs w:val="28"/>
        </w:rPr>
        <w:t xml:space="preserve">10. Position on dispute resolution practice</w:t>
      </w:r>
    </w:p>
    <w:p>
      <w:pPr>
        <w:spacing w:after="140" w:line="324"/>
        <w:jc w:val="both"/>
      </w:pPr>
      <w:r>
        <w:rPr>
          <w:rFonts w:ascii="Arial" w:cs="Arial" w:eastAsia="Arial" w:hAnsi="Arial"/>
          <w:color w:val="000000"/>
          <w:sz w:val="24"/>
          <w:szCs w:val="24"/>
        </w:rPr>
        <w:t xml:space="preserve">The two bodies most often assumed to occupy expert determination in Ghana do not, and neither is a registered professional body.</w:t>
      </w:r>
    </w:p>
    <w:p>
      <w:pPr>
        <w:spacing w:after="140" w:line="324"/>
        <w:jc w:val="both"/>
      </w:pPr>
      <w:r>
        <w:rPr>
          <w:rFonts w:ascii="Arial" w:cs="Arial" w:eastAsia="Arial" w:hAnsi="Arial"/>
          <w:color w:val="000000"/>
          <w:sz w:val="24"/>
          <w:szCs w:val="24"/>
        </w:rPr>
        <w:t xml:space="preserve">The Chartered Institute of Arbitrators operates in Ghana through a Chapter formed in September 2022, administratively attached to the CIArb Nigeria Branch. It confers the grades of a United Kingdom charity and connects the dispute resolution community through events and training. It does not appear on the ORC register of professional bodies and asserts no jurisdiction over a Ghanaian profession. The Ghana Arbitration Centre is a private provider of arbitration services rather than a regulator, and likewise does not appear on the register.</w:t>
      </w:r>
    </w:p>
    <w:p>
      <w:pPr>
        <w:spacing w:after="140" w:line="324"/>
        <w:jc w:val="both"/>
      </w:pPr>
      <w:r>
        <w:rPr>
          <w:rFonts w:ascii="Arial" w:cs="Arial" w:eastAsia="Arial" w:hAnsi="Arial"/>
          <w:color w:val="000000"/>
          <w:sz w:val="24"/>
          <w:szCs w:val="24"/>
        </w:rPr>
        <w:t xml:space="preserve">The Alternative Dispute Resolution Act, 2010 (Act 798) provides for the settlement of disputes by arbitration, mediation and customary arbitration and establishes an ADR Centre. Expert determination is treated in practitioner commentary as one of the recognised ADR mechanisms, but the operative provisions of Act 798 do not regulate it as a distinct process, and no body holds a statutory monopoly over it.</w:t>
      </w:r>
    </w:p>
    <w:p>
      <w:pPr>
        <w:spacing w:after="140" w:line="324"/>
        <w:jc w:val="both"/>
      </w:pPr>
      <w:r>
        <w:rPr>
          <w:rFonts w:ascii="Arial" w:cs="Arial" w:eastAsia="Arial" w:hAnsi="Arial"/>
          <w:color w:val="000000"/>
          <w:sz w:val="24"/>
          <w:szCs w:val="24"/>
        </w:rPr>
        <w:t xml:space="preserve">The exposure that does exist is at registry level rather than statutory, and it comes from the Ghana National Association of ADR Practitioners, which is registered and in good standing. Dispute avoidance and expert determination have accordingly been removed from the definition of the profession on the face of this schedule. They are retained in the credential specification as competencies that Fellows may practise, which preserves the substance while removing the only credible ground of objection from an incumbent body.</w:t>
      </w:r>
    </w:p>
    <w:p>
      <w:pPr>
        <w:pStyle w:val="Heading1"/>
        <w:spacing w:after="160" w:before="320"/>
      </w:pPr>
      <w:r>
        <w:rPr>
          <w:rFonts w:ascii="Arial" w:cs="Arial" w:eastAsia="Arial" w:hAnsi="Arial"/>
          <w:b/>
          <w:bCs/>
          <w:color w:val="1A5C2A"/>
          <w:sz w:val="28"/>
          <w:szCs w:val="28"/>
        </w:rPr>
        <w:t xml:space="preserve">11. Remaining matter to settle</w:t>
      </w:r>
    </w:p>
    <w:p>
      <w:pPr>
        <w:spacing w:after="140" w:line="324"/>
        <w:jc w:val="both"/>
      </w:pPr>
      <w:r>
        <w:rPr>
          <w:rFonts w:ascii="Arial" w:cs="Arial" w:eastAsia="Arial" w:hAnsi="Arial"/>
          <w:color w:val="000000"/>
          <w:sz w:val="24"/>
          <w:szCs w:val="24"/>
        </w:rPr>
        <w:t xml:space="preserve">One check remains and it is the one that governs everything else. Establish the cumulative graduate count across the MSc Project Forensics, MSc Value Management and MSc Project Cost Engineering and Management programmes. If the total qualified population falls below fifty, the application requires presidential dispensation under the fifty person proviso in NRCD 143, and the founding convenors should decide whether to seek it or to defer filing until a further cohort has graduated.</w:t>
      </w:r>
    </w:p>
    <w:sectPr>
      <w:headerReference w:type="default" r:id="rId11"/>
      <w:footerReference w:type="default" r:id="rId12"/>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A" w:sz="6" w:space="4"/>
      </w:pBdr>
      <w:spacing w:after="0"/>
      <w:jc w:val="right"/>
    </w:pPr>
    <w:r>
      <w:rPr>
        <w:rFonts w:ascii="Arial" w:cs="Arial" w:eastAsia="Arial" w:hAnsi="Arial"/>
        <w:color w:val="595959"/>
        <w:sz w:val="16"/>
        <w:szCs w:val="16"/>
      </w:rPr>
      <w:t xml:space="preserve">AIPAF Schedule of Members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A" w:sz="6" w:space="4"/>
      </w:pBdr>
      <w:spacing w:after="0"/>
      <w:jc w:val="right"/>
    </w:pPr>
    <w:r>
      <w:rPr>
        <w:rFonts w:ascii="Arial" w:cs="Arial" w:eastAsia="Arial" w:hAnsi="Arial"/>
        <w:color w:val="595959"/>
        <w:sz w:val="16"/>
        <w:szCs w:val="16"/>
      </w:rPr>
      <w:t xml:space="preserve">AIPAF Schedule of Members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A" w:sz="6" w:space="4"/>
      </w:pBdr>
      <w:spacing w:after="0"/>
      <w:jc w:val="right"/>
    </w:pPr>
    <w:r>
      <w:rPr>
        <w:rFonts w:ascii="Arial" w:cs="Arial" w:eastAsia="Arial" w:hAnsi="Arial"/>
        <w:color w:val="595959"/>
        <w:sz w:val="16"/>
        <w:szCs w:val="16"/>
      </w:rPr>
      <w:t xml:space="preserve">AIPAF Schedule of Members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2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Schedule of Members</dc:title>
  <dc:creator>African Institute of Project Assurance and Forensics</dc:creator>
  <cp:lastModifiedBy>Un-named</cp:lastModifiedBy>
  <cp:revision>1</cp:revision>
  <dcterms:created xsi:type="dcterms:W3CDTF">2026-08-23T03:59:13.595Z</dcterms:created>
  <dcterms:modified xsi:type="dcterms:W3CDTF">2026-08-23T03:59:13.608Z</dcterms:modified>
</cp:coreProperties>
</file>

<file path=docProps/custom.xml><?xml version="1.0" encoding="utf-8"?>
<Properties xmlns="http://schemas.openxmlformats.org/officeDocument/2006/custom-properties" xmlns:vt="http://schemas.openxmlformats.org/officeDocument/2006/docPropsVTypes"/>
</file>