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47B0B" w:sz="12" w:space="6"/>
        </w:pBdr>
        <w:spacing w:after="200"/>
      </w:pPr>
      <w:r>
        <w:rPr>
          <w:rFonts w:ascii="Arial" w:cs="Arial" w:eastAsia="Arial" w:hAnsi="Arial"/>
          <w:b/>
          <w:bCs/>
          <w:color w:val="C47B0B"/>
          <w:sz w:val="20"/>
          <w:szCs w:val="20"/>
        </w:rPr>
        <w:t xml:space="preserve">KNUST CABE and DCTM  |  AIPAF  |  GCI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7B0B" w:sz="18"/>
              <w:left w:val="none" w:color="FFFFFF" w:sz="0"/>
              <w:bottom w:val="single" w:color="C47B0B" w:sz="18"/>
              <w:right w:val="none" w:color="FFFFFF" w:sz="0"/>
            </w:tcBorders>
            <w:shd w:fill="0D3D26" w:color="auto" w:val="clear"/>
            <w:tcMar>
              <w:top w:type="dxa" w:w="600"/>
              <w:left w:type="dxa" w:w="400"/>
              <w:bottom w:type="dxa" w:w="600"/>
              <w:right w:type="dxa" w:w="400"/>
            </w:tcMar>
          </w:tcPr>
          <w:p>
            <w:pPr>
              <w:spacing w:after="200"/>
              <w:jc w:val="center"/>
            </w:pPr>
            <w:r>
              <w:rPr>
                <w:rFonts w:ascii="Arial" w:cs="Arial" w:eastAsia="Arial" w:hAnsi="Arial"/>
                <w:b/>
                <w:bCs/>
                <w:color w:val="FFFFFF"/>
                <w:sz w:val="96"/>
                <w:szCs w:val="96"/>
              </w:rPr>
              <w:t xml:space="preserve">AIPIS</w:t>
            </w:r>
          </w:p>
          <w:p>
            <w:pPr>
              <w:spacing w:after="300" w:line="300"/>
              <w:jc w:val="center"/>
            </w:pPr>
            <w:r>
              <w:rPr>
                <w:rFonts w:ascii="Arial" w:cs="Arial" w:eastAsia="Arial" w:hAnsi="Arial"/>
                <w:b/>
                <w:bCs/>
                <w:color w:val="E8C068"/>
                <w:sz w:val="32"/>
                <w:szCs w:val="32"/>
              </w:rPr>
              <w:t xml:space="preserve">Africa Infrastructure, Prosperity and Industrialisation Summit</w:t>
            </w:r>
          </w:p>
          <w:p>
            <w:pPr>
              <w:jc w:val="center"/>
            </w:pPr>
            <w:r>
              <w:rPr>
                <w:rFonts w:ascii="Arial" w:cs="Arial" w:eastAsia="Arial" w:hAnsi="Arial"/>
                <w:i/>
                <w:iCs/>
                <w:color w:val="FFFFFF"/>
                <w:sz w:val="24"/>
                <w:szCs w:val="24"/>
              </w:rPr>
              <w:t xml:space="preserve">Building infrastructure. Powering industry. Delivering prosperity.</w:t>
            </w:r>
          </w:p>
        </w:tc>
      </w:tr>
    </w:tbl>
    <w:p>
      <w:pPr>
        <w:spacing w:after="120" w:before="600"/>
        <w:jc w:val="center"/>
      </w:pPr>
      <w:r>
        <w:rPr>
          <w:rFonts w:ascii="Arial" w:cs="Arial" w:eastAsia="Arial" w:hAnsi="Arial"/>
          <w:b/>
          <w:bCs/>
          <w:color w:val="1A5C2A"/>
          <w:sz w:val="40"/>
          <w:szCs w:val="40"/>
        </w:rPr>
        <w:t xml:space="preserve">CONCEPT NOTE</w:t>
      </w:r>
    </w:p>
    <w:p>
      <w:pPr>
        <w:spacing w:after="120"/>
        <w:jc w:val="center"/>
      </w:pPr>
      <w:r>
        <w:rPr>
          <w:rFonts w:ascii="Arial" w:cs="Arial" w:eastAsia="Arial" w:hAnsi="Arial"/>
          <w:b/>
          <w:bCs/>
          <w:color w:val="C47B0B"/>
          <w:sz w:val="22"/>
          <w:szCs w:val="22"/>
        </w:rPr>
        <w:t xml:space="preserve">Strategic Theme (2027 to 2031)</w:t>
      </w:r>
    </w:p>
    <w:p>
      <w:pPr>
        <w:spacing w:after="600" w:line="300"/>
        <w:jc w:val="center"/>
      </w:pPr>
      <w:r>
        <w:rPr>
          <w:rFonts w:ascii="Arial" w:cs="Arial" w:eastAsia="Arial" w:hAnsi="Arial"/>
          <w:i/>
          <w:iCs/>
          <w:color w:val="1A1A1A"/>
          <w:sz w:val="26"/>
          <w:szCs w:val="26"/>
        </w:rPr>
        <w:t xml:space="preserve">Infrastructure that Delivers: Turning Africa’s Investment into Industry and Shared Prosperity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0A1A10" w:sz="4"/>
              <w:left w:val="single" w:color="345040" w:sz="4"/>
              <w:bottom w:val="single" w:color="0A1A10" w:sz="4"/>
              <w:right w:val="single" w:color="345040" w:sz="4"/>
            </w:tcBorders>
            <w:shd w:fill="0A1A10" w:color="auto" w:val="clear"/>
            <w:tcMar>
              <w:top w:type="dxa" w:w="140"/>
              <w:left w:type="dxa" w:w="140"/>
              <w:bottom w:type="dxa" w:w="140"/>
              <w:right w:type="dxa" w:w="140"/>
            </w:tcMar>
          </w:tcPr>
          <w:p>
            <w:pPr>
              <w:spacing w:after="60"/>
              <w:jc w:val="center"/>
            </w:pPr>
            <w:r>
              <w:rPr>
                <w:rFonts w:ascii="Arial" w:cs="Arial" w:eastAsia="Arial" w:hAnsi="Arial"/>
                <w:b/>
                <w:bCs/>
                <w:color w:val="E8C068"/>
                <w:sz w:val="18"/>
                <w:szCs w:val="18"/>
              </w:rPr>
              <w:t xml:space="preserve">FIRST EDITION</w:t>
            </w:r>
          </w:p>
          <w:p>
            <w:pPr>
              <w:jc w:val="center"/>
            </w:pPr>
            <w:r>
              <w:rPr>
                <w:rFonts w:ascii="Arial" w:cs="Arial" w:eastAsia="Arial" w:hAnsi="Arial"/>
                <w:color w:val="FFFFFF"/>
                <w:sz w:val="22"/>
                <w:szCs w:val="22"/>
              </w:rPr>
              <w:t xml:space="preserve">24 to 27 August 2027</w:t>
            </w:r>
          </w:p>
        </w:tc>
        <w:tc>
          <w:tcPr>
            <w:tcW w:type="dxa" w:w="3009"/>
            <w:tcBorders>
              <w:top w:val="single" w:color="0A1A10" w:sz="4"/>
              <w:left w:val="single" w:color="345040" w:sz="4"/>
              <w:bottom w:val="single" w:color="0A1A10" w:sz="4"/>
              <w:right w:val="single" w:color="345040" w:sz="4"/>
            </w:tcBorders>
            <w:shd w:fill="0A1A10" w:color="auto" w:val="clear"/>
            <w:tcMar>
              <w:top w:type="dxa" w:w="140"/>
              <w:left w:type="dxa" w:w="140"/>
              <w:bottom w:type="dxa" w:w="140"/>
              <w:right w:type="dxa" w:w="140"/>
            </w:tcMar>
          </w:tcPr>
          <w:p>
            <w:pPr>
              <w:spacing w:after="60"/>
              <w:jc w:val="center"/>
            </w:pPr>
            <w:r>
              <w:rPr>
                <w:rFonts w:ascii="Arial" w:cs="Arial" w:eastAsia="Arial" w:hAnsi="Arial"/>
                <w:b/>
                <w:bCs/>
                <w:color w:val="E8C068"/>
                <w:sz w:val="18"/>
                <w:szCs w:val="18"/>
              </w:rPr>
              <w:t xml:space="preserve">FOUNDING HOST</w:t>
            </w:r>
          </w:p>
          <w:p>
            <w:pPr>
              <w:jc w:val="center"/>
            </w:pPr>
            <w:r>
              <w:rPr>
                <w:rFonts w:ascii="Arial" w:cs="Arial" w:eastAsia="Arial" w:hAnsi="Arial"/>
                <w:color w:val="FFFFFF"/>
                <w:sz w:val="22"/>
                <w:szCs w:val="22"/>
              </w:rPr>
              <w:t xml:space="preserve">KNUST, Kumasi, Ghana</w:t>
            </w:r>
          </w:p>
        </w:tc>
        <w:tc>
          <w:tcPr>
            <w:tcW w:type="dxa" w:w="3009"/>
            <w:tcBorders>
              <w:top w:val="single" w:color="0A1A10" w:sz="4"/>
              <w:left w:val="single" w:color="345040" w:sz="4"/>
              <w:bottom w:val="single" w:color="0A1A10" w:sz="4"/>
              <w:right w:val="single" w:color="345040" w:sz="4"/>
            </w:tcBorders>
            <w:shd w:fill="0A1A10" w:color="auto" w:val="clear"/>
            <w:tcMar>
              <w:top w:type="dxa" w:w="140"/>
              <w:left w:type="dxa" w:w="140"/>
              <w:bottom w:type="dxa" w:w="140"/>
              <w:right w:type="dxa" w:w="140"/>
            </w:tcMar>
          </w:tcPr>
          <w:p>
            <w:pPr>
              <w:spacing w:after="60"/>
              <w:jc w:val="center"/>
            </w:pPr>
            <w:r>
              <w:rPr>
                <w:rFonts w:ascii="Arial" w:cs="Arial" w:eastAsia="Arial" w:hAnsi="Arial"/>
                <w:b/>
                <w:bCs/>
                <w:color w:val="E8C068"/>
                <w:sz w:val="18"/>
                <w:szCs w:val="18"/>
              </w:rPr>
              <w:t xml:space="preserve">DOCUMENT DATE</w:t>
            </w:r>
          </w:p>
          <w:p>
            <w:pPr>
              <w:jc w:val="center"/>
            </w:pPr>
            <w:r>
              <w:rPr>
                <w:rFonts w:ascii="Arial" w:cs="Arial" w:eastAsia="Arial" w:hAnsi="Arial"/>
                <w:color w:val="FFFFFF"/>
                <w:sz w:val="22"/>
                <w:szCs w:val="22"/>
              </w:rPr>
              <w:t xml:space="preserve">October 2026</w:t>
            </w:r>
          </w:p>
        </w:tc>
      </w:tr>
    </w:tbl>
    <w:p>
      <w:pPr>
        <w:spacing w:before="500"/>
        <w:jc w:val="center"/>
      </w:pPr>
      <w:r>
        <w:rPr>
          <w:rFonts w:ascii="Arial" w:cs="Arial" w:eastAsia="Arial" w:hAnsi="Arial"/>
          <w:color w:val="5F6B5F"/>
          <w:sz w:val="20"/>
          <w:szCs w:val="20"/>
        </w:rPr>
        <w:t xml:space="preserve">Convened by the College of Art and Built Environment and the Department of Construction Technology and Management, Kwame Nkrumah University of Science and Technology; the African Institute of Project Assurance and Forensics; and Green Communities International</w:t>
      </w:r>
    </w:p>
    <w:p>
      <w:pPr>
        <w:spacing w:before="200"/>
        <w:jc w:val="center"/>
      </w:pPr>
      <w:r>
        <w:rPr>
          <w:rFonts w:ascii="Arial" w:cs="Arial" w:eastAsia="Arial" w:hAnsi="Arial"/>
          <w:color w:val="5F6B5F"/>
          <w:sz w:val="20"/>
          <w:szCs w:val="20"/>
        </w:rPr>
        <w:t xml:space="preserve">Founding Government Partners: Ministry of Finance; Ministry of Works and Housing; Ministry of Trade, Agribusiness and Industry; Ministry of Energy and Green Transition; 24-Hour Economy and Accelerated Export Development Secretariat</w:t>
      </w:r>
    </w:p>
    <w:p>
      <w:pPr>
        <w:spacing w:before="200"/>
        <w:jc w:val="center"/>
      </w:pPr>
      <w:r>
        <w:rPr>
          <w:rFonts w:ascii="Arial" w:cs="Arial" w:eastAsia="Arial" w:hAnsi="Arial"/>
          <w:color w:val="5F6B5F"/>
          <w:sz w:val="20"/>
          <w:szCs w:val="20"/>
        </w:rPr>
        <w:t xml:space="preserve">Founding Industry Partner: Top Business Brokers Consult Limited</w:t>
      </w:r>
    </w:p>
    <w:p>
      <w:r>
        <w:br w:type="page"/>
      </w:r>
    </w:p>
    <w:p>
      <w:pPr>
        <w:spacing w:after="200"/>
      </w:pPr>
      <w:r>
        <w:rPr>
          <w:rFonts w:ascii="Arial" w:cs="Arial" w:eastAsia="Arial" w:hAnsi="Arial"/>
          <w:b/>
          <w:bCs/>
          <w:color w:val="1A5C2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200" w:right="1440" w:bottom="1200" w:left="1440" w:header="708" w:footer="708" w:gutter="0"/>
          <w:pgNumType/>
          <w:docGrid w:linePitch="360"/>
        </w:sectPr>
      </w:pPr>
    </w:p>
    <w:p>
      <w:pPr>
        <w:pStyle w:val="Heading1"/>
        <w:keepNext/>
        <w:pBdr>
          <w:bottom w:val="single" w:color="C47B0B" w:sz="6" w:space="4"/>
        </w:pBdr>
        <w:spacing w:after="160" w:before="120"/>
      </w:pPr>
      <w:r>
        <w:rPr>
          <w:rFonts w:ascii="Arial" w:cs="Arial" w:eastAsia="Arial" w:hAnsi="Arial"/>
          <w:b/>
          <w:bCs/>
          <w:color w:val="1A5C2A"/>
          <w:sz w:val="30"/>
          <w:szCs w:val="30"/>
        </w:rPr>
        <w:t xml:space="preserve">1. Executive Summary</w:t>
      </w:r>
    </w:p>
    <w:p>
      <w:pPr>
        <w:spacing w:after="160" w:line="324"/>
      </w:pPr>
      <w:r>
        <w:rPr>
          <w:rFonts w:ascii="Arial" w:cs="Arial" w:eastAsia="Arial" w:hAnsi="Arial"/>
          <w:color w:val="1A1A1A"/>
          <w:sz w:val="24"/>
          <w:szCs w:val="24"/>
        </w:rPr>
        <w:t xml:space="preserve">The Africa Infrastructure, Prosperity and Industrialisation Summit (AIPIS) is a new annual summit that measures African infrastructure by its results: industrial output, jobs and better living standards. Most infrastructure summits concentrate on raising finance for projects. AIPIS follows projects through construction and operation and asks what they have delivered for the economy and for citizens.</w:t>
      </w:r>
    </w:p>
    <w:p>
      <w:pPr>
        <w:spacing w:after="160" w:line="324"/>
      </w:pPr>
      <w:r>
        <w:rPr>
          <w:rFonts w:ascii="Arial" w:cs="Arial" w:eastAsia="Arial" w:hAnsi="Arial"/>
          <w:color w:val="1A1A1A"/>
          <w:sz w:val="24"/>
          <w:szCs w:val="24"/>
        </w:rPr>
        <w:t xml:space="preserve">The summit is convened by the College of Art and Built Environment (CABE) and the Department of Construction Technology and Management (DCTM) of the Kwame Nkrumah University of Science and Technology (KNUST), the African Institute of Project Assurance and Forensics (AIPAF) and Green Communities International (GCI). The Ministry of Finance, the Ministry of Works and Housing, the Ministry of Trade, Agribusiness and Industry, the Ministry of Energy and Green Transition and the 24-Hour Economy and Accelerated Export Development Secretariat are the Founding Government Partners. Top Business Brokers Consult Limited is the Founding Industry Partner.</w:t>
      </w:r>
    </w:p>
    <w:p>
      <w:pPr>
        <w:spacing w:after="160" w:line="324"/>
      </w:pPr>
      <w:r>
        <w:rPr>
          <w:rFonts w:ascii="Arial" w:cs="Arial" w:eastAsia="Arial" w:hAnsi="Arial"/>
          <w:color w:val="1A1A1A"/>
          <w:sz w:val="24"/>
          <w:szCs w:val="24"/>
        </w:rPr>
        <w:t xml:space="preserve">The first edition takes place at KNUST, Kumasi, from 24 to 27 August 2027. The second edition is also held in Kumasi in 2028. Kenya hosts the third edition in 2029, and the fourth edition returns to Kumasi in 2030 to review progress on the Sustainable Development Goals. From 2031, the summit returns to Kumasi after every two editions held elsewhere.</w:t>
      </w:r>
    </w:p>
    <w:p>
      <w:pPr>
        <w:pStyle w:val="Heading2"/>
        <w:keepNext/>
        <w:spacing w:after="120" w:before="240"/>
      </w:pPr>
      <w:r>
        <w:rPr>
          <w:rFonts w:ascii="Arial" w:cs="Arial" w:eastAsia="Arial" w:hAnsi="Arial"/>
          <w:b/>
          <w:bCs/>
          <w:color w:val="1A5C2A"/>
          <w:sz w:val="25"/>
          <w:szCs w:val="25"/>
        </w:rPr>
        <w:t xml:space="preserve">Summary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Item</w:t>
            </w:r>
          </w:p>
        </w:tc>
        <w:tc>
          <w:tcPr>
            <w:tcW w:type="dxa" w:w="65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Detail</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Full name</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Africa Infrastructure, Prosperity and Industrialisation Summit (AIPIS)</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Tagline</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Building infrastructure. Powering industry. Delivering prosperity.</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Strategic theme (2027 to 2031)</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Infrastructure that Delivers: Turning Africa’s Investment into Industry and Shared Prosperity</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First edition theme</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From Financial Close to Prosperity Close: Delivering Infrastructure that Builds African Industry</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Editions</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2027 and 2028 in Kumasi, Ghana; 2029 in Kenya; 2030 in Kumasi; from 2031, two editions elsewhere followed by a return to Kumasi</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First edition dates</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Tuesday 24 to Friday 27 August 2027: three conference days and one field day</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Convenors</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CABE and DCTM, KNUST; AIPAF; GCI</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Founding Government Partners</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Ministry of Finance; Ministry of Works and Housing; Ministry of Trade, Agribusiness and Industry; Ministry of Energy and Green Transition; 24-Hour Economy and Accelerated Export Development Secretariat</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Founding Industry Partner</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Top Business Brokers Consult Limited</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Expected attendance</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600 to 800 delegates from at least 25 countries</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Main idea</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Infrastructure is judged by its results, from financial close to prosperity close</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focus</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SDG 9, with contributions to SDGs 1, 6, 7, 8, 11, 12, 13, 16 and 17</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Main outputs</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Africa Infrastructure Prosperity Index; Unfinished Projects Forensic Report; Prosperity Close Standard; Kumasi Delivery Compact; Commitments Tracker; Summit Proceedings</w:t>
            </w:r>
          </w:p>
        </w:tc>
      </w:tr>
    </w:tbl>
    <w:p>
      <w:pPr>
        <w:spacing w:after="120"/>
      </w:pP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2. Strategic Theme</w:t>
      </w:r>
    </w:p>
    <w:p>
      <w:pPr>
        <w:pBdr>
          <w:top w:val="single" w:color="C47B0B" w:sz="8" w:space="8"/>
          <w:bottom w:val="single" w:color="C47B0B" w:sz="8" w:space="8"/>
        </w:pBdr>
        <w:shd w:fill="FBF3E4" w:color="auto" w:val="clear"/>
        <w:spacing w:after="240" w:before="120" w:line="324"/>
        <w:jc w:val="center"/>
      </w:pPr>
      <w:r>
        <w:rPr>
          <w:rFonts w:ascii="Arial" w:cs="Arial" w:eastAsia="Arial" w:hAnsi="Arial"/>
          <w:b/>
          <w:bCs/>
          <w:color w:val="1A5C2A"/>
          <w:sz w:val="28"/>
          <w:szCs w:val="28"/>
        </w:rPr>
        <w:t xml:space="preserve">Infrastructure that Delivers: Turning Africa’s Investment into Industry and Shared Prosperity</w:t>
      </w:r>
    </w:p>
    <w:p>
      <w:pPr>
        <w:spacing w:after="160" w:line="324"/>
      </w:pPr>
      <w:r>
        <w:rPr>
          <w:rFonts w:ascii="Arial" w:cs="Arial" w:eastAsia="Arial" w:hAnsi="Arial"/>
          <w:color w:val="1A1A1A"/>
          <w:sz w:val="24"/>
          <w:szCs w:val="24"/>
        </w:rPr>
        <w:t xml:space="preserve">The strategic theme covers the first five editions, from 2027 to 2031. It sets one question for every edition: has infrastructure spending in Africa produced working industries and better lives?</w:t>
      </w:r>
    </w:p>
    <w:p>
      <w:pPr>
        <w:spacing w:after="160" w:line="324"/>
      </w:pPr>
      <w:r>
        <w:rPr>
          <w:rFonts w:ascii="Arial" w:cs="Arial" w:eastAsia="Arial" w:hAnsi="Arial"/>
          <w:color w:val="1A1A1A"/>
          <w:sz w:val="24"/>
          <w:szCs w:val="24"/>
        </w:rPr>
        <w:t xml:space="preserve">“Infrastructure that Delivers” puts results first. “Turning Africa’s Investment” recognises that large amounts of domestic and foreign capital are already committed, and that the task now is to turn that capital into results. “Industry and Shared Prosperity” names the two results the summit will track: a stronger industrial base and benefits that reach households and communities.</w:t>
      </w:r>
    </w:p>
    <w:p>
      <w:pPr>
        <w:pStyle w:val="Heading2"/>
        <w:keepNext/>
        <w:spacing w:after="120" w:before="240"/>
      </w:pPr>
      <w:r>
        <w:rPr>
          <w:rFonts w:ascii="Arial" w:cs="Arial" w:eastAsia="Arial" w:hAnsi="Arial"/>
          <w:b/>
          <w:bCs/>
          <w:color w:val="1A5C2A"/>
          <w:sz w:val="25"/>
          <w:szCs w:val="25"/>
        </w:rPr>
        <w:t xml:space="preserve">Edition Themes</w:t>
      </w:r>
    </w:p>
    <w:p>
      <w:pPr>
        <w:spacing w:after="160" w:line="324"/>
      </w:pPr>
      <w:r>
        <w:rPr>
          <w:rFonts w:ascii="Arial" w:cs="Arial" w:eastAsia="Arial" w:hAnsi="Arial"/>
          <w:color w:val="1A1A1A"/>
          <w:sz w:val="24"/>
          <w:szCs w:val="24"/>
        </w:rPr>
        <w:t xml:space="preserve">Each edition has its own theme under the strategic theme. The first edition theme is:</w:t>
      </w:r>
    </w:p>
    <w:p>
      <w:pPr>
        <w:pBdr>
          <w:left w:val="single" w:color="1A5C2A" w:sz="18" w:space="10"/>
        </w:pBdr>
        <w:spacing w:after="200" w:line="324"/>
        <w:ind w:left="567"/>
      </w:pPr>
      <w:r>
        <w:rPr>
          <w:rFonts w:ascii="Arial" w:cs="Arial" w:eastAsia="Arial" w:hAnsi="Arial"/>
          <w:b/>
          <w:bCs/>
          <w:i/>
          <w:iCs/>
          <w:color w:val="1A5C2A"/>
          <w:sz w:val="24"/>
          <w:szCs w:val="24"/>
        </w:rPr>
        <w:t xml:space="preserve">From Financial Close to Prosperity Close: Delivering Infrastructure that Builds African Industry</w:t>
      </w:r>
    </w:p>
    <w:p>
      <w:pPr>
        <w:spacing w:after="160" w:line="324"/>
      </w:pPr>
      <w:r>
        <w:rPr>
          <w:rFonts w:ascii="Arial" w:cs="Arial" w:eastAsia="Arial" w:hAnsi="Arial"/>
          <w:color w:val="1A1A1A"/>
          <w:sz w:val="24"/>
          <w:szCs w:val="24"/>
        </w:rPr>
        <w:t xml:space="preserve">Financial close is the point at which a project’s funding is fully secured. Prosperity close, a term introduced by AIPIS, is the point at which a project can show measurable benefits to industry and citizens.</w:t>
      </w:r>
    </w:p>
    <w:p>
      <w:pPr>
        <w:spacing w:after="160" w:line="324"/>
      </w:pPr>
      <w:r>
        <w:rPr>
          <w:rFonts w:ascii="Arial" w:cs="Arial" w:eastAsia="Arial" w:hAnsi="Arial"/>
          <w:color w:val="1A1A1A"/>
          <w:sz w:val="24"/>
          <w:szCs w:val="24"/>
        </w:rPr>
        <w:t xml:space="preserve">Proposed themes for later editions are listed below. The Steering Committee will confirm each theme a year ahead, using the Prosperity Index results and progress on commitments made at the previous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Edition</w:t>
            </w:r>
          </w:p>
        </w:tc>
        <w:tc>
          <w:tcPr>
            <w:tcW w:type="dxa" w:w="65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Proposed theme</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2027, Ghana</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From Financial Close to Prosperity Close: Delivering Infrastructure that Builds African Industry</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2028, Ghana</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Powering Production: Energy and Logistics Systems for Competitive African Manufacturing</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2029, Kenya</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Building with Africa: Local Content, Industrial Supply Chains and the AfCFTA</w:t>
            </w:r>
          </w:p>
        </w:tc>
      </w:tr>
      <w:tr>
        <w:trPr>
          <w:cantSplit/>
        </w:trPr>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2030, Ghana</w:t>
            </w:r>
          </w:p>
        </w:tc>
        <w:tc>
          <w:tcPr>
            <w:tcW w:type="dxa" w:w="6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2030 Review: Measuring the Impact of African Infrastructure and Industry on the Sustainable Development Goals</w:t>
            </w:r>
          </w:p>
        </w:tc>
      </w:tr>
      <w:tr>
        <w:trPr>
          <w:cantSplit/>
        </w:trPr>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2031, Nigeria</w:t>
            </w:r>
          </w:p>
        </w:tc>
        <w:tc>
          <w:tcPr>
            <w:tcW w:type="dxa" w:w="6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Shared Prosperity: Measuring What Infrastructure Means for People</w:t>
            </w:r>
          </w:p>
        </w:tc>
      </w:tr>
    </w:tbl>
    <w:p>
      <w:pPr>
        <w:spacing w:after="120"/>
      </w:pPr>
    </w:p>
    <w:p>
      <w:pPr>
        <w:pStyle w:val="Heading2"/>
        <w:keepNext/>
        <w:spacing w:after="120" w:before="240"/>
      </w:pPr>
      <w:r>
        <w:rPr>
          <w:rFonts w:ascii="Arial" w:cs="Arial" w:eastAsia="Arial" w:hAnsi="Arial"/>
          <w:b/>
          <w:bCs/>
          <w:color w:val="1A5C2A"/>
          <w:sz w:val="25"/>
          <w:szCs w:val="25"/>
        </w:rPr>
        <w:t xml:space="preserve">Thematic Areas</w:t>
      </w:r>
    </w:p>
    <w:p>
      <w:pPr>
        <w:spacing w:after="160" w:line="324"/>
      </w:pPr>
      <w:r>
        <w:rPr>
          <w:rFonts w:ascii="Arial" w:cs="Arial" w:eastAsia="Arial" w:hAnsi="Arial"/>
          <w:color w:val="1A1A1A"/>
          <w:sz w:val="24"/>
          <w:szCs w:val="24"/>
        </w:rPr>
        <w:t xml:space="preserve">The programme has three thematic areas, one for each conference day, taken from the tagline. Four cross-cutting topics run through all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9026"/>
            <w:gridSpan w:val="3"/>
            <w:tcBorders>
              <w:top w:val="single" w:color="B8C4B8" w:sz="4"/>
              <w:left w:val="single" w:color="B8C4B8" w:sz="4"/>
              <w:bottom w:val="single" w:color="B8C4B8" w:sz="4"/>
              <w:right w:val="single" w:color="B8C4B8" w:sz="4"/>
            </w:tcBorders>
            <w:shd w:fill="1A5C2A" w:color="auto" w:val="clear"/>
            <w:tcMar>
              <w:top w:type="dxa" w:w="140"/>
              <w:left w:type="dxa" w:w="160"/>
              <w:bottom w:type="dxa" w:w="140"/>
              <w:right w:type="dxa" w:w="160"/>
            </w:tcMar>
          </w:tcPr>
          <w:p>
            <w:pPr>
              <w:jc w:val="center"/>
            </w:pPr>
            <w:r>
              <w:rPr>
                <w:rFonts w:ascii="Arial" w:cs="Arial" w:eastAsia="Arial" w:hAnsi="Arial"/>
                <w:b/>
                <w:bCs/>
                <w:color w:val="FFFFFF"/>
                <w:sz w:val="21"/>
                <w:szCs w:val="21"/>
              </w:rPr>
              <w:t xml:space="preserve">Goal: infrastructure that reaches prosperity close</w:t>
            </w:r>
          </w:p>
        </w:tc>
      </w:tr>
      <w:tr>
        <w:tc>
          <w:tcPr>
            <w:tcW w:type="dxa" w:w="3009"/>
            <w:tcBorders>
              <w:top w:val="single" w:color="B8C4B8" w:sz="4"/>
              <w:left w:val="single" w:color="B8C4B8" w:sz="4"/>
              <w:bottom w:val="single" w:color="B8C4B8" w:sz="4"/>
              <w:right w:val="single" w:color="B8C4B8" w:sz="4"/>
            </w:tcBorders>
            <w:tcMar>
              <w:top w:type="dxa" w:w="140"/>
              <w:left w:type="dxa" w:w="160"/>
              <w:bottom w:type="dxa" w:w="140"/>
              <w:right w:type="dxa" w:w="160"/>
            </w:tcMar>
          </w:tcPr>
          <w:p>
            <w:pPr>
              <w:pBdr>
                <w:bottom w:val="single" w:color="C47B0B" w:sz="4" w:space="4"/>
              </w:pBdr>
              <w:spacing w:after="120"/>
              <w:jc w:val="center"/>
            </w:pPr>
            <w:r>
              <w:rPr>
                <w:rFonts w:ascii="Arial" w:cs="Arial" w:eastAsia="Arial" w:hAnsi="Arial"/>
                <w:b/>
                <w:bCs/>
                <w:color w:val="1A5C2A"/>
                <w:sz w:val="22"/>
                <w:szCs w:val="22"/>
              </w:rPr>
              <w:t xml:space="preserve">Day 1: Building Infrastructure</w:t>
            </w:r>
          </w:p>
          <w:p>
            <w:pPr>
              <w:spacing w:after="60" w:line="276"/>
            </w:pPr>
            <w:r>
              <w:rPr>
                <w:rFonts w:ascii="Arial" w:cs="Arial" w:eastAsia="Arial" w:hAnsi="Arial"/>
                <w:color w:val="1A1A1A"/>
                <w:sz w:val="21"/>
                <w:szCs w:val="21"/>
              </w:rPr>
              <w:t xml:space="preserve">Transport, energy and water systems</w:t>
            </w:r>
          </w:p>
          <w:p>
            <w:pPr>
              <w:spacing w:after="60" w:line="276"/>
            </w:pPr>
            <w:r>
              <w:rPr>
                <w:rFonts w:ascii="Arial" w:cs="Arial" w:eastAsia="Arial" w:hAnsi="Arial"/>
                <w:color w:val="1A1A1A"/>
                <w:sz w:val="21"/>
                <w:szCs w:val="21"/>
              </w:rPr>
              <w:t xml:space="preserve">Delivery performance and cost control</w:t>
            </w:r>
          </w:p>
          <w:p>
            <w:pPr>
              <w:spacing w:after="60" w:line="276"/>
            </w:pPr>
            <w:r>
              <w:rPr>
                <w:rFonts w:ascii="Arial" w:cs="Arial" w:eastAsia="Arial" w:hAnsi="Arial"/>
                <w:color w:val="1A1A1A"/>
                <w:sz w:val="21"/>
                <w:szCs w:val="21"/>
              </w:rPr>
              <w:t xml:space="preserve">Recovery of stalled and abandoned projects</w:t>
            </w:r>
          </w:p>
        </w:tc>
        <w:tc>
          <w:tcPr>
            <w:tcW w:type="dxa" w:w="3009"/>
            <w:tcBorders>
              <w:top w:val="single" w:color="B8C4B8" w:sz="4"/>
              <w:left w:val="single" w:color="B8C4B8" w:sz="4"/>
              <w:bottom w:val="single" w:color="B8C4B8" w:sz="4"/>
              <w:right w:val="single" w:color="B8C4B8" w:sz="4"/>
            </w:tcBorders>
            <w:tcMar>
              <w:top w:type="dxa" w:w="140"/>
              <w:left w:type="dxa" w:w="160"/>
              <w:bottom w:type="dxa" w:w="140"/>
              <w:right w:type="dxa" w:w="160"/>
            </w:tcMar>
          </w:tcPr>
          <w:p>
            <w:pPr>
              <w:pBdr>
                <w:bottom w:val="single" w:color="C47B0B" w:sz="4" w:space="4"/>
              </w:pBdr>
              <w:spacing w:after="120"/>
              <w:jc w:val="center"/>
            </w:pPr>
            <w:r>
              <w:rPr>
                <w:rFonts w:ascii="Arial" w:cs="Arial" w:eastAsia="Arial" w:hAnsi="Arial"/>
                <w:b/>
                <w:bCs/>
                <w:color w:val="1A5C2A"/>
                <w:sz w:val="22"/>
                <w:szCs w:val="22"/>
              </w:rPr>
              <w:t xml:space="preserve">Day 2: Powering Industry</w:t>
            </w:r>
          </w:p>
          <w:p>
            <w:pPr>
              <w:spacing w:after="60" w:line="276"/>
            </w:pPr>
            <w:r>
              <w:rPr>
                <w:rFonts w:ascii="Arial" w:cs="Arial" w:eastAsia="Arial" w:hAnsi="Arial"/>
                <w:color w:val="1A1A1A"/>
                <w:sz w:val="21"/>
                <w:szCs w:val="21"/>
              </w:rPr>
              <w:t xml:space="preserve">Energy for manufacturing</w:t>
            </w:r>
          </w:p>
          <w:p>
            <w:pPr>
              <w:spacing w:after="60" w:line="276"/>
            </w:pPr>
            <w:r>
              <w:rPr>
                <w:rFonts w:ascii="Arial" w:cs="Arial" w:eastAsia="Arial" w:hAnsi="Arial"/>
                <w:color w:val="1A1A1A"/>
                <w:sz w:val="21"/>
                <w:szCs w:val="21"/>
              </w:rPr>
              <w:t xml:space="preserve">Transport corridors and special economic zones</w:t>
            </w:r>
          </w:p>
          <w:p>
            <w:pPr>
              <w:spacing w:after="60" w:line="276"/>
            </w:pPr>
            <w:r>
              <w:rPr>
                <w:rFonts w:ascii="Arial" w:cs="Arial" w:eastAsia="Arial" w:hAnsi="Arial"/>
                <w:color w:val="1A1A1A"/>
                <w:sz w:val="21"/>
                <w:szCs w:val="21"/>
              </w:rPr>
              <w:t xml:space="preserve">Local content and industrial supply</w:t>
            </w:r>
          </w:p>
        </w:tc>
        <w:tc>
          <w:tcPr>
            <w:tcW w:type="dxa" w:w="3009"/>
            <w:tcBorders>
              <w:top w:val="single" w:color="B8C4B8" w:sz="4"/>
              <w:left w:val="single" w:color="B8C4B8" w:sz="4"/>
              <w:bottom w:val="single" w:color="B8C4B8" w:sz="4"/>
              <w:right w:val="single" w:color="B8C4B8" w:sz="4"/>
            </w:tcBorders>
            <w:tcMar>
              <w:top w:type="dxa" w:w="140"/>
              <w:left w:type="dxa" w:w="160"/>
              <w:bottom w:type="dxa" w:w="140"/>
              <w:right w:type="dxa" w:w="160"/>
            </w:tcMar>
          </w:tcPr>
          <w:p>
            <w:pPr>
              <w:pBdr>
                <w:bottom w:val="single" w:color="C47B0B" w:sz="4" w:space="4"/>
              </w:pBdr>
              <w:spacing w:after="120"/>
              <w:jc w:val="center"/>
            </w:pPr>
            <w:r>
              <w:rPr>
                <w:rFonts w:ascii="Arial" w:cs="Arial" w:eastAsia="Arial" w:hAnsi="Arial"/>
                <w:b/>
                <w:bCs/>
                <w:color w:val="1A5C2A"/>
                <w:sz w:val="22"/>
                <w:szCs w:val="22"/>
              </w:rPr>
              <w:t xml:space="preserve">Day 3: Delivering Prosperity</w:t>
            </w:r>
          </w:p>
          <w:p>
            <w:pPr>
              <w:spacing w:after="60" w:line="276"/>
            </w:pPr>
            <w:r>
              <w:rPr>
                <w:rFonts w:ascii="Arial" w:cs="Arial" w:eastAsia="Arial" w:hAnsi="Arial"/>
                <w:color w:val="1A1A1A"/>
                <w:sz w:val="21"/>
                <w:szCs w:val="21"/>
              </w:rPr>
              <w:t xml:space="preserve">Jobs and household benefit</w:t>
            </w:r>
          </w:p>
          <w:p>
            <w:pPr>
              <w:spacing w:after="60" w:line="276"/>
            </w:pPr>
            <w:r>
              <w:rPr>
                <w:rFonts w:ascii="Arial" w:cs="Arial" w:eastAsia="Arial" w:hAnsi="Arial"/>
                <w:color w:val="1A1A1A"/>
                <w:sz w:val="21"/>
                <w:szCs w:val="21"/>
              </w:rPr>
              <w:t xml:space="preserve">Finance linked to results</w:t>
            </w:r>
          </w:p>
          <w:p>
            <w:pPr>
              <w:spacing w:after="60" w:line="276"/>
            </w:pPr>
            <w:r>
              <w:rPr>
                <w:rFonts w:ascii="Arial" w:cs="Arial" w:eastAsia="Arial" w:hAnsi="Arial"/>
                <w:color w:val="1A1A1A"/>
                <w:sz w:val="21"/>
                <w:szCs w:val="21"/>
              </w:rPr>
              <w:t xml:space="preserve">The Prosperity Close Standard</w:t>
            </w:r>
          </w:p>
        </w:tc>
      </w:tr>
      <w:tr>
        <w:tc>
          <w:tcPr>
            <w:tcW w:type="dxa" w:w="9026"/>
            <w:gridSpan w:val="3"/>
            <w:tcBorders>
              <w:top w:val="single" w:color="B8C4B8" w:sz="4"/>
              <w:left w:val="single" w:color="B8C4B8" w:sz="4"/>
              <w:bottom w:val="single" w:color="B8C4B8" w:sz="4"/>
              <w:right w:val="single" w:color="B8C4B8" w:sz="4"/>
            </w:tcBorders>
            <w:shd w:fill="FBF3E4" w:color="auto" w:val="clear"/>
            <w:tcMar>
              <w:top w:type="dxa" w:w="140"/>
              <w:left w:type="dxa" w:w="160"/>
              <w:bottom w:type="dxa" w:w="140"/>
              <w:right w:type="dxa" w:w="160"/>
            </w:tcMar>
          </w:tcPr>
          <w:p>
            <w:pPr>
              <w:jc w:val="center"/>
            </w:pPr>
            <w:r>
              <w:rPr>
                <w:rFonts w:ascii="Arial" w:cs="Arial" w:eastAsia="Arial" w:hAnsi="Arial"/>
                <w:b/>
                <w:bCs/>
                <w:color w:val="C47B0B"/>
                <w:sz w:val="21"/>
                <w:szCs w:val="21"/>
              </w:rPr>
              <w:t xml:space="preserve">Cross-cutting topics: project assurance  |  green delivery  |  skills  |  land and community</w:t>
            </w:r>
          </w:p>
        </w:tc>
      </w:tr>
    </w:tbl>
    <w:p>
      <w:pPr>
        <w:spacing w:after="120"/>
      </w:pP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3. Sustainable Development Goals</w:t>
      </w:r>
    </w:p>
    <w:p>
      <w:pPr>
        <w:spacing w:after="160" w:line="324"/>
      </w:pPr>
      <w:r>
        <w:rPr>
          <w:rFonts w:ascii="Arial" w:cs="Arial" w:eastAsia="Arial" w:hAnsi="Arial"/>
          <w:color w:val="1A1A1A"/>
          <w:sz w:val="24"/>
          <w:szCs w:val="24"/>
        </w:rPr>
        <w:t xml:space="preserve">AIPIS is built around SDG 9 (Industry, Innovation and Infrastructure) and contributes to nine other Goals. Each session, output and partner commitment will be linked to the targets below, and the Commitments Tracker will report progress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SDG</w:t>
            </w:r>
          </w:p>
        </w:tc>
        <w:tc>
          <w:tcPr>
            <w:tcW w:type="dxa" w:w="1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Targets</w:t>
            </w:r>
          </w:p>
        </w:tc>
        <w:tc>
          <w:tcPr>
            <w:tcW w:type="dxa" w:w="46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Contribution of AIPIS</w:t>
            </w:r>
          </w:p>
        </w:tc>
      </w:tr>
      <w:tr>
        <w:trPr>
          <w:cantSplit/>
        </w:trPr>
        <w:tc>
          <w:tcPr>
            <w:tcW w:type="dxa" w:w="2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9: Industry, Innovation and Infrastructure</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9.1, 9.2, 9.4, 9.a</w:t>
            </w:r>
          </w:p>
        </w:tc>
        <w:tc>
          <w:tcPr>
            <w:tcW w:type="dxa" w:w="4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Main focus of the summit. The Prosperity Index, Prosperity Close Standard and Procurement Exchange link infrastructure quality to industrial growth</w:t>
            </w:r>
          </w:p>
        </w:tc>
      </w:tr>
      <w:tr>
        <w:trPr>
          <w:cantSplit/>
        </w:trPr>
        <w:tc>
          <w:tcPr>
            <w:tcW w:type="dxa" w:w="2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8: Decent Work and Economic Growth</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8.2, 8.3, 8.5</w:t>
            </w:r>
          </w:p>
        </w:tc>
        <w:tc>
          <w:tcPr>
            <w:tcW w:type="dxa" w:w="4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Jobs and local business participation are measured under the Prosperity Close Standard; the Procurement Exchange opens contracts to African manufacturers and small businesses</w:t>
            </w:r>
          </w:p>
        </w:tc>
      </w:tr>
      <w:tr>
        <w:trPr>
          <w:cantSplit/>
        </w:trPr>
        <w:tc>
          <w:tcPr>
            <w:tcW w:type="dxa" w:w="2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7: Affordable and Clean Energy</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7.1, 7.2, 7.b</w:t>
            </w:r>
          </w:p>
        </w:tc>
        <w:tc>
          <w:tcPr>
            <w:tcW w:type="dxa" w:w="4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Day 2 covers reliable, clean energy for factories and industrial zones</w:t>
            </w:r>
          </w:p>
        </w:tc>
      </w:tr>
      <w:tr>
        <w:trPr>
          <w:cantSplit/>
        </w:trPr>
        <w:tc>
          <w:tcPr>
            <w:tcW w:type="dxa" w:w="2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1: No Poverty</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1.4</w:t>
            </w:r>
          </w:p>
        </w:tc>
        <w:tc>
          <w:tcPr>
            <w:tcW w:type="dxa" w:w="4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Prosperity Index measures household access to basic services</w:t>
            </w:r>
          </w:p>
        </w:tc>
      </w:tr>
      <w:tr>
        <w:trPr>
          <w:cantSplit/>
        </w:trPr>
        <w:tc>
          <w:tcPr>
            <w:tcW w:type="dxa" w:w="2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6: Clean Water and Sanitation</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6.1, 6.2</w:t>
            </w:r>
          </w:p>
        </w:tc>
        <w:tc>
          <w:tcPr>
            <w:tcW w:type="dxa" w:w="4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Water and sanitation projects are covered on Day 1</w:t>
            </w:r>
          </w:p>
        </w:tc>
      </w:tr>
      <w:tr>
        <w:trPr>
          <w:cantSplit/>
        </w:trPr>
        <w:tc>
          <w:tcPr>
            <w:tcW w:type="dxa" w:w="2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11: Sustainable Cities and Communities</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11.1, 11.2, 11.3</w:t>
            </w:r>
          </w:p>
        </w:tc>
        <w:tc>
          <w:tcPr>
            <w:tcW w:type="dxa" w:w="4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Housing, urban transport and community participation, including the Land, Traditional Authority and Infrastructure Roundtable</w:t>
            </w:r>
          </w:p>
        </w:tc>
      </w:tr>
      <w:tr>
        <w:trPr>
          <w:cantSplit/>
        </w:trPr>
        <w:tc>
          <w:tcPr>
            <w:tcW w:type="dxa" w:w="2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12: Responsible Consumption and Production</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12.7</w:t>
            </w:r>
          </w:p>
        </w:tc>
        <w:tc>
          <w:tcPr>
            <w:tcW w:type="dxa" w:w="4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Kumasi Delivery Compact commits signatories to sustainable and transparent public procurement</w:t>
            </w:r>
          </w:p>
        </w:tc>
      </w:tr>
      <w:tr>
        <w:trPr>
          <w:cantSplit/>
        </w:trPr>
        <w:tc>
          <w:tcPr>
            <w:tcW w:type="dxa" w:w="2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13: Climate Action</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13.1, 13.2</w:t>
            </w:r>
          </w:p>
        </w:tc>
        <w:tc>
          <w:tcPr>
            <w:tcW w:type="dxa" w:w="4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GCI leads sessions on low-carbon and climate-resilient project delivery</w:t>
            </w:r>
          </w:p>
        </w:tc>
      </w:tr>
      <w:tr>
        <w:trPr>
          <w:cantSplit/>
        </w:trPr>
        <w:tc>
          <w:tcPr>
            <w:tcW w:type="dxa" w:w="2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16: Peace, Justice and Strong Institutions</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16.5, 16.6</w:t>
            </w:r>
          </w:p>
        </w:tc>
        <w:tc>
          <w:tcPr>
            <w:tcW w:type="dxa" w:w="4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Forensic Clinic and Commitments Tracker improve accountability and reduce waste and corruption in public projects</w:t>
            </w:r>
          </w:p>
        </w:tc>
      </w:tr>
      <w:tr>
        <w:trPr>
          <w:cantSplit/>
        </w:trPr>
        <w:tc>
          <w:tcPr>
            <w:tcW w:type="dxa" w:w="2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SDG 17: Partnerships for the Goals</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17.3, 17.17</w:t>
            </w:r>
          </w:p>
        </w:tc>
        <w:tc>
          <w:tcPr>
            <w:tcW w:type="dxa" w:w="4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Partnerships between government, financiers, industry and universities raise finance and share delivery</w:t>
            </w:r>
          </w:p>
        </w:tc>
      </w:tr>
    </w:tbl>
    <w:p>
      <w:pPr>
        <w:spacing w:after="120"/>
      </w:pPr>
    </w:p>
    <w:p>
      <w:pPr>
        <w:spacing w:after="160" w:line="324"/>
      </w:pPr>
      <w:r>
        <w:rPr>
          <w:rFonts w:ascii="Arial" w:cs="Arial" w:eastAsia="Arial" w:hAnsi="Arial"/>
          <w:color w:val="1A1A1A"/>
          <w:sz w:val="24"/>
          <w:szCs w:val="24"/>
        </w:rPr>
        <w:t xml:space="preserve">The summit also supports the African Union’s Agenda 2063, the Programme for Infrastructure Development in Africa (PIDA), the African Continental Free Trade Area (AfCFTA) and Ghana’s 24-Hour Economy policy.</w:t>
      </w:r>
    </w:p>
    <w:p>
      <w:pPr>
        <w:spacing w:after="160" w:line="324"/>
      </w:pPr>
      <w:r>
        <w:rPr>
          <w:rFonts w:ascii="Arial" w:cs="Arial" w:eastAsia="Arial" w:hAnsi="Arial"/>
          <w:color w:val="1A1A1A"/>
          <w:sz w:val="24"/>
          <w:szCs w:val="24"/>
        </w:rPr>
        <w:t xml:space="preserve">The 2030 edition, held in Kumasi in the SDG target year, will be devoted to measuring the impact of African infrastructure and industry on the Goals. It will draw on four years of Prosperity Index data, Forensic Report findings and Commitments Tracker records to show where progress has been made and where gaps remain.</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4. Background</w:t>
      </w:r>
    </w:p>
    <w:p>
      <w:pPr>
        <w:spacing w:after="160" w:line="324"/>
      </w:pPr>
      <w:r>
        <w:rPr>
          <w:rFonts w:ascii="Arial" w:cs="Arial" w:eastAsia="Arial" w:hAnsi="Arial"/>
          <w:color w:val="1A1A1A"/>
          <w:sz w:val="24"/>
          <w:szCs w:val="24"/>
        </w:rPr>
        <w:t xml:space="preserve">Over the past two decades, African governments, development finance institutions, pension funds and private investors have greatly improved how they plan and finance infrastructure. Several established summits now focus on raising capital and preparing projects for investment.</w:t>
      </w:r>
    </w:p>
    <w:p>
      <w:pPr>
        <w:spacing w:after="160" w:line="324"/>
      </w:pPr>
      <w:r>
        <w:rPr>
          <w:rFonts w:ascii="Arial" w:cs="Arial" w:eastAsia="Arial" w:hAnsi="Arial"/>
          <w:color w:val="1A1A1A"/>
          <w:sz w:val="24"/>
          <w:szCs w:val="24"/>
        </w:rPr>
        <w:t xml:space="preserve">Problems remain after the funding is secured. Many projects stall, run over budget, or are completed without the industrial growth that justified them. Roads open without factories along them. New power plants come on stream while manufacturers still depend on diesel generators. In Ghana and across Africa, abandoned and unfinished public projects tie up public money that has produced no benefit.</w:t>
      </w:r>
    </w:p>
    <w:p>
      <w:pPr>
        <w:spacing w:after="160" w:line="324"/>
      </w:pPr>
      <w:r>
        <w:rPr>
          <w:rFonts w:ascii="Arial" w:cs="Arial" w:eastAsia="Arial" w:hAnsi="Arial"/>
          <w:color w:val="1A1A1A"/>
          <w:sz w:val="24"/>
          <w:szCs w:val="24"/>
        </w:rPr>
        <w:t xml:space="preserve">The AIPIS convenors have the expertise to examine these problems. KNUST’s Department of Construction Technology and Management has decades of research on how African projects are procured, delivered, costed and managed. AIPAF sets professional standards in project assurance and forensic investigation. GCI brings expertise in sustainability and in environmental, social and governance (ESG) standards, which investors now expect.</w:t>
      </w:r>
    </w:p>
    <w:p>
      <w:pPr>
        <w:spacing w:after="160" w:line="324"/>
      </w:pPr>
      <w:r>
        <w:rPr>
          <w:rFonts w:ascii="Arial" w:cs="Arial" w:eastAsia="Arial" w:hAnsi="Arial"/>
          <w:color w:val="1A1A1A"/>
          <w:sz w:val="24"/>
          <w:szCs w:val="24"/>
        </w:rPr>
        <w:t xml:space="preserve">Current policy makes this work urgent. Ghana’s industrialisation plans and 24-Hour Economy policy depend on reliable infrastructure. The AfCFTA will favour countries whose transport, energy and logistics systems allow manufacturers to compete across borders. Investors are also asking for evidence of results before they commit further funds.</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5. Comparison with Existing Summits</w:t>
      </w:r>
    </w:p>
    <w:p>
      <w:pPr>
        <w:spacing w:after="160" w:line="324"/>
      </w:pPr>
      <w:r>
        <w:rPr>
          <w:rFonts w:ascii="Arial" w:cs="Arial" w:eastAsia="Arial" w:hAnsi="Arial"/>
          <w:color w:val="1A1A1A"/>
          <w:sz w:val="24"/>
          <w:szCs w:val="24"/>
        </w:rPr>
        <w:t xml:space="preserve">The events closest to AIPIS focus on raising finance and arranging investment deals. None of them focuses on project performance after funding, on lessons from failed projects, or on measuring benefits to citizens, and none is led by a university with research expertise in the built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400"/>
        <w:gridCol w:w="2226"/>
      </w:tblGrid>
      <w:tr>
        <w:trPr>
          <w:tblHeader/>
        </w:trPr>
        <w:tc>
          <w:tcPr>
            <w:tcW w:type="dxa" w:w="23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Event</w:t>
            </w:r>
          </w:p>
        </w:tc>
        <w:tc>
          <w:tcPr>
            <w:tcW w:type="dxa" w:w="21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Organiser</w:t>
            </w:r>
          </w:p>
        </w:tc>
        <w:tc>
          <w:tcPr>
            <w:tcW w:type="dxa" w:w="24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Main focus</w:t>
            </w:r>
          </w:p>
        </w:tc>
        <w:tc>
          <w:tcPr>
            <w:tcW w:type="dxa" w:w="22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Difference with AIPIS</w:t>
            </w:r>
          </w:p>
        </w:tc>
      </w:tr>
      <w:tr>
        <w:trPr>
          <w:cantSplit/>
        </w:trPr>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hyperlink w:history="1" r:id="rId7oit7rqy8mu-rv_oua2tj">
              <w:r>
                <w:rPr>
                  <w:rFonts w:ascii="Arial" w:cs="Arial" w:eastAsia="Arial" w:hAnsi="Arial"/>
                  <w:b/>
                  <w:bCs/>
                  <w:color w:val="1A5C2A"/>
                  <w:sz w:val="22"/>
                  <w:szCs w:val="22"/>
                  <w:u w:val="single"/>
                </w:rPr>
                <w:t xml:space="preserve">Africa We Build Summit</w:t>
              </w:r>
            </w:hyperlink>
          </w:p>
          <w:p>
            <w:r>
              <w:rPr>
                <w:rFonts w:ascii="Arial" w:cs="Arial" w:eastAsia="Arial" w:hAnsi="Arial"/>
                <w:color w:val="5F6B5F"/>
                <w:sz w:val="20"/>
                <w:szCs w:val="20"/>
              </w:rPr>
              <w:t xml:space="preserve">Nairobi, April 2026</w:t>
            </w:r>
          </w:p>
        </w:tc>
        <w:tc>
          <w:tcPr>
            <w:tcW w:type="dxa" w:w="21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Africa Finance Corporation with the Government of Kenya</w:t>
            </w:r>
          </w:p>
        </w:tc>
        <w:tc>
          <w:tcPr>
            <w:tcW w:type="dxa" w:w="24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Raising domestic capital for infrastructure and industrial projects</w:t>
            </w:r>
          </w:p>
        </w:tc>
        <w:tc>
          <w:tcPr>
            <w:tcW w:type="dxa" w:w="22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AIPIS follows projects after funding is secured and measures results</w:t>
            </w:r>
          </w:p>
        </w:tc>
      </w:tr>
      <w:tr>
        <w:trPr>
          <w:cantSplit/>
        </w:trPr>
        <w:tc>
          <w:tcPr>
            <w:tcW w:type="dxa" w:w="23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hyperlink w:history="1" r:id="rId-o_eejaflnrzdpbahxuxk">
              <w:r>
                <w:rPr>
                  <w:rFonts w:ascii="Arial" w:cs="Arial" w:eastAsia="Arial" w:hAnsi="Arial"/>
                  <w:b/>
                  <w:bCs/>
                  <w:color w:val="1A5C2A"/>
                  <w:sz w:val="22"/>
                  <w:szCs w:val="22"/>
                  <w:u w:val="single"/>
                </w:rPr>
                <w:t xml:space="preserve">Africa PPP</w:t>
              </w:r>
            </w:hyperlink>
          </w:p>
          <w:p>
            <w:r>
              <w:rPr>
                <w:rFonts w:ascii="Arial" w:cs="Arial" w:eastAsia="Arial" w:hAnsi="Arial"/>
                <w:color w:val="5F6B5F"/>
                <w:sz w:val="20"/>
                <w:szCs w:val="20"/>
              </w:rPr>
              <w:t xml:space="preserve">Nairobi, November 2026</w:t>
            </w:r>
          </w:p>
        </w:tc>
        <w:tc>
          <w:tcPr>
            <w:tcW w:type="dxa" w:w="21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AmeTrade</w:t>
            </w:r>
          </w:p>
        </w:tc>
        <w:tc>
          <w:tcPr>
            <w:tcW w:type="dxa" w:w="24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Public-private partnership arrangements and investment</w:t>
            </w:r>
          </w:p>
        </w:tc>
        <w:tc>
          <w:tcPr>
            <w:tcW w:type="dxa" w:w="22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AIPIS covers all procurement methods and how projects perform in use</w:t>
            </w:r>
          </w:p>
        </w:tc>
      </w:tr>
      <w:tr>
        <w:trPr>
          <w:cantSplit/>
        </w:trPr>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hyperlink w:history="1" r:id="rIdzbki7ftuazyeucbkeczzi">
              <w:r>
                <w:rPr>
                  <w:rFonts w:ascii="Arial" w:cs="Arial" w:eastAsia="Arial" w:hAnsi="Arial"/>
                  <w:b/>
                  <w:bCs/>
                  <w:color w:val="1A5C2A"/>
                  <w:sz w:val="22"/>
                  <w:szCs w:val="22"/>
                  <w:u w:val="single"/>
                </w:rPr>
                <w:t xml:space="preserve">Infrastructure Africa</w:t>
              </w:r>
            </w:hyperlink>
          </w:p>
          <w:p>
            <w:r>
              <w:rPr>
                <w:rFonts w:ascii="Arial" w:cs="Arial" w:eastAsia="Arial" w:hAnsi="Arial"/>
                <w:color w:val="5F6B5F"/>
                <w:sz w:val="20"/>
                <w:szCs w:val="20"/>
              </w:rPr>
              <w:t xml:space="preserve">Cape Town, March 2026</w:t>
            </w:r>
          </w:p>
        </w:tc>
        <w:tc>
          <w:tcPr>
            <w:tcW w:type="dxa" w:w="21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Commercial organiser</w:t>
            </w:r>
          </w:p>
        </w:tc>
        <w:tc>
          <w:tcPr>
            <w:tcW w:type="dxa" w:w="24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Meetings between project owners and financiers</w:t>
            </w:r>
          </w:p>
        </w:tc>
        <w:tc>
          <w:tcPr>
            <w:tcW w:type="dxa" w:w="22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AIPIS adds independent assurance and forensic review</w:t>
            </w:r>
          </w:p>
        </w:tc>
      </w:tr>
      <w:tr>
        <w:trPr>
          <w:cantSplit/>
        </w:trPr>
        <w:tc>
          <w:tcPr>
            <w:tcW w:type="dxa" w:w="23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hyperlink w:history="1" r:id="rIdm0g2vv7hdz0lkfc4ry5ho">
              <w:r>
                <w:rPr>
                  <w:rFonts w:ascii="Arial" w:cs="Arial" w:eastAsia="Arial" w:hAnsi="Arial"/>
                  <w:b/>
                  <w:bCs/>
                  <w:color w:val="1A5C2A"/>
                  <w:sz w:val="22"/>
                  <w:szCs w:val="22"/>
                  <w:u w:val="single"/>
                </w:rPr>
                <w:t xml:space="preserve">Ghana Investment and Trade Week</w:t>
              </w:r>
            </w:hyperlink>
          </w:p>
          <w:p>
            <w:r>
              <w:rPr>
                <w:rFonts w:ascii="Arial" w:cs="Arial" w:eastAsia="Arial" w:hAnsi="Arial"/>
                <w:color w:val="5F6B5F"/>
                <w:sz w:val="20"/>
                <w:szCs w:val="20"/>
              </w:rPr>
              <w:t xml:space="preserve">Accra, July 2026</w:t>
            </w:r>
          </w:p>
        </w:tc>
        <w:tc>
          <w:tcPr>
            <w:tcW w:type="dxa" w:w="21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MIE Events</w:t>
            </w:r>
          </w:p>
        </w:tc>
        <w:tc>
          <w:tcPr>
            <w:tcW w:type="dxa" w:w="24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Foreign direct investment, exhibitions and trade</w:t>
            </w:r>
          </w:p>
        </w:tc>
        <w:tc>
          <w:tcPr>
            <w:tcW w:type="dxa" w:w="22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AIPIS is research-based and continental in scope</w:t>
            </w:r>
          </w:p>
        </w:tc>
      </w:tr>
    </w:tbl>
    <w:p>
      <w:pPr>
        <w:spacing w:after="120"/>
      </w:pPr>
    </w:p>
    <w:p>
      <w:pPr>
        <w:spacing w:after="160" w:line="324"/>
      </w:pPr>
      <w:r>
        <w:rPr>
          <w:rFonts w:ascii="Arial" w:cs="Arial" w:eastAsia="Arial" w:hAnsi="Arial"/>
          <w:color w:val="1A1A1A"/>
          <w:sz w:val="24"/>
          <w:szCs w:val="24"/>
        </w:rPr>
        <w:t xml:space="preserve">AIPIS fills this gap by providing a regular forum to assess whether infrastructure investment has worked.</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6. The AIPIS Distinction: Seven Innovations</w:t>
      </w:r>
    </w:p>
    <w:p>
      <w:pPr>
        <w:spacing w:after="160" w:line="324"/>
      </w:pPr>
      <w:r>
        <w:rPr>
          <w:rFonts w:ascii="Arial" w:cs="Arial" w:eastAsia="Arial" w:hAnsi="Arial"/>
          <w:color w:val="1A1A1A"/>
          <w:sz w:val="24"/>
          <w:szCs w:val="24"/>
        </w:rPr>
        <w:t xml:space="preserve">AIPIS introduces seven innovations. Each builds on existing expertise among the convenors.</w:t>
      </w:r>
    </w:p>
    <w:p>
      <w:pPr>
        <w:pStyle w:val="Heading2"/>
        <w:keepNext/>
        <w:spacing w:after="120" w:before="240"/>
      </w:pPr>
      <w:r>
        <w:rPr>
          <w:rFonts w:ascii="Arial" w:cs="Arial" w:eastAsia="Arial" w:hAnsi="Arial"/>
          <w:b/>
          <w:bCs/>
          <w:color w:val="1A5C2A"/>
          <w:sz w:val="25"/>
          <w:szCs w:val="25"/>
        </w:rPr>
        <w:t xml:space="preserve">Prosperity Close Standard</w:t>
      </w:r>
    </w:p>
    <w:p>
      <w:pPr>
        <w:spacing w:after="160" w:line="324"/>
      </w:pPr>
      <w:r>
        <w:rPr>
          <w:rFonts w:ascii="Arial" w:cs="Arial" w:eastAsia="Arial" w:hAnsi="Arial"/>
          <w:color w:val="1A1A1A"/>
          <w:sz w:val="24"/>
          <w:szCs w:val="24"/>
        </w:rPr>
        <w:t xml:space="preserve">AIPIS will publish a draft standard that defines when a project has reached prosperity close. The measures include industrial firms served, jobs sustained, local content achieved, reliability of service and benefit to households. Governments and financiers will be invited to adopt the standard.</w:t>
      </w:r>
    </w:p>
    <w:p>
      <w:pPr>
        <w:pStyle w:val="Heading2"/>
        <w:keepNext/>
        <w:spacing w:after="120" w:before="240"/>
      </w:pPr>
      <w:r>
        <w:rPr>
          <w:rFonts w:ascii="Arial" w:cs="Arial" w:eastAsia="Arial" w:hAnsi="Arial"/>
          <w:b/>
          <w:bCs/>
          <w:color w:val="1A5C2A"/>
          <w:sz w:val="25"/>
          <w:szCs w:val="25"/>
        </w:rPr>
        <w:t xml:space="preserve">Africa Infrastructure Prosperity Index</w:t>
      </w:r>
    </w:p>
    <w:p>
      <w:pPr>
        <w:spacing w:after="160" w:line="324"/>
      </w:pPr>
      <w:r>
        <w:rPr>
          <w:rFonts w:ascii="Arial" w:cs="Arial" w:eastAsia="Arial" w:hAnsi="Arial"/>
          <w:color w:val="1A1A1A"/>
          <w:sz w:val="24"/>
          <w:szCs w:val="24"/>
        </w:rPr>
        <w:t xml:space="preserve">KNUST and GCI will publish an annual index that ranks how well African countries turn infrastructure spending into industrial and social results. Current reports measure funding gaps and investment flows. The Index adds a measure of results that ministers and investors can use to compare performance.</w:t>
      </w:r>
    </w:p>
    <w:p>
      <w:pPr>
        <w:pStyle w:val="Heading2"/>
        <w:keepNext/>
        <w:spacing w:after="120" w:before="240"/>
      </w:pPr>
      <w:r>
        <w:rPr>
          <w:rFonts w:ascii="Arial" w:cs="Arial" w:eastAsia="Arial" w:hAnsi="Arial"/>
          <w:b/>
          <w:bCs/>
          <w:color w:val="1A5C2A"/>
          <w:sz w:val="25"/>
          <w:szCs w:val="25"/>
        </w:rPr>
        <w:t xml:space="preserve">Unfinished Projects Forensic Clinic</w:t>
      </w:r>
    </w:p>
    <w:p>
      <w:pPr>
        <w:spacing w:after="160" w:line="324"/>
      </w:pPr>
      <w:r>
        <w:rPr>
          <w:rFonts w:ascii="Arial" w:cs="Arial" w:eastAsia="Arial" w:hAnsi="Arial"/>
          <w:color w:val="1A1A1A"/>
          <w:sz w:val="24"/>
          <w:szCs w:val="24"/>
        </w:rPr>
        <w:t xml:space="preserve">AIPAF will lead a session in which panels of engineers, quantity surveyors, lawyers and auditors examine selected stalled or abandoned projects from across Africa. Each case review ends with a finding on the causes and a recovery plan. The cases are published in an annual Unfinished Projects Forensic Report.</w:t>
      </w:r>
    </w:p>
    <w:p>
      <w:pPr>
        <w:pStyle w:val="Heading2"/>
        <w:keepNext/>
        <w:spacing w:after="120" w:before="240"/>
      </w:pPr>
      <w:r>
        <w:rPr>
          <w:rFonts w:ascii="Arial" w:cs="Arial" w:eastAsia="Arial" w:hAnsi="Arial"/>
          <w:b/>
          <w:bCs/>
          <w:color w:val="1A5C2A"/>
          <w:sz w:val="25"/>
          <w:szCs w:val="25"/>
        </w:rPr>
        <w:t xml:space="preserve">Build-with-Africa Procurement Exchange</w:t>
      </w:r>
    </w:p>
    <w:p>
      <w:pPr>
        <w:spacing w:after="160" w:line="324"/>
      </w:pPr>
      <w:r>
        <w:rPr>
          <w:rFonts w:ascii="Arial" w:cs="Arial" w:eastAsia="Arial" w:hAnsi="Arial"/>
          <w:color w:val="1A1A1A"/>
          <w:sz w:val="24"/>
          <w:szCs w:val="24"/>
        </w:rPr>
        <w:t xml:space="preserve">Pre-arranged meetings connect contractors and project owners with African manufacturers of steel, cement, cables, pipes, fittings and building materials. The aim is to turn infrastructure spending into orders for African firms, so that each project also builds industrial capacity.</w:t>
      </w:r>
    </w:p>
    <w:p>
      <w:pPr>
        <w:pStyle w:val="Heading2"/>
        <w:keepNext/>
        <w:spacing w:after="120" w:before="240"/>
      </w:pPr>
      <w:r>
        <w:rPr>
          <w:rFonts w:ascii="Arial" w:cs="Arial" w:eastAsia="Arial" w:hAnsi="Arial"/>
          <w:b/>
          <w:bCs/>
          <w:color w:val="1A5C2A"/>
          <w:sz w:val="25"/>
          <w:szCs w:val="25"/>
        </w:rPr>
        <w:t xml:space="preserve">Site-to-Summit Field Day</w:t>
      </w:r>
    </w:p>
    <w:p>
      <w:pPr>
        <w:spacing w:after="160" w:line="324"/>
      </w:pPr>
      <w:r>
        <w:rPr>
          <w:rFonts w:ascii="Arial" w:cs="Arial" w:eastAsia="Arial" w:hAnsi="Arial"/>
          <w:color w:val="1A1A1A"/>
          <w:sz w:val="24"/>
          <w:szCs w:val="24"/>
        </w:rPr>
        <w:t xml:space="preserve">On the fourth day, delegates visit live projects, industrial sites and local suppliers in the Ashanti Region. The visits let delegates see construction, operation and local supply at first hand.</w:t>
      </w:r>
    </w:p>
    <w:p>
      <w:pPr>
        <w:pStyle w:val="Heading2"/>
        <w:keepNext/>
        <w:spacing w:after="120" w:before="240"/>
      </w:pPr>
      <w:r>
        <w:rPr>
          <w:rFonts w:ascii="Arial" w:cs="Arial" w:eastAsia="Arial" w:hAnsi="Arial"/>
          <w:b/>
          <w:bCs/>
          <w:color w:val="1A5C2A"/>
          <w:sz w:val="25"/>
          <w:szCs w:val="25"/>
        </w:rPr>
        <w:t xml:space="preserve">Land, Traditional Authority and Infrastructure Roundtable</w:t>
      </w:r>
    </w:p>
    <w:p>
      <w:pPr>
        <w:spacing w:after="160" w:line="324"/>
      </w:pPr>
      <w:r>
        <w:rPr>
          <w:rFonts w:ascii="Arial" w:cs="Arial" w:eastAsia="Arial" w:hAnsi="Arial"/>
          <w:color w:val="1A1A1A"/>
          <w:sz w:val="24"/>
          <w:szCs w:val="24"/>
        </w:rPr>
        <w:t xml:space="preserve">Customary land ownership affects almost every infrastructure project in Ghana and much of Africa. Holding the summit in Kumasi allows traditional authorities, land agencies, developers and financiers to discuss rights of way, compensation and benefit sharing directly.</w:t>
      </w:r>
    </w:p>
    <w:p>
      <w:pPr>
        <w:pStyle w:val="Heading2"/>
        <w:keepNext/>
        <w:spacing w:after="120" w:before="240"/>
      </w:pPr>
      <w:r>
        <w:rPr>
          <w:rFonts w:ascii="Arial" w:cs="Arial" w:eastAsia="Arial" w:hAnsi="Arial"/>
          <w:b/>
          <w:bCs/>
          <w:color w:val="1A5C2A"/>
          <w:sz w:val="25"/>
          <w:szCs w:val="25"/>
        </w:rPr>
        <w:t xml:space="preserve">Commitments Tracker and Kumasi Delivery Compact</w:t>
      </w:r>
    </w:p>
    <w:p>
      <w:pPr>
        <w:spacing w:after="160" w:line="324"/>
      </w:pPr>
      <w:r>
        <w:rPr>
          <w:rFonts w:ascii="Arial" w:cs="Arial" w:eastAsia="Arial" w:hAnsi="Arial"/>
          <w:color w:val="1A1A1A"/>
          <w:sz w:val="24"/>
          <w:szCs w:val="24"/>
        </w:rPr>
        <w:t xml:space="preserve">Every pledge made at AIPIS is recorded on a public tracker, and progress is reported at the next edition. The first edition will close with the Kumasi Delivery Compact, a short set of commitments on project assurance, local content and reporting of results, for signature by governments, financiers and contractors.</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7. Programme</w:t>
      </w:r>
    </w:p>
    <w:p>
      <w:pPr>
        <w:spacing w:after="160" w:line="324"/>
      </w:pPr>
      <w:r>
        <w:rPr>
          <w:rFonts w:ascii="Arial" w:cs="Arial" w:eastAsia="Arial" w:hAnsi="Arial"/>
          <w:color w:val="1A1A1A"/>
          <w:sz w:val="24"/>
          <w:szCs w:val="24"/>
        </w:rPr>
        <w:t xml:space="preserve">The summit runs for four days: three conference days, each based on one thematic area, and one field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5526"/>
      </w:tblGrid>
      <w:tr>
        <w:trPr>
          <w:tblHeader/>
        </w:trPr>
        <w:tc>
          <w:tcPr>
            <w:tcW w:type="dxa" w:w="12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Day</w:t>
            </w:r>
          </w:p>
        </w:tc>
        <w:tc>
          <w:tcPr>
            <w:tcW w:type="dxa" w:w="23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Focus</w:t>
            </w:r>
          </w:p>
        </w:tc>
        <w:tc>
          <w:tcPr>
            <w:tcW w:type="dxa" w:w="55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Main sessions</w:t>
            </w:r>
          </w:p>
        </w:tc>
      </w:tr>
      <w:tr>
        <w:trPr>
          <w:cantSplit/>
        </w:trPr>
        <w:tc>
          <w:tcPr>
            <w:tcW w:type="dxa" w:w="12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Day 1</w:t>
            </w:r>
          </w:p>
        </w:tc>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Building infrastructure</w:t>
            </w:r>
          </w:p>
        </w:tc>
        <w:tc>
          <w:tcPr>
            <w:tcW w:type="dxa" w:w="5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Opening ceremony and launch of the Africa Infrastructure Prosperity Index; Unfinished Projects Forensic Clinic; Land, Traditional Authority and Infrastructure Roundtable</w:t>
            </w:r>
          </w:p>
        </w:tc>
      </w:tr>
      <w:tr>
        <w:trPr>
          <w:cantSplit/>
        </w:trPr>
        <w:tc>
          <w:tcPr>
            <w:tcW w:type="dxa" w:w="12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Day 2</w:t>
            </w:r>
          </w:p>
        </w:tc>
        <w:tc>
          <w:tcPr>
            <w:tcW w:type="dxa" w:w="23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Powering industry</w:t>
            </w:r>
          </w:p>
        </w:tc>
        <w:tc>
          <w:tcPr>
            <w:tcW w:type="dxa" w:w="5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Plenary on energy for industry, co-hosted by the Ministry of Energy and Green Transition; Build-with-Africa Procurement Exchange; session on transport corridors, special economic zones and industrial parks; session on round-the-clock production under the 24-Hour Economy</w:t>
            </w:r>
          </w:p>
        </w:tc>
      </w:tr>
      <w:tr>
        <w:trPr>
          <w:cantSplit/>
        </w:trPr>
        <w:tc>
          <w:tcPr>
            <w:tcW w:type="dxa" w:w="12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Day 3</w:t>
            </w:r>
          </w:p>
        </w:tc>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Delivering prosperity</w:t>
            </w:r>
          </w:p>
        </w:tc>
        <w:tc>
          <w:tcPr>
            <w:tcW w:type="dxa" w:w="55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Discussion of the Prosperity Close Standard; Finance and Investor Forum; research and practice paper sessions; signing of the Kumasi Delivery Compact and closing ceremony</w:t>
            </w:r>
          </w:p>
        </w:tc>
      </w:tr>
      <w:tr>
        <w:trPr>
          <w:cantSplit/>
        </w:trPr>
        <w:tc>
          <w:tcPr>
            <w:tcW w:type="dxa" w:w="12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Day 4</w:t>
            </w:r>
          </w:p>
        </w:tc>
        <w:tc>
          <w:tcPr>
            <w:tcW w:type="dxa" w:w="23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Site-to-Summit Field Day</w:t>
            </w:r>
          </w:p>
        </w:tc>
        <w:tc>
          <w:tcPr>
            <w:tcW w:type="dxa" w:w="55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Visits to live projects, industrial sites and local manufacturers</w:t>
            </w:r>
          </w:p>
        </w:tc>
      </w:tr>
    </w:tbl>
    <w:p>
      <w:pPr>
        <w:spacing w:after="120"/>
      </w:pPr>
    </w:p>
    <w:p>
      <w:pPr>
        <w:spacing w:after="160" w:line="324"/>
      </w:pPr>
      <w:r>
        <w:rPr>
          <w:rFonts w:ascii="Arial" w:cs="Arial" w:eastAsia="Arial" w:hAnsi="Arial"/>
          <w:color w:val="1A1A1A"/>
          <w:sz w:val="24"/>
          <w:szCs w:val="24"/>
        </w:rPr>
        <w:t xml:space="preserve">Plenary sessions are short and debate-based. Most of the programme consists of working sessions, case reviews and business meetings. DCTM will manage a peer-reviewed research and practice stream, with papers published in the summit proceedings.</w:t>
      </w:r>
    </w:p>
    <w:p>
      <w:pPr>
        <w:pStyle w:val="Heading2"/>
        <w:keepNext/>
        <w:spacing w:after="120" w:before="240"/>
      </w:pPr>
      <w:r>
        <w:rPr>
          <w:rFonts w:ascii="Arial" w:cs="Arial" w:eastAsia="Arial" w:hAnsi="Arial"/>
          <w:b/>
          <w:bCs/>
          <w:color w:val="1A5C2A"/>
          <w:sz w:val="25"/>
          <w:szCs w:val="25"/>
        </w:rPr>
        <w:t xml:space="preserve">Host Rotation</w:t>
      </w:r>
    </w:p>
    <w:p>
      <w:pPr>
        <w:spacing w:after="160" w:line="324"/>
      </w:pPr>
      <w:r>
        <w:rPr>
          <w:rFonts w:ascii="Arial" w:cs="Arial" w:eastAsia="Arial" w:hAnsi="Arial"/>
          <w:color w:val="1A1A1A"/>
          <w:sz w:val="24"/>
          <w:szCs w:val="24"/>
        </w:rPr>
        <w:t xml:space="preserve">Kumasi is the permanent home of AIPIS. The first two editions are held there to establish the summit, its outputs and its partnerships. The third edition moves to Kenya in 2029, and the fourth returns to Kumasi in 2030. From 2031, the summit returns to Kumasi after every two editions held elsewhere.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2726"/>
      </w:tblGrid>
      <w:tr>
        <w:trPr>
          <w:tblHeader/>
        </w:trPr>
        <w:tc>
          <w:tcPr>
            <w:tcW w:type="dxa" w:w="18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Edition</w:t>
            </w:r>
          </w:p>
        </w:tc>
        <w:tc>
          <w:tcPr>
            <w:tcW w:type="dxa" w:w="1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Year</w:t>
            </w:r>
          </w:p>
        </w:tc>
        <w:tc>
          <w:tcPr>
            <w:tcW w:type="dxa" w:w="30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Host country</w:t>
            </w:r>
          </w:p>
        </w:tc>
        <w:tc>
          <w:tcPr>
            <w:tcW w:type="dxa" w:w="27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Dates</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First</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2027</w:t>
            </w:r>
          </w:p>
        </w:tc>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Ghana (KNUST, Kumasi)</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Tuesday 24 to Friday 27 August 2027</w:t>
            </w:r>
          </w:p>
        </w:tc>
      </w:tr>
      <w:tr>
        <w:trPr>
          <w:cantSplit/>
        </w:trPr>
        <w:tc>
          <w:tcPr>
            <w:tcW w:type="dxa" w:w="1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Second</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2028</w:t>
            </w:r>
          </w:p>
        </w:tc>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Ghana (KNUST, Kumasi)</w:t>
            </w:r>
          </w:p>
        </w:tc>
        <w:tc>
          <w:tcPr>
            <w:tcW w:type="dxa" w:w="27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2028</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Third</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2029</w:t>
            </w:r>
          </w:p>
        </w:tc>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Kenya</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2029, dates to be agreed with the host</w:t>
            </w:r>
          </w:p>
        </w:tc>
      </w:tr>
      <w:tr>
        <w:trPr>
          <w:cantSplit/>
        </w:trPr>
        <w:tc>
          <w:tcPr>
            <w:tcW w:type="dxa" w:w="1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Fourth</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2030</w:t>
            </w:r>
          </w:p>
        </w:tc>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Ghana (KNUST, Kumasi)</w:t>
            </w:r>
          </w:p>
        </w:tc>
        <w:tc>
          <w:tcPr>
            <w:tcW w:type="dxa" w:w="27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2030</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Fifth</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2031</w:t>
            </w:r>
          </w:p>
        </w:tc>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Nigeria</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2031, dates to be agreed with the host</w:t>
            </w:r>
          </w:p>
        </w:tc>
      </w:tr>
      <w:tr>
        <w:trPr>
          <w:cantSplit/>
        </w:trPr>
        <w:tc>
          <w:tcPr>
            <w:tcW w:type="dxa" w:w="1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Sixth</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2032</w:t>
            </w:r>
          </w:p>
        </w:tc>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South Africa</w:t>
            </w:r>
          </w:p>
        </w:tc>
        <w:tc>
          <w:tcPr>
            <w:tcW w:type="dxa" w:w="27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2032, dates to be agreed with the host</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Seventh</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2033</w:t>
            </w:r>
          </w:p>
        </w:tc>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Ghana (KNUST, Kumasi)</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2033</w:t>
            </w:r>
          </w:p>
        </w:tc>
      </w:tr>
      <w:tr>
        <w:trPr>
          <w:cantSplit/>
        </w:trPr>
        <w:tc>
          <w:tcPr>
            <w:tcW w:type="dxa" w:w="1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Eighth and ninth</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2034 and 2035</w:t>
            </w:r>
          </w:p>
        </w:tc>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Chosen by bidding</w:t>
            </w:r>
          </w:p>
        </w:tc>
        <w:tc>
          <w:tcPr>
            <w:tcW w:type="dxa" w:w="27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Late August</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Tenth</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2036</w:t>
            </w:r>
          </w:p>
        </w:tc>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Ghana (KNUST, Kumasi)</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August 2036</w:t>
            </w:r>
          </w:p>
        </w:tc>
      </w:tr>
    </w:tbl>
    <w:p>
      <w:pPr>
        <w:spacing w:after="120"/>
      </w:pPr>
    </w:p>
    <w:p>
      <w:pPr>
        <w:spacing w:after="160" w:line="324"/>
      </w:pPr>
      <w:r>
        <w:rPr>
          <w:rFonts w:ascii="Arial" w:cs="Arial" w:eastAsia="Arial" w:hAnsi="Arial"/>
          <w:color w:val="1A1A1A"/>
          <w:sz w:val="24"/>
          <w:szCs w:val="24"/>
        </w:rPr>
        <w:t xml:space="preserve">The 2030 edition returns to Kumasi to review progress on the Sustainable Development Goals in their target year. Holding the review at the permanent seat links it directly to the Prosperity Index, the Forensic Report and the Commitments Tracker, which are managed from KNUST.</w:t>
      </w:r>
    </w:p>
    <w:p>
      <w:pPr>
        <w:spacing w:after="160" w:line="324"/>
      </w:pPr>
      <w:r>
        <w:rPr>
          <w:rFonts w:ascii="Arial" w:cs="Arial" w:eastAsia="Arial" w:hAnsi="Arial"/>
          <w:color w:val="1A1A1A"/>
          <w:sz w:val="24"/>
          <w:szCs w:val="24"/>
        </w:rPr>
        <w:t xml:space="preserve">The Kenya, Nigeria and South Africa editions will each be co-hosted by a leading local university and the national ministries responsible for finance, works, energy and industry, following the Ghana model. Holding every edition in the last week of August gives AIPIS a fixed annual date.</w:t>
      </w:r>
    </w:p>
    <w:p>
      <w:pPr>
        <w:pStyle w:val="Heading2"/>
        <w:keepNext/>
        <w:spacing w:after="120" w:before="240"/>
      </w:pPr>
      <w:r>
        <w:rPr>
          <w:rFonts w:ascii="Arial" w:cs="Arial" w:eastAsia="Arial" w:hAnsi="Arial"/>
          <w:b/>
          <w:bCs/>
          <w:color w:val="1A5C2A"/>
          <w:sz w:val="25"/>
          <w:szCs w:val="25"/>
        </w:rPr>
        <w:t xml:space="preserve">Host Selection and Rotation Principles</w:t>
      </w:r>
    </w:p>
    <w:p>
      <w:pPr>
        <w:spacing w:after="160" w:line="324"/>
      </w:pPr>
      <w:r>
        <w:rPr>
          <w:rFonts w:ascii="Arial" w:cs="Arial" w:eastAsia="Arial" w:hAnsi="Arial"/>
          <w:color w:val="1A1A1A"/>
          <w:sz w:val="24"/>
          <w:szCs w:val="24"/>
        </w:rPr>
        <w:t xml:space="preserve">The following principles govern every edition held outside Kumasi.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Principle</w:t>
            </w:r>
          </w:p>
        </w:tc>
        <w:tc>
          <w:tcPr>
            <w:tcW w:type="dxa" w:w="63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Requirement</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Permanent seat</w:t>
            </w:r>
          </w:p>
        </w:tc>
        <w:tc>
          <w:tcPr>
            <w:tcW w:type="dxa" w:w="63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KNUST, Kumasi, is the permanent seat of AIPIS and houses the AIPIS Secretariat. Editions held elsewhere are presented as AIPIS hosted in partnership with the host country.</w:t>
            </w:r>
          </w:p>
        </w:tc>
      </w:tr>
      <w:tr>
        <w:trPr>
          <w:cantSplit/>
        </w:trPr>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Return to Kumasi</w:t>
            </w:r>
          </w:p>
        </w:tc>
        <w:tc>
          <w:tcPr>
            <w:tcW w:type="dxa" w:w="63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first two editions are held in Kumasi, the third in Kenya and the fourth in Kumasi. From 2031, the summit returns to Kumasi after every two editions held elsewhere.</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Ownership of outputs</w:t>
            </w:r>
          </w:p>
        </w:tc>
        <w:tc>
          <w:tcPr>
            <w:tcW w:type="dxa" w:w="63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AIPIS name, the Prosperity Index, the Forensic Report, the Prosperity Close Standard and the Commitments Tracker remain with the convenors in every host country.</w:t>
            </w:r>
          </w:p>
        </w:tc>
      </w:tr>
      <w:tr>
        <w:trPr>
          <w:cantSplit/>
        </w:trPr>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Host partners</w:t>
            </w:r>
          </w:p>
        </w:tc>
        <w:tc>
          <w:tcPr>
            <w:tcW w:type="dxa" w:w="63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Each host country must provide a government co-host, a leading local university partner, and the ministries responsible for finance, works, energy and industry.</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Host agreement</w:t>
            </w:r>
          </w:p>
        </w:tc>
        <w:tc>
          <w:tcPr>
            <w:tcW w:type="dxa" w:w="63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Each host signs an agreement covering venue, local logistics, security, government participation and a minimum funding contribution, with surplus sharing set out in the agreement.</w:t>
            </w:r>
          </w:p>
        </w:tc>
      </w:tr>
      <w:tr>
        <w:trPr>
          <w:cantSplit/>
        </w:trPr>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Selection timetable</w:t>
            </w:r>
          </w:p>
        </w:tc>
        <w:tc>
          <w:tcPr>
            <w:tcW w:type="dxa" w:w="63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Expressions of interest are invited 30 months before the edition. The Steering Committee selects the host 24 months before and signs the host agreement 18 months before.</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Regional Dialogue</w:t>
            </w:r>
          </w:p>
        </w:tc>
        <w:tc>
          <w:tcPr>
            <w:tcW w:type="dxa" w:w="63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An AIPIS Regional Dialogue is held in the host country about six months before the edition to build local partnerships and confirm readiness.</w:t>
            </w:r>
          </w:p>
        </w:tc>
      </w:tr>
      <w:tr>
        <w:trPr>
          <w:cantSplit/>
        </w:trPr>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Fallback</w:t>
            </w:r>
          </w:p>
        </w:tc>
        <w:tc>
          <w:tcPr>
            <w:tcW w:type="dxa" w:w="63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If a host cannot meet the terms of its agreement by the agreed deadline, the edition is held in Kumasi.</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Continuity</w:t>
            </w:r>
          </w:p>
        </w:tc>
        <w:tc>
          <w:tcPr>
            <w:tcW w:type="dxa" w:w="63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The late August window, the four-day format, the Forensic Clinic, the Procurement Exchange and the field day are kept in every host country.</w:t>
            </w:r>
          </w:p>
        </w:tc>
      </w:tr>
    </w:tbl>
    <w:p>
      <w:pPr>
        <w:spacing w:after="120"/>
      </w:pPr>
    </w:p>
    <w:p>
      <w:pPr>
        <w:pStyle w:val="Heading2"/>
        <w:keepNext/>
        <w:spacing w:after="120" w:before="240"/>
      </w:pPr>
      <w:r>
        <w:rPr>
          <w:rFonts w:ascii="Arial" w:cs="Arial" w:eastAsia="Arial" w:hAnsi="Arial"/>
          <w:b/>
          <w:bCs/>
          <w:color w:val="1A5C2A"/>
          <w:sz w:val="25"/>
          <w:szCs w:val="25"/>
        </w:rPr>
        <w:t xml:space="preserve">Scheduling</w:t>
      </w:r>
    </w:p>
    <w:p>
      <w:pPr>
        <w:spacing w:after="160" w:line="324"/>
      </w:pPr>
      <w:r>
        <w:rPr>
          <w:rFonts w:ascii="Arial" w:cs="Arial" w:eastAsia="Arial" w:hAnsi="Arial"/>
          <w:color w:val="1A1A1A"/>
          <w:sz w:val="24"/>
          <w:szCs w:val="24"/>
        </w:rPr>
        <w:t xml:space="preserve">The late August date avoids clashes with related conferences, so that speakers, sponsors and delegates can attend each of them. It also falls in the KNUST long vacation, when lecture theatres and campus accommodation are expected to be available, and gives ten months to prepare the first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Event</w:t>
            </w:r>
          </w:p>
        </w:tc>
        <w:tc>
          <w:tcPr>
            <w:tcW w:type="dxa" w:w="2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Usual timing</w:t>
            </w:r>
          </w:p>
        </w:tc>
        <w:tc>
          <w:tcPr>
            <w:tcW w:type="dxa" w:w="2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Interval from AIPIS</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Infrastructure Africa, Cape Town</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March</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Five months before</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Africa We Build Summit, Nairobi</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April</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Four months before</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African Development Bank Annual Meetings</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Late May</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Three months before</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ICIDA</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July</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About one month before</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Ghana Investment and Trade Week, Accra</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July</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About one month before</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ICESDA</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October</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About six weeks after</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Africa PPP, Nairobi</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November</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About two and a half months after</w:t>
            </w:r>
          </w:p>
        </w:tc>
      </w:tr>
    </w:tbl>
    <w:p>
      <w:pPr>
        <w:spacing w:after="120"/>
      </w:pPr>
    </w:p>
    <w:p>
      <w:pPr>
        <w:spacing w:after="160" w:line="324"/>
      </w:pPr>
      <w:r>
        <w:rPr>
          <w:rFonts w:ascii="Arial" w:cs="Arial" w:eastAsia="Arial" w:hAnsi="Arial"/>
          <w:color w:val="1A1A1A"/>
          <w:sz w:val="24"/>
          <w:szCs w:val="24"/>
        </w:rPr>
        <w:t xml:space="preserve">The interval of about six weeks before ICESDA in October is short. Because GCI organises both events, each will need its own delivery team and budget. The KNUST academic calendar for 2026/27 must be confirmed before the summit dates are announced.</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8. Summit Outputs</w:t>
      </w:r>
    </w:p>
    <w:p>
      <w:pPr>
        <w:spacing w:after="160" w:line="324"/>
      </w:pPr>
      <w:r>
        <w:rPr>
          <w:rFonts w:ascii="Arial" w:cs="Arial" w:eastAsia="Arial" w:hAnsi="Arial"/>
          <w:color w:val="1A1A1A"/>
          <w:sz w:val="24"/>
          <w:szCs w:val="24"/>
        </w:rPr>
        <w:t xml:space="preserve">AIPIS will produce the following outputs at each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Output</w:t>
            </w:r>
          </w:p>
        </w:tc>
        <w:tc>
          <w:tcPr>
            <w:tcW w:type="dxa" w:w="22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Lead organisation</w:t>
            </w:r>
          </w:p>
        </w:tc>
        <w:tc>
          <w:tcPr>
            <w:tcW w:type="dxa" w:w="38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Purpose</w:t>
            </w:r>
          </w:p>
        </w:tc>
      </w:tr>
      <w:tr>
        <w:trPr>
          <w:cantSplit/>
        </w:trPr>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Africa Infrastructure Prosperity Index</w:t>
            </w:r>
          </w:p>
        </w:tc>
        <w:tc>
          <w:tcPr>
            <w:tcW w:type="dxa" w:w="22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KNUST (DCTM) with GCI</w:t>
            </w:r>
          </w:p>
        </w:tc>
        <w:tc>
          <w:tcPr>
            <w:tcW w:type="dxa" w:w="3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Annual country ranking of how well infrastructure spending turns into results</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Unfinished Projects Forensic Report</w:t>
            </w:r>
          </w:p>
        </w:tc>
        <w:tc>
          <w:tcPr>
            <w:tcW w:type="dxa" w:w="22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AIPAF</w:t>
            </w:r>
          </w:p>
        </w:tc>
        <w:tc>
          <w:tcPr>
            <w:tcW w:type="dxa" w:w="3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Causes and recovery plans for stalled projects reviewed at the Forensic Clinic</w:t>
            </w:r>
          </w:p>
        </w:tc>
      </w:tr>
      <w:tr>
        <w:trPr>
          <w:cantSplit/>
        </w:trPr>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Prosperity Close Standard</w:t>
            </w:r>
          </w:p>
        </w:tc>
        <w:tc>
          <w:tcPr>
            <w:tcW w:type="dxa" w:w="22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All convenors</w:t>
            </w:r>
          </w:p>
        </w:tc>
        <w:tc>
          <w:tcPr>
            <w:tcW w:type="dxa" w:w="3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 practical results standard for governments, financiers and contractors</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Kumasi Delivery Compact</w:t>
            </w:r>
          </w:p>
        </w:tc>
        <w:tc>
          <w:tcPr>
            <w:tcW w:type="dxa" w:w="22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All convenors and Founding Government Partners</w:t>
            </w:r>
          </w:p>
        </w:tc>
        <w:tc>
          <w:tcPr>
            <w:tcW w:type="dxa" w:w="3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Signed commitments on project assurance, local content and reporting of results</w:t>
            </w:r>
          </w:p>
        </w:tc>
      </w:tr>
      <w:tr>
        <w:trPr>
          <w:cantSplit/>
        </w:trPr>
        <w:tc>
          <w:tcPr>
            <w:tcW w:type="dxa" w:w="3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Commitments Tracker</w:t>
            </w:r>
          </w:p>
        </w:tc>
        <w:tc>
          <w:tcPr>
            <w:tcW w:type="dxa" w:w="22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GCI</w:t>
            </w:r>
          </w:p>
        </w:tc>
        <w:tc>
          <w:tcPr>
            <w:tcW w:type="dxa" w:w="3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Public record of pledges, with progress reported at the next edition</w:t>
            </w:r>
          </w:p>
        </w:tc>
      </w:tr>
      <w:tr>
        <w:trPr>
          <w:cantSplit/>
        </w:trPr>
        <w:tc>
          <w:tcPr>
            <w:tcW w:type="dxa" w:w="3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Summit Proceedings</w:t>
            </w:r>
          </w:p>
        </w:tc>
        <w:tc>
          <w:tcPr>
            <w:tcW w:type="dxa" w:w="22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KNUST (DCTM)</w:t>
            </w:r>
          </w:p>
        </w:tc>
        <w:tc>
          <w:tcPr>
            <w:tcW w:type="dxa" w:w="3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Peer-reviewed research and practice papers</w:t>
            </w:r>
          </w:p>
        </w:tc>
      </w:tr>
    </w:tbl>
    <w:p>
      <w:pPr>
        <w:spacing w:after="120"/>
      </w:pPr>
    </w:p>
    <w:p>
      <w:pPr>
        <w:spacing w:after="160" w:line="324"/>
      </w:pPr>
      <w:r>
        <w:rPr>
          <w:rFonts w:ascii="Arial" w:cs="Arial" w:eastAsia="Arial" w:hAnsi="Arial"/>
          <w:color w:val="1A1A1A"/>
          <w:sz w:val="24"/>
          <w:szCs w:val="24"/>
        </w:rPr>
        <w:t xml:space="preserve">These outputs build a body of evidence on African infrastructure performance that grows with each edition. They will also be used in teaching, research and professional training at KNUST and AIPAF.</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9. Target Participants</w:t>
      </w:r>
    </w:p>
    <w:p>
      <w:pPr>
        <w:spacing w:after="160" w:line="324"/>
      </w:pPr>
      <w:r>
        <w:rPr>
          <w:rFonts w:ascii="Arial" w:cs="Arial" w:eastAsia="Arial" w:hAnsi="Arial"/>
          <w:color w:val="1A1A1A"/>
          <w:sz w:val="24"/>
          <w:szCs w:val="24"/>
        </w:rPr>
        <w:t xml:space="preserve">AIPIS is for those who finance, build, operate and audit infrastructure, and for the communities it serves.</w:t>
      </w:r>
    </w:p>
    <w:p>
      <w:pPr>
        <w:pStyle w:val="ListParagraph"/>
        <w:numPr>
          <w:ilvl w:val="0"/>
          <w:numId w:val="2"/>
        </w:numPr>
        <w:spacing w:after="100" w:line="324"/>
      </w:pPr>
      <w:r>
        <w:rPr>
          <w:rFonts w:ascii="Arial" w:cs="Arial" w:eastAsia="Arial" w:hAnsi="Arial"/>
          <w:b/>
          <w:bCs/>
          <w:color w:val="1A1A1A"/>
          <w:sz w:val="24"/>
          <w:szCs w:val="24"/>
        </w:rPr>
        <w:t xml:space="preserve">Governments and public agencies: </w:t>
      </w:r>
      <w:r>
        <w:rPr>
          <w:rFonts w:ascii="Arial" w:cs="Arial" w:eastAsia="Arial" w:hAnsi="Arial"/>
          <w:color w:val="1A1A1A"/>
          <w:sz w:val="24"/>
          <w:szCs w:val="24"/>
        </w:rPr>
        <w:t xml:space="preserve">ministers and officials responsible for roads, energy, works and housing, trade and industry, finance and project delivery.</w:t>
      </w:r>
    </w:p>
    <w:p>
      <w:pPr>
        <w:pStyle w:val="ListParagraph"/>
        <w:numPr>
          <w:ilvl w:val="0"/>
          <w:numId w:val="2"/>
        </w:numPr>
        <w:spacing w:after="100" w:line="324"/>
      </w:pPr>
      <w:r>
        <w:rPr>
          <w:rFonts w:ascii="Arial" w:cs="Arial" w:eastAsia="Arial" w:hAnsi="Arial"/>
          <w:b/>
          <w:bCs/>
          <w:color w:val="1A1A1A"/>
          <w:sz w:val="24"/>
          <w:szCs w:val="24"/>
        </w:rPr>
        <w:t xml:space="preserve">Financiers: </w:t>
      </w:r>
      <w:r>
        <w:rPr>
          <w:rFonts w:ascii="Arial" w:cs="Arial" w:eastAsia="Arial" w:hAnsi="Arial"/>
          <w:color w:val="1A1A1A"/>
          <w:sz w:val="24"/>
          <w:szCs w:val="24"/>
        </w:rPr>
        <w:t xml:space="preserve">development finance institutions, commercial banks, pension and insurance funds, sovereign wealth funds and infrastructure fund managers.</w:t>
      </w:r>
    </w:p>
    <w:p>
      <w:pPr>
        <w:pStyle w:val="ListParagraph"/>
        <w:numPr>
          <w:ilvl w:val="0"/>
          <w:numId w:val="2"/>
        </w:numPr>
        <w:spacing w:after="100" w:line="324"/>
      </w:pPr>
      <w:r>
        <w:rPr>
          <w:rFonts w:ascii="Arial" w:cs="Arial" w:eastAsia="Arial" w:hAnsi="Arial"/>
          <w:b/>
          <w:bCs/>
          <w:color w:val="1A1A1A"/>
          <w:sz w:val="24"/>
          <w:szCs w:val="24"/>
        </w:rPr>
        <w:t xml:space="preserve">Contractors and consultants: </w:t>
      </w:r>
      <w:r>
        <w:rPr>
          <w:rFonts w:ascii="Arial" w:cs="Arial" w:eastAsia="Arial" w:hAnsi="Arial"/>
          <w:color w:val="1A1A1A"/>
          <w:sz w:val="24"/>
          <w:szCs w:val="24"/>
        </w:rPr>
        <w:t xml:space="preserve">construction firms, engineers, quantity surveyors, project managers and cost consultants.</w:t>
      </w:r>
    </w:p>
    <w:p>
      <w:pPr>
        <w:pStyle w:val="ListParagraph"/>
        <w:numPr>
          <w:ilvl w:val="0"/>
          <w:numId w:val="2"/>
        </w:numPr>
        <w:spacing w:after="100" w:line="324"/>
      </w:pPr>
      <w:r>
        <w:rPr>
          <w:rFonts w:ascii="Arial" w:cs="Arial" w:eastAsia="Arial" w:hAnsi="Arial"/>
          <w:b/>
          <w:bCs/>
          <w:color w:val="1A1A1A"/>
          <w:sz w:val="24"/>
          <w:szCs w:val="24"/>
        </w:rPr>
        <w:t xml:space="preserve">Industry: </w:t>
      </w:r>
      <w:r>
        <w:rPr>
          <w:rFonts w:ascii="Arial" w:cs="Arial" w:eastAsia="Arial" w:hAnsi="Arial"/>
          <w:color w:val="1A1A1A"/>
          <w:sz w:val="24"/>
          <w:szCs w:val="24"/>
        </w:rPr>
        <w:t xml:space="preserve">manufacturers, building materials producers, industrial park operators and chambers of commerce.</w:t>
      </w:r>
    </w:p>
    <w:p>
      <w:pPr>
        <w:pStyle w:val="ListParagraph"/>
        <w:numPr>
          <w:ilvl w:val="0"/>
          <w:numId w:val="2"/>
        </w:numPr>
        <w:spacing w:after="100" w:line="324"/>
      </w:pPr>
      <w:r>
        <w:rPr>
          <w:rFonts w:ascii="Arial" w:cs="Arial" w:eastAsia="Arial" w:hAnsi="Arial"/>
          <w:b/>
          <w:bCs/>
          <w:color w:val="1A1A1A"/>
          <w:sz w:val="24"/>
          <w:szCs w:val="24"/>
        </w:rPr>
        <w:t xml:space="preserve">Assurance and oversight bodies: </w:t>
      </w:r>
      <w:r>
        <w:rPr>
          <w:rFonts w:ascii="Arial" w:cs="Arial" w:eastAsia="Arial" w:hAnsi="Arial"/>
          <w:color w:val="1A1A1A"/>
          <w:sz w:val="24"/>
          <w:szCs w:val="24"/>
        </w:rPr>
        <w:t xml:space="preserve">auditors, forensic specialists, procurement authorities, regulators and anti-corruption agencies.</w:t>
      </w:r>
    </w:p>
    <w:p>
      <w:pPr>
        <w:pStyle w:val="ListParagraph"/>
        <w:numPr>
          <w:ilvl w:val="0"/>
          <w:numId w:val="2"/>
        </w:numPr>
        <w:spacing w:after="100" w:line="324"/>
      </w:pPr>
      <w:r>
        <w:rPr>
          <w:rFonts w:ascii="Arial" w:cs="Arial" w:eastAsia="Arial" w:hAnsi="Arial"/>
          <w:b/>
          <w:bCs/>
          <w:color w:val="1A1A1A"/>
          <w:sz w:val="24"/>
          <w:szCs w:val="24"/>
        </w:rPr>
        <w:t xml:space="preserve">Traditional authorities and communities: </w:t>
      </w:r>
      <w:r>
        <w:rPr>
          <w:rFonts w:ascii="Arial" w:cs="Arial" w:eastAsia="Arial" w:hAnsi="Arial"/>
          <w:color w:val="1A1A1A"/>
          <w:sz w:val="24"/>
          <w:szCs w:val="24"/>
        </w:rPr>
        <w:t xml:space="preserve">chiefs, customary land secretariats and civil society groups.</w:t>
      </w:r>
    </w:p>
    <w:p>
      <w:pPr>
        <w:pStyle w:val="ListParagraph"/>
        <w:numPr>
          <w:ilvl w:val="0"/>
          <w:numId w:val="2"/>
        </w:numPr>
        <w:spacing w:after="100" w:line="324"/>
      </w:pPr>
      <w:r>
        <w:rPr>
          <w:rFonts w:ascii="Arial" w:cs="Arial" w:eastAsia="Arial" w:hAnsi="Arial"/>
          <w:b/>
          <w:bCs/>
          <w:color w:val="1A1A1A"/>
          <w:sz w:val="24"/>
          <w:szCs w:val="24"/>
        </w:rPr>
        <w:t xml:space="preserve">Universities and young professionals: </w:t>
      </w:r>
      <w:r>
        <w:rPr>
          <w:rFonts w:ascii="Arial" w:cs="Arial" w:eastAsia="Arial" w:hAnsi="Arial"/>
          <w:color w:val="1A1A1A"/>
          <w:sz w:val="24"/>
          <w:szCs w:val="24"/>
        </w:rPr>
        <w:t xml:space="preserve">researchers, postgraduate students and early-career practitioners from across Africa.</w:t>
      </w:r>
    </w:p>
    <w:p>
      <w:pPr>
        <w:spacing w:after="160" w:line="324"/>
      </w:pPr>
      <w:r>
        <w:rPr>
          <w:rFonts w:ascii="Arial" w:cs="Arial" w:eastAsia="Arial" w:hAnsi="Arial"/>
          <w:color w:val="1A1A1A"/>
          <w:sz w:val="24"/>
          <w:szCs w:val="24"/>
        </w:rPr>
        <w:t xml:space="preserve">Delegate numbers will be capped to keep working sessions productive. Priority will go to decision-makers and project teams.</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10. Call for Speakers, Presenters and Exhibitors</w:t>
      </w:r>
    </w:p>
    <w:p>
      <w:pPr>
        <w:spacing w:after="160" w:line="324"/>
      </w:pPr>
      <w:r>
        <w:rPr>
          <w:rFonts w:ascii="Arial" w:cs="Arial" w:eastAsia="Arial" w:hAnsi="Arial"/>
          <w:color w:val="1A1A1A"/>
          <w:sz w:val="24"/>
          <w:szCs w:val="24"/>
        </w:rPr>
        <w:t xml:space="preserve">AIPIS 2027 invites nominations and applications for five roles. Submission deadlines and requirements will be published with the full call. Expressions of interest can be sent now to info@aipis.knust.edu.gh.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726"/>
        <w:gridCol w:w="1900"/>
      </w:tblGrid>
      <w:tr>
        <w:trPr>
          <w:tblHeader/>
        </w:trPr>
        <w:tc>
          <w:tcPr>
            <w:tcW w:type="dxa" w:w="19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Role</w:t>
            </w:r>
          </w:p>
        </w:tc>
        <w:tc>
          <w:tcPr>
            <w:tcW w:type="dxa" w:w="2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Who they are</w:t>
            </w:r>
          </w:p>
        </w:tc>
        <w:tc>
          <w:tcPr>
            <w:tcW w:type="dxa" w:w="27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Role at the summit</w:t>
            </w:r>
          </w:p>
        </w:tc>
        <w:tc>
          <w:tcPr>
            <w:tcW w:type="dxa" w:w="19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Selection</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Distinguished Keynote Speakers</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Heads of state and government, ministers, heads of development finance institutions and other leaders of international standing</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Open each conference day and set out the direction on infrastructure, industry and prosperity in Africa</w:t>
            </w:r>
          </w:p>
        </w:tc>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By invitation of the Summit Steering Committee; nominations welcome</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Special Guest Speakers</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Senior figures from government, traditional authority, industry, finance and civil society</w:t>
            </w:r>
          </w:p>
        </w:tc>
        <w:tc>
          <w:tcPr>
            <w:tcW w:type="dxa" w:w="27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Speak at plenaries, roundtables and the Finance and Investor Forum, sharing first-hand experience of planning, funding and delivering infrastructure</w:t>
            </w:r>
          </w:p>
        </w:tc>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By invitation, from proposals received by the Secretariat</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Technical Keynote Presenters</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Leading researchers and practitioners</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Present evidence and lessons on project delivery, assurance and forensics, energy, industrial policy and sustainability; anchor the research and practice stream, with papers published in the proceedings</w:t>
            </w:r>
          </w:p>
        </w:tc>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By application, reviewed by the Scientific Committee</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Poster Presenters</w:t>
            </w:r>
          </w:p>
        </w:tc>
        <w:tc>
          <w:tcPr>
            <w:tcW w:type="dxa" w:w="2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Researchers, postgraduate students and young professionals</w:t>
            </w:r>
          </w:p>
        </w:tc>
        <w:tc>
          <w:tcPr>
            <w:tcW w:type="dxa" w:w="27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Present research, case studies or project results in the poster exhibition, on display throughout the summit</w:t>
            </w:r>
          </w:p>
        </w:tc>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By abstract, reviewed by the Scientific Committee</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Exhibitors</w:t>
            </w:r>
          </w:p>
        </w:tc>
        <w:tc>
          <w:tcPr>
            <w:tcW w:type="dxa" w:w="2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Contractors, manufacturers, consultants, public agencies, universities and technology providers</w:t>
            </w:r>
          </w:p>
        </w:tc>
        <w:tc>
          <w:tcPr>
            <w:tcW w:type="dxa" w:w="27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Show products, services and projects in the exhibition area</w:t>
            </w:r>
          </w:p>
        </w:tc>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By booking: 6 sq m booth at USD 5,000, with 2 delegate passes; 30 booths available</w:t>
            </w:r>
          </w:p>
        </w:tc>
      </w:tr>
    </w:tbl>
    <w:p>
      <w:pPr>
        <w:spacing w:after="120"/>
      </w:pPr>
    </w:p>
    <w:p>
      <w:pPr>
        <w:spacing w:after="160" w:line="324"/>
      </w:pPr>
      <w:r>
        <w:rPr>
          <w:rFonts w:ascii="Arial" w:cs="Arial" w:eastAsia="Arial" w:hAnsi="Arial"/>
          <w:color w:val="1A1A1A"/>
          <w:sz w:val="24"/>
          <w:szCs w:val="24"/>
        </w:rPr>
        <w:t xml:space="preserve">Speaker and presenter selection will give fair representation to women, young professionals and the different regions of Africa.</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11. Organisers and Governance</w:t>
      </w:r>
    </w:p>
    <w:p>
      <w:pPr>
        <w:pStyle w:val="Heading2"/>
        <w:keepNext/>
        <w:spacing w:after="120" w:before="240"/>
      </w:pPr>
      <w:r>
        <w:rPr>
          <w:rFonts w:ascii="Arial" w:cs="Arial" w:eastAsia="Arial" w:hAnsi="Arial"/>
          <w:b/>
          <w:bCs/>
          <w:color w:val="1A5C2A"/>
          <w:sz w:val="25"/>
          <w:szCs w:val="25"/>
        </w:rPr>
        <w:t xml:space="preserve">Convenors</w:t>
      </w:r>
    </w:p>
    <w:p>
      <w:pPr>
        <w:spacing w:after="160" w:line="324"/>
      </w:pPr>
      <w:r>
        <w:rPr>
          <w:rFonts w:ascii="Arial" w:cs="Arial" w:eastAsia="Arial" w:hAnsi="Arial"/>
          <w:color w:val="1A1A1A"/>
          <w:sz w:val="24"/>
          <w:szCs w:val="24"/>
        </w:rPr>
        <w:t xml:space="preserve">The three convenors together cover the full project cycle, from research and planning through delivery, assurance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Convenor</w:t>
            </w:r>
          </w:p>
        </w:tc>
        <w:tc>
          <w:tcPr>
            <w:tcW w:type="dxa" w:w="56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Contribution</w:t>
            </w:r>
          </w:p>
        </w:tc>
      </w:tr>
      <w:tr>
        <w:trPr>
          <w:cantSplit/>
        </w:trPr>
        <w:tc>
          <w:tcPr>
            <w:tcW w:type="dxa" w:w="34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College of Art and Built Environment and Department of Construction Technology and Management, KNUST</w:t>
            </w:r>
          </w:p>
        </w:tc>
        <w:tc>
          <w:tcPr>
            <w:tcW w:type="dxa" w:w="5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Host institution and venue; research leadership; the Prosperity Index; peer-reviewed proceedings; links to postgraduate and industry doctorate programmes</w:t>
            </w:r>
          </w:p>
        </w:tc>
      </w:tr>
      <w:tr>
        <w:trPr>
          <w:cantSplit/>
        </w:trPr>
        <w:tc>
          <w:tcPr>
            <w:tcW w:type="dxa" w:w="34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African Institute of Project Assurance and Forensics (AIPAF)</w:t>
            </w:r>
          </w:p>
        </w:tc>
        <w:tc>
          <w:tcPr>
            <w:tcW w:type="dxa" w:w="5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Project assurance and forensic expertise; the Forensic Clinic and Forensic Report; continuing professional development credits for delegates</w:t>
            </w:r>
          </w:p>
        </w:tc>
      </w:tr>
      <w:tr>
        <w:trPr>
          <w:cantSplit/>
        </w:trPr>
        <w:tc>
          <w:tcPr>
            <w:tcW w:type="dxa" w:w="34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Green Communities International (GCI)</w:t>
            </w:r>
          </w:p>
        </w:tc>
        <w:tc>
          <w:tcPr>
            <w:tcW w:type="dxa" w:w="5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Sustainability and green industrialisation content; the Commitments Tracker; relations with partners and funders; event management experience from ICESDA</w:t>
            </w:r>
          </w:p>
        </w:tc>
      </w:tr>
    </w:tbl>
    <w:p>
      <w:pPr>
        <w:spacing w:after="120"/>
      </w:pPr>
    </w:p>
    <w:p>
      <w:pPr>
        <w:pStyle w:val="Heading2"/>
        <w:keepNext/>
        <w:spacing w:after="120" w:before="240"/>
      </w:pPr>
      <w:r>
        <w:rPr>
          <w:rFonts w:ascii="Arial" w:cs="Arial" w:eastAsia="Arial" w:hAnsi="Arial"/>
          <w:b/>
          <w:bCs/>
          <w:color w:val="1A5C2A"/>
          <w:sz w:val="25"/>
          <w:szCs w:val="25"/>
        </w:rPr>
        <w:t xml:space="preserve">Founding Government Partners</w:t>
      </w:r>
    </w:p>
    <w:p>
      <w:pPr>
        <w:spacing w:after="160" w:line="324"/>
      </w:pPr>
      <w:r>
        <w:rPr>
          <w:rFonts w:ascii="Arial" w:cs="Arial" w:eastAsia="Arial" w:hAnsi="Arial"/>
          <w:color w:val="1A1A1A"/>
          <w:sz w:val="24"/>
          <w:szCs w:val="24"/>
        </w:rPr>
        <w:t xml:space="preserve">Four ministries and the 24-Hour Economy Secretariat of the Government of Ghana are the Founding Government Partners. Together they are responsible for the policies that link infrastructure finance, energy, project delivery and industrial growth.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Partner</w:t>
            </w:r>
          </w:p>
        </w:tc>
        <w:tc>
          <w:tcPr>
            <w:tcW w:type="dxa" w:w="36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Role in AIPIS</w:t>
            </w:r>
          </w:p>
        </w:tc>
        <w:tc>
          <w:tcPr>
            <w:tcW w:type="dxa" w:w="28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Programme responsibility</w:t>
            </w:r>
          </w:p>
        </w:tc>
      </w:tr>
      <w:tr>
        <w:trPr>
          <w:cantSplit/>
        </w:trPr>
        <w:tc>
          <w:tcPr>
            <w:tcW w:type="dxa" w:w="2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Ministry of Finance</w:t>
            </w:r>
          </w:p>
        </w:tc>
        <w:tc>
          <w:tcPr>
            <w:tcW w:type="dxa" w:w="3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Public investment and public-private partnership (PPP) policy; infrastructure financing; reporting of results in capital budgeting</w:t>
            </w:r>
          </w:p>
        </w:tc>
        <w:tc>
          <w:tcPr>
            <w:tcW w:type="dxa" w:w="2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Co-hosts Day 3 and the Finance and Investor Forum</w:t>
            </w:r>
          </w:p>
        </w:tc>
      </w:tr>
      <w:tr>
        <w:trPr>
          <w:cantSplit/>
        </w:trPr>
        <w:tc>
          <w:tcPr>
            <w:tcW w:type="dxa" w:w="26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Ministry of Works and Housing</w:t>
            </w:r>
          </w:p>
        </w:tc>
        <w:tc>
          <w:tcPr>
            <w:tcW w:type="dxa" w:w="36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Public works, housing and building delivery; nomination of stalled public projects for the Forensic Clinic; access to field day sites</w:t>
            </w:r>
          </w:p>
        </w:tc>
        <w:tc>
          <w:tcPr>
            <w:tcW w:type="dxa" w:w="2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Co-hosts Day 1 and the Forensic Clinic</w:t>
            </w:r>
          </w:p>
        </w:tc>
      </w:tr>
      <w:tr>
        <w:trPr>
          <w:cantSplit/>
        </w:trPr>
        <w:tc>
          <w:tcPr>
            <w:tcW w:type="dxa" w:w="2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Ministry of Trade, Agribusiness and Industry</w:t>
            </w:r>
          </w:p>
        </w:tc>
        <w:tc>
          <w:tcPr>
            <w:tcW w:type="dxa" w:w="3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Industrial policy, local content, free zones and industrial parks</w:t>
            </w:r>
          </w:p>
        </w:tc>
        <w:tc>
          <w:tcPr>
            <w:tcW w:type="dxa" w:w="2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Co-hosts Day 2 and the Procurement Exchange</w:t>
            </w:r>
          </w:p>
        </w:tc>
      </w:tr>
      <w:tr>
        <w:trPr>
          <w:cantSplit/>
        </w:trPr>
        <w:tc>
          <w:tcPr>
            <w:tcW w:type="dxa" w:w="26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Ministry of Energy and Green Transition</w:t>
            </w:r>
          </w:p>
        </w:tc>
        <w:tc>
          <w:tcPr>
            <w:tcW w:type="dxa" w:w="36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Energy policy; reliable and affordable power for industrial zones and manufacturers; renewable energy and the green transition</w:t>
            </w:r>
          </w:p>
        </w:tc>
        <w:tc>
          <w:tcPr>
            <w:tcW w:type="dxa" w:w="2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Co-hosts the Day 2 plenary on energy for industry</w:t>
            </w:r>
          </w:p>
        </w:tc>
      </w:tr>
      <w:tr>
        <w:trPr>
          <w:cantSplit/>
        </w:trPr>
        <w:tc>
          <w:tcPr>
            <w:tcW w:type="dxa" w:w="2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24-Hour Economy and Accelerated Export Development Secretariat</w:t>
            </w:r>
          </w:p>
        </w:tc>
        <w:tc>
          <w:tcPr>
            <w:tcW w:type="dxa" w:w="3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Links the summit to the 24-Hour Economy programme; promotes round-the-clock production, export growth and the infrastructure these require</w:t>
            </w:r>
          </w:p>
        </w:tc>
        <w:tc>
          <w:tcPr>
            <w:tcW w:type="dxa" w:w="2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Leads the Day 2 session on the 24-Hour Economy; co-hosts the closing ceremony and Compact signing</w:t>
            </w:r>
          </w:p>
        </w:tc>
      </w:tr>
    </w:tbl>
    <w:p>
      <w:pPr>
        <w:spacing w:after="120"/>
      </w:pPr>
    </w:p>
    <w:p>
      <w:pPr>
        <w:spacing w:after="160" w:line="324"/>
      </w:pPr>
      <w:r>
        <w:rPr>
          <w:rFonts w:ascii="Arial" w:cs="Arial" w:eastAsia="Arial" w:hAnsi="Arial"/>
          <w:color w:val="1A1A1A"/>
          <w:sz w:val="24"/>
          <w:szCs w:val="24"/>
        </w:rPr>
        <w:t xml:space="preserve">Each Founding Government Partner will sit on the International Advisory Board, give an address during the summit and be among the first signatories to the Kumasi Delivery Compact. Their participation is a policy partnership and carries no fee.</w:t>
      </w:r>
    </w:p>
    <w:p>
      <w:pPr>
        <w:pStyle w:val="Heading2"/>
        <w:keepNext/>
        <w:spacing w:after="120" w:before="240"/>
      </w:pPr>
      <w:r>
        <w:rPr>
          <w:rFonts w:ascii="Arial" w:cs="Arial" w:eastAsia="Arial" w:hAnsi="Arial"/>
          <w:b/>
          <w:bCs/>
          <w:color w:val="1A5C2A"/>
          <w:sz w:val="25"/>
          <w:szCs w:val="25"/>
        </w:rPr>
        <w:t xml:space="preserve">Founding Industry Partner</w:t>
      </w:r>
    </w:p>
    <w:p>
      <w:pPr>
        <w:spacing w:after="160" w:line="324"/>
      </w:pPr>
      <w:r>
        <w:rPr>
          <w:rFonts w:ascii="Arial" w:cs="Arial" w:eastAsia="Arial" w:hAnsi="Arial"/>
          <w:color w:val="1A1A1A"/>
          <w:sz w:val="24"/>
          <w:szCs w:val="24"/>
        </w:rPr>
        <w:t xml:space="preserve">Top Business Brokers Consult Limited, a Kumasi-based brokerage and transaction advisory firm established in 2007, is the Founding Industry Partner of AIPIS.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Partner</w:t>
            </w:r>
          </w:p>
        </w:tc>
        <w:tc>
          <w:tcPr>
            <w:tcW w:type="dxa" w:w="36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Role in AIPIS</w:t>
            </w:r>
          </w:p>
        </w:tc>
        <w:tc>
          <w:tcPr>
            <w:tcW w:type="dxa" w:w="28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Programme responsibility</w:t>
            </w:r>
          </w:p>
        </w:tc>
      </w:tr>
      <w:tr>
        <w:trPr>
          <w:cantSplit/>
        </w:trPr>
        <w:tc>
          <w:tcPr>
            <w:tcW w:type="dxa" w:w="2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Top Business Brokers Consult Limited</w:t>
            </w:r>
          </w:p>
        </w:tc>
        <w:tc>
          <w:tcPr>
            <w:tcW w:type="dxa" w:w="3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Transaction advisory and brokerage support for investors, contractors and suppliers; engagement of private sector partners and sponsors</w:t>
            </w:r>
          </w:p>
        </w:tc>
        <w:tc>
          <w:tcPr>
            <w:tcW w:type="dxa" w:w="2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Supports the Finance and Investor Forum and the Build-with-Africa Procurement Exchange</w:t>
            </w:r>
          </w:p>
        </w:tc>
      </w:tr>
    </w:tbl>
    <w:p>
      <w:pPr>
        <w:spacing w:after="120"/>
      </w:pPr>
    </w:p>
    <w:p>
      <w:pPr>
        <w:pStyle w:val="Heading2"/>
        <w:keepNext/>
        <w:spacing w:after="120" w:before="240"/>
      </w:pPr>
      <w:r>
        <w:rPr>
          <w:rFonts w:ascii="Arial" w:cs="Arial" w:eastAsia="Arial" w:hAnsi="Arial"/>
          <w:b/>
          <w:bCs/>
          <w:color w:val="1A5C2A"/>
          <w:sz w:val="25"/>
          <w:szCs w:val="25"/>
        </w:rPr>
        <w:t xml:space="preserve">Governance</w:t>
      </w:r>
    </w:p>
    <w:p>
      <w:pPr>
        <w:spacing w:after="160" w:line="324"/>
      </w:pPr>
      <w:r>
        <w:rPr>
          <w:rFonts w:ascii="Arial" w:cs="Arial" w:eastAsia="Arial" w:hAnsi="Arial"/>
          <w:color w:val="1A1A1A"/>
          <w:sz w:val="24"/>
          <w:szCs w:val="24"/>
        </w:rPr>
        <w:t xml:space="preserve">A Summit Steering Committee drawn from the three convenors sets strategy and approves partnerships. A Local Organising Committee manages delivery. An International Advisory Board of senior figures from finance, government and industry advises on the programme. An independent Scientific Committee oversees the research and practice stream.</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12. Partnership Opportunities</w:t>
      </w:r>
    </w:p>
    <w:p>
      <w:pPr>
        <w:spacing w:after="160" w:line="324"/>
      </w:pPr>
      <w:r>
        <w:rPr>
          <w:rFonts w:ascii="Arial" w:cs="Arial" w:eastAsia="Arial" w:hAnsi="Arial"/>
          <w:color w:val="1A1A1A"/>
          <w:sz w:val="24"/>
          <w:szCs w:val="24"/>
        </w:rPr>
        <w:t xml:space="preserve">Partners are recognised at the summit and in its published outputs, which remain in use after each edition.</w:t>
      </w:r>
    </w:p>
    <w:p>
      <w:pPr>
        <w:pStyle w:val="Heading2"/>
        <w:keepNext/>
        <w:spacing w:after="120" w:before="240"/>
      </w:pPr>
      <w:r>
        <w:rPr>
          <w:rFonts w:ascii="Arial" w:cs="Arial" w:eastAsia="Arial" w:hAnsi="Arial"/>
          <w:b/>
          <w:bCs/>
          <w:color w:val="1A5C2A"/>
          <w:sz w:val="25"/>
          <w:szCs w:val="25"/>
        </w:rPr>
        <w:t xml:space="preserve">Partnership Packages</w:t>
      </w:r>
    </w:p>
    <w:p>
      <w:pPr>
        <w:spacing w:after="160" w:line="324"/>
      </w:pPr>
      <w:r>
        <w:rPr>
          <w:rFonts w:ascii="Arial" w:cs="Arial" w:eastAsia="Arial" w:hAnsi="Arial"/>
          <w:color w:val="1A1A1A"/>
          <w:sz w:val="24"/>
          <w:szCs w:val="24"/>
        </w:rPr>
        <w:t xml:space="preserve">All figures are in US dollars and are payable in Ghana cedis at the Bank of Ghana rate on the date of payment. Packages apply to the 2027 edition. Founding Partners have first right of renewal for the 2028 to 2031 editions.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800"/>
        <w:gridCol w:w="4826"/>
      </w:tblGrid>
      <w:tr>
        <w:trPr>
          <w:tblHeader/>
        </w:trPr>
        <w:tc>
          <w:tcPr>
            <w:tcW w:type="dxa" w:w="19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Package</w:t>
            </w:r>
          </w:p>
        </w:tc>
        <w:tc>
          <w:tcPr>
            <w:tcW w:type="dxa" w:w="1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Fee (USD)</w:t>
            </w:r>
          </w:p>
        </w:tc>
        <w:tc>
          <w:tcPr>
            <w:tcW w:type="dxa" w:w="8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Slots</w:t>
            </w:r>
          </w:p>
        </w:tc>
        <w:tc>
          <w:tcPr>
            <w:tcW w:type="dxa" w:w="48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Benefits</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Founding Partner</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150,000</w:t>
            </w:r>
          </w:p>
        </w:tc>
        <w:tc>
          <w:tcPr>
            <w:tcW w:type="dxa" w:w="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3</w:t>
            </w:r>
          </w:p>
        </w:tc>
        <w:tc>
          <w:tcPr>
            <w:tcW w:type="dxa" w:w="4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Recognition as AIPIS 2027 Founding Partner on all materials, stage, website and report covers; keynote slot at the opening ceremony; seat on the International Advisory Board; recognition on the Kumasi Delivery Compact; private roundtable with the Founding Government Partners; 10 VIP delegate passes; 36 sq m premium exhibition space; full-page profile in the programme; option to host a field day visit</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Prosperity Index Partner</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100,000</w:t>
            </w:r>
          </w:p>
        </w:tc>
        <w:tc>
          <w:tcPr>
            <w:tcW w:type="dxa" w:w="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w:t>
            </w:r>
          </w:p>
        </w:tc>
        <w:tc>
          <w:tcPr>
            <w:tcW w:type="dxa" w:w="4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Sole sponsor credit on the Africa Infrastructure Prosperity Index; seat on the Index Technical Reference Group; speaking role at the Index launch on Day 1; advance briefing on Index findings; 8 VIP delegate passes; 18 sq m exhibition space; logo on all Index publications for the edition</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Strategic Partner</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60,000</w:t>
            </w:r>
          </w:p>
        </w:tc>
        <w:tc>
          <w:tcPr>
            <w:tcW w:type="dxa" w:w="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4</w:t>
            </w:r>
          </w:p>
        </w:tc>
        <w:tc>
          <w:tcPr>
            <w:tcW w:type="dxa" w:w="4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Naming of one main session (Forensic Clinic, Procurement Exchange, Land Roundtable or Finance and Investor Forum); one panel speaking slot; logo on stage and all materials; 6 delegate passes; 18 sq m exhibition space; half-page profile in the programme</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Knowledge Partner</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35,000, or equivalent research in kind</w:t>
            </w:r>
          </w:p>
        </w:tc>
        <w:tc>
          <w:tcPr>
            <w:tcW w:type="dxa" w:w="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4</w:t>
            </w:r>
          </w:p>
        </w:tc>
        <w:tc>
          <w:tcPr>
            <w:tcW w:type="dxa" w:w="4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Co-author credit on one summit report or a chapter of the Forensic Report; organisation of one research and practice session; seat on the Scientific Committee; 4 delegate passes; logo on research outputs</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Industry Partner</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25,000</w:t>
            </w:r>
          </w:p>
        </w:tc>
        <w:tc>
          <w:tcPr>
            <w:tcW w:type="dxa" w:w="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8</w:t>
            </w:r>
          </w:p>
        </w:tc>
        <w:tc>
          <w:tcPr>
            <w:tcW w:type="dxa" w:w="4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Priority access to the Procurement Exchange, with up to 15 pre-arranged meetings with buyers; option to host a field day visit; 9 sq m exhibition space; 3 delegate passes; listing in the supplier directory</w:t>
            </w:r>
          </w:p>
        </w:tc>
      </w:tr>
      <w:tr>
        <w:trPr>
          <w:cantSplit/>
        </w:trPr>
        <w:tc>
          <w:tcPr>
            <w:tcW w:type="dxa" w:w="19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Session Partner</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15,000</w:t>
            </w:r>
          </w:p>
        </w:tc>
        <w:tc>
          <w:tcPr>
            <w:tcW w:type="dxa" w:w="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10</w:t>
            </w:r>
          </w:p>
        </w:tc>
        <w:tc>
          <w:tcPr>
            <w:tcW w:type="dxa" w:w="48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Naming of one breakout session, roundtable or award; one speaker or moderator role; logo on session materials; 2 delegate passes</w:t>
            </w:r>
          </w:p>
        </w:tc>
      </w:tr>
      <w:tr>
        <w:trPr>
          <w:cantSplit/>
        </w:trPr>
        <w:tc>
          <w:tcPr>
            <w:tcW w:type="dxa" w:w="19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Exhibitor</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5,000</w:t>
            </w:r>
          </w:p>
        </w:tc>
        <w:tc>
          <w:tcPr>
            <w:tcW w:type="dxa" w:w="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30</w:t>
            </w:r>
          </w:p>
        </w:tc>
        <w:tc>
          <w:tcPr>
            <w:tcW w:type="dxa" w:w="48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6 sq m exhibition booth; 2 delegate passes; listing in the exhibitor directory</w:t>
            </w:r>
          </w:p>
        </w:tc>
      </w:tr>
    </w:tbl>
    <w:p>
      <w:pPr>
        <w:spacing w:after="120"/>
      </w:pPr>
    </w:p>
    <w:p>
      <w:pPr>
        <w:pStyle w:val="Heading2"/>
        <w:keepNext/>
        <w:spacing w:after="120" w:before="240"/>
      </w:pPr>
      <w:r>
        <w:rPr>
          <w:rFonts w:ascii="Arial" w:cs="Arial" w:eastAsia="Arial" w:hAnsi="Arial"/>
          <w:b/>
          <w:bCs/>
          <w:color w:val="1A5C2A"/>
          <w:sz w:val="25"/>
          <w:szCs w:val="25"/>
        </w:rPr>
        <w:t xml:space="preserve">Special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800"/>
        <w:gridCol w:w="4026"/>
      </w:tblGrid>
      <w:tr>
        <w:trPr>
          <w:tblHeader/>
        </w:trPr>
        <w:tc>
          <w:tcPr>
            <w:tcW w:type="dxa" w:w="27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Package</w:t>
            </w:r>
          </w:p>
        </w:tc>
        <w:tc>
          <w:tcPr>
            <w:tcW w:type="dxa" w:w="15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Fee (USD)</w:t>
            </w:r>
          </w:p>
        </w:tc>
        <w:tc>
          <w:tcPr>
            <w:tcW w:type="dxa" w:w="8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Slots</w:t>
            </w:r>
          </w:p>
        </w:tc>
        <w:tc>
          <w:tcPr>
            <w:tcW w:type="dxa" w:w="40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Benefits</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Gala Dinner Partner</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25,000</w:t>
            </w:r>
          </w:p>
        </w:tc>
        <w:tc>
          <w:tcPr>
            <w:tcW w:type="dxa" w:w="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w:t>
            </w:r>
          </w:p>
        </w:tc>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Naming of the AIPIS Gala Dinner; welcome address; 10 dinner seats; 3 delegate passes</w:t>
            </w:r>
          </w:p>
        </w:tc>
      </w:tr>
      <w:tr>
        <w:trPr>
          <w:cantSplit/>
        </w:trPr>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Field Day Partner</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20,000</w:t>
            </w:r>
          </w:p>
        </w:tc>
        <w:tc>
          <w:tcPr>
            <w:tcW w:type="dxa" w:w="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w:t>
            </w:r>
          </w:p>
        </w:tc>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Branding on field day transport and materials; remarks at one site; 3 delegate passes</w:t>
            </w:r>
          </w:p>
        </w:tc>
      </w:tr>
      <w:tr>
        <w:trPr>
          <w:cantSplit/>
        </w:trPr>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Student and Young Professional Bursary Partner</w:t>
            </w:r>
          </w:p>
        </w:tc>
        <w:tc>
          <w:tcPr>
            <w:tcW w:type="dxa" w:w="15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10,000</w:t>
            </w:r>
          </w:p>
        </w:tc>
        <w:tc>
          <w:tcPr>
            <w:tcW w:type="dxa" w:w="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3</w:t>
            </w:r>
          </w:p>
        </w:tc>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Funds 40 bursaries for African students and young professionals; named bursary scheme; 2 delegate passes</w:t>
            </w:r>
          </w:p>
        </w:tc>
      </w:tr>
      <w:tr>
        <w:trPr>
          <w:cantSplit/>
        </w:trPr>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Delegate Kit and Digital Partner</w:t>
            </w:r>
          </w:p>
        </w:tc>
        <w:tc>
          <w:tcPr>
            <w:tcW w:type="dxa" w:w="15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10,000</w:t>
            </w:r>
          </w:p>
        </w:tc>
        <w:tc>
          <w:tcPr>
            <w:tcW w:type="dxa" w:w="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w:t>
            </w:r>
          </w:p>
        </w:tc>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Branding on delegate kits, lanyards and the summit app; 2 delegate passes</w:t>
            </w:r>
          </w:p>
        </w:tc>
      </w:tr>
    </w:tbl>
    <w:p>
      <w:pPr>
        <w:spacing w:after="120"/>
      </w:pPr>
    </w:p>
    <w:p>
      <w:pPr>
        <w:pStyle w:val="Heading2"/>
        <w:keepNext/>
        <w:spacing w:after="120" w:before="240"/>
      </w:pPr>
      <w:r>
        <w:rPr>
          <w:rFonts w:ascii="Arial" w:cs="Arial" w:eastAsia="Arial" w:hAnsi="Arial"/>
          <w:b/>
          <w:bCs/>
          <w:color w:val="1A5C2A"/>
          <w:sz w:val="25"/>
          <w:szCs w:val="25"/>
        </w:rPr>
        <w:t xml:space="preserve">Delegate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300"/>
        <w:gridCol w:w="2700"/>
      </w:tblGrid>
      <w:tr>
        <w:trPr>
          <w:tblHeader/>
        </w:trPr>
        <w:tc>
          <w:tcPr>
            <w:tcW w:type="dxa" w:w="40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Category</w:t>
            </w:r>
          </w:p>
        </w:tc>
        <w:tc>
          <w:tcPr>
            <w:tcW w:type="dxa" w:w="23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Standard fee (USD)</w:t>
            </w:r>
          </w:p>
        </w:tc>
        <w:tc>
          <w:tcPr>
            <w:tcW w:type="dxa" w:w="27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Early fee (USD), paid by 31 May 2027</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International delegate</w:t>
            </w:r>
          </w:p>
        </w:tc>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750</w:t>
            </w:r>
          </w:p>
        </w:tc>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640</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African delegate (outside Ghana)</w:t>
            </w:r>
          </w:p>
        </w:tc>
        <w:tc>
          <w:tcPr>
            <w:tcW w:type="dxa" w:w="23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500</w:t>
            </w:r>
          </w:p>
        </w:tc>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425</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Ghanaian delegate</w:t>
            </w:r>
          </w:p>
        </w:tc>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350</w:t>
            </w:r>
          </w:p>
        </w:tc>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300</w:t>
            </w:r>
          </w:p>
        </w:tc>
      </w:tr>
      <w:tr>
        <w:trPr>
          <w:cantSplit/>
        </w:trPr>
        <w:tc>
          <w:tcPr>
            <w:tcW w:type="dxa" w:w="40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Public sector and university staff (Ghana)</w:t>
            </w:r>
          </w:p>
        </w:tc>
        <w:tc>
          <w:tcPr>
            <w:tcW w:type="dxa" w:w="23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200</w:t>
            </w:r>
          </w:p>
        </w:tc>
        <w:tc>
          <w:tcPr>
            <w:tcW w:type="dxa" w:w="27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170</w:t>
            </w:r>
          </w:p>
        </w:tc>
      </w:tr>
      <w:tr>
        <w:trPr>
          <w:cantSplit/>
        </w:trPr>
        <w:tc>
          <w:tcPr>
            <w:tcW w:type="dxa" w:w="40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Student or young professional (under 35)</w:t>
            </w:r>
          </w:p>
        </w:tc>
        <w:tc>
          <w:tcPr>
            <w:tcW w:type="dxa" w:w="23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75</w:t>
            </w:r>
          </w:p>
        </w:tc>
        <w:tc>
          <w:tcPr>
            <w:tcW w:type="dxa" w:w="27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60</w:t>
            </w:r>
          </w:p>
        </w:tc>
      </w:tr>
    </w:tbl>
    <w:p>
      <w:pPr>
        <w:spacing w:after="120"/>
      </w:pPr>
    </w:p>
    <w:p>
      <w:pPr>
        <w:spacing w:after="160" w:line="324"/>
      </w:pPr>
      <w:r>
        <w:rPr>
          <w:rFonts w:ascii="Arial" w:cs="Arial" w:eastAsia="Arial" w:hAnsi="Arial"/>
          <w:color w:val="1A1A1A"/>
          <w:sz w:val="24"/>
          <w:szCs w:val="24"/>
        </w:rPr>
        <w:t xml:space="preserve">Delegate fees cover all conference sessions, lunches and refreshments, summit materials and the field day. Organisations registering five or more delegates receive a 10 percent discount.</w:t>
      </w:r>
    </w:p>
    <w:p>
      <w:pPr>
        <w:spacing w:after="160" w:line="324"/>
      </w:pPr>
      <w:r>
        <w:rPr>
          <w:rFonts w:ascii="Arial" w:cs="Arial" w:eastAsia="Arial" w:hAnsi="Arial"/>
          <w:color w:val="1A1A1A"/>
          <w:sz w:val="24"/>
          <w:szCs w:val="24"/>
        </w:rPr>
        <w:t xml:space="preserve">Packages can be adjusted to suit each partner. All fees are indicative and subject to approval by the Summit Steering Committee.</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13. Preparation Timeline</w:t>
      </w:r>
    </w:p>
    <w:p>
      <w:pPr>
        <w:spacing w:after="160" w:line="324"/>
      </w:pPr>
      <w:r>
        <w:rPr>
          <w:rFonts w:ascii="Arial" w:cs="Arial" w:eastAsia="Arial" w:hAnsi="Arial"/>
          <w:color w:val="1A1A1A"/>
          <w:sz w:val="24"/>
          <w:szCs w:val="24"/>
        </w:rPr>
        <w:t xml:space="preserve">Preparation runs for ten months in four phases. Each phase ends with a decision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26"/>
        <w:gridCol w:w="1600"/>
      </w:tblGrid>
      <w:tr>
        <w:trPr>
          <w:tblHeader/>
        </w:trPr>
        <w:tc>
          <w:tcPr>
            <w:tcW w:type="dxa" w:w="18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Phase</w:t>
            </w:r>
          </w:p>
        </w:tc>
        <w:tc>
          <w:tcPr>
            <w:tcW w:type="dxa" w:w="20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Period</w:t>
            </w:r>
          </w:p>
        </w:tc>
        <w:tc>
          <w:tcPr>
            <w:tcW w:type="dxa" w:w="3626"/>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Main activities</w:t>
            </w:r>
          </w:p>
        </w:tc>
        <w:tc>
          <w:tcPr>
            <w:tcW w:type="dxa" w:w="1600"/>
            <w:tcBorders>
              <w:top w:val="single" w:color="B8C4B8" w:sz="4"/>
              <w:left w:val="single" w:color="B8C4B8" w:sz="4"/>
              <w:bottom w:val="single" w:color="B8C4B8" w:sz="4"/>
              <w:right w:val="single" w:color="B8C4B8" w:sz="4"/>
            </w:tcBorders>
            <w:shd w:fill="1A5C2A" w:color="auto" w:val="clear"/>
            <w:tcMar>
              <w:top w:type="dxa" w:w="90"/>
              <w:left w:type="dxa" w:w="120"/>
              <w:bottom w:type="dxa" w:w="90"/>
              <w:right w:type="dxa" w:w="120"/>
            </w:tcMar>
          </w:tcPr>
          <w:p>
            <w:pPr>
              <w:spacing w:after="40" w:line="276"/>
            </w:pPr>
            <w:r>
              <w:rPr>
                <w:rFonts w:ascii="Arial" w:cs="Arial" w:eastAsia="Arial" w:hAnsi="Arial"/>
                <w:b/>
                <w:bCs/>
                <w:color w:val="FFFFFF"/>
                <w:sz w:val="22"/>
                <w:szCs w:val="22"/>
              </w:rPr>
              <w:t xml:space="preserve">Decision point</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1. Foundation</w:t>
            </w:r>
          </w:p>
        </w:tc>
        <w:tc>
          <w:tcPr>
            <w:tcW w:type="dxa" w:w="2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October to December 2026</w:t>
            </w:r>
          </w:p>
        </w:tc>
        <w:tc>
          <w:tcPr>
            <w:tcW w:type="dxa" w:w="3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Convenor agreement; KNUST approvals; partnership letters signed with the Founding Government Partners; Steering Committee formed; brand and website</w:t>
            </w:r>
          </w:p>
        </w:tc>
        <w:tc>
          <w:tcPr>
            <w:tcW w:type="dxa" w:w="1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Public launch</w:t>
            </w:r>
          </w:p>
        </w:tc>
      </w:tr>
      <w:tr>
        <w:trPr>
          <w:cantSplit/>
        </w:trPr>
        <w:tc>
          <w:tcPr>
            <w:tcW w:type="dxa" w:w="1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2. Partnership</w:t>
            </w:r>
          </w:p>
        </w:tc>
        <w:tc>
          <w:tcPr>
            <w:tcW w:type="dxa" w:w="2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January to April 2027</w:t>
            </w:r>
          </w:p>
        </w:tc>
        <w:tc>
          <w:tcPr>
            <w:tcW w:type="dxa" w:w="3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Founding partners secured by 30 April; International Advisory Board named; call for speakers and papers; registration opens; Forensic Clinic cases invited</w:t>
            </w:r>
          </w:p>
        </w:tc>
        <w:tc>
          <w:tcPr>
            <w:tcW w:type="dxa" w:w="16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Partners secured</w:t>
            </w:r>
          </w:p>
        </w:tc>
      </w:tr>
      <w:tr>
        <w:trPr>
          <w:cantSplit/>
        </w:trPr>
        <w:tc>
          <w:tcPr>
            <w:tcW w:type="dxa" w:w="18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3. Programme</w:t>
            </w:r>
          </w:p>
        </w:tc>
        <w:tc>
          <w:tcPr>
            <w:tcW w:type="dxa" w:w="20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May to June 2027</w:t>
            </w:r>
          </w:p>
        </w:tc>
        <w:tc>
          <w:tcPr>
            <w:tcW w:type="dxa" w:w="3626"/>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Speakers confirmed; Index data collected; Forensic Clinic cases selected; field day sites agreed; early registration closes 31 May</w:t>
            </w:r>
          </w:p>
        </w:tc>
        <w:tc>
          <w:tcPr>
            <w:tcW w:type="dxa" w:w="1600"/>
            <w:tcBorders>
              <w:top w:val="single" w:color="B8C4B8" w:sz="4"/>
              <w:left w:val="single" w:color="B8C4B8" w:sz="4"/>
              <w:bottom w:val="single" w:color="B8C4B8" w:sz="4"/>
              <w:right w:val="single" w:color="B8C4B8" w:sz="4"/>
            </w:tcBorders>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Programme fixed</w:t>
            </w:r>
          </w:p>
        </w:tc>
      </w:tr>
      <w:tr>
        <w:trPr>
          <w:cantSplit/>
        </w:trPr>
        <w:tc>
          <w:tcPr>
            <w:tcW w:type="dxa" w:w="18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bCs/>
                <w:color w:val="1A1A1A"/>
                <w:sz w:val="22"/>
                <w:szCs w:val="22"/>
              </w:rPr>
              <w:t xml:space="preserve">4. Delivery</w:t>
            </w:r>
          </w:p>
        </w:tc>
        <w:tc>
          <w:tcPr>
            <w:tcW w:type="dxa" w:w="20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July to August 2027</w:t>
            </w:r>
          </w:p>
        </w:tc>
        <w:tc>
          <w:tcPr>
            <w:tcW w:type="dxa" w:w="3626"/>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Index and Forensic Report finalised; logistics and media; AIPIS 2027 in Kumasi, 24 to 27 August</w:t>
            </w:r>
          </w:p>
        </w:tc>
        <w:tc>
          <w:tcPr>
            <w:tcW w:type="dxa" w:w="1600"/>
            <w:tcBorders>
              <w:top w:val="single" w:color="B8C4B8" w:sz="4"/>
              <w:left w:val="single" w:color="B8C4B8" w:sz="4"/>
              <w:bottom w:val="single" w:color="B8C4B8" w:sz="4"/>
              <w:right w:val="single" w:color="B8C4B8" w:sz="4"/>
            </w:tcBorders>
            <w:shd w:fill="F6F9F6" w:color="auto" w:val="clear"/>
            <w:tcMar>
              <w:top w:type="dxa" w:w="90"/>
              <w:left w:type="dxa" w:w="120"/>
              <w:bottom w:type="dxa" w:w="90"/>
              <w:right w:type="dxa" w:w="120"/>
            </w:tcMar>
          </w:tcPr>
          <w:p>
            <w:pPr>
              <w:spacing w:after="40" w:line="276"/>
            </w:pPr>
            <w:r>
              <w:rPr>
                <w:rFonts w:ascii="Arial" w:cs="Arial" w:eastAsia="Arial" w:hAnsi="Arial"/>
                <w:b w:val="false"/>
                <w:bCs w:val="false"/>
                <w:color w:val="1A1A1A"/>
                <w:sz w:val="22"/>
                <w:szCs w:val="22"/>
              </w:rPr>
              <w:t xml:space="preserve">Summit opens</w:t>
            </w:r>
          </w:p>
        </w:tc>
      </w:tr>
    </w:tbl>
    <w:p>
      <w:pPr>
        <w:spacing w:after="120"/>
      </w:pPr>
    </w:p>
    <w:p>
      <w:pPr>
        <w:spacing w:after="160" w:line="324"/>
      </w:pPr>
      <w:r>
        <w:rPr>
          <w:rFonts w:ascii="Arial" w:cs="Arial" w:eastAsia="Arial" w:hAnsi="Arial"/>
          <w:color w:val="1A1A1A"/>
          <w:sz w:val="24"/>
          <w:szCs w:val="24"/>
        </w:rPr>
        <w:t xml:space="preserve">Securing founding partners and the International Advisory Board during the Partnership phase will establish the summit’s standing with governments and financiers. It will also give the research team time to prepare the Prosperity Index. The first Index may be a pilot covering a small group of countries, with full continental coverage from 2028.</w:t>
      </w:r>
    </w:p>
    <w:p>
      <w:pPr>
        <w:pStyle w:val="Heading1"/>
        <w:keepNext/>
        <w:pageBreakBefore/>
        <w:pBdr>
          <w:bottom w:val="single" w:color="C47B0B" w:sz="6" w:space="4"/>
        </w:pBdr>
        <w:spacing w:after="160" w:before="120"/>
      </w:pPr>
      <w:r>
        <w:rPr>
          <w:rFonts w:ascii="Arial" w:cs="Arial" w:eastAsia="Arial" w:hAnsi="Arial"/>
          <w:b/>
          <w:bCs/>
          <w:color w:val="1A5C2A"/>
          <w:sz w:val="30"/>
          <w:szCs w:val="30"/>
        </w:rPr>
        <w:t xml:space="preserve">14. Conclusion</w:t>
      </w:r>
    </w:p>
    <w:p>
      <w:pPr>
        <w:spacing w:after="160" w:line="324"/>
      </w:pPr>
      <w:r>
        <w:rPr>
          <w:rFonts w:ascii="Arial" w:cs="Arial" w:eastAsia="Arial" w:hAnsi="Arial"/>
          <w:color w:val="1A1A1A"/>
          <w:sz w:val="24"/>
          <w:szCs w:val="24"/>
        </w:rPr>
        <w:t xml:space="preserve">Africa has made strong progress in financing infrastructure. AIPIS adds a regular assessment of what that infrastructure delivers for industry and citizens. The summit combines KNUST’s research, AIPAF’s assurance and forensic expertise, GCI’s sustainability work and the policy leadership of the Founding Government Partners.</w:t>
      </w:r>
    </w:p>
    <w:p>
      <w:pPr>
        <w:spacing w:after="160" w:line="324"/>
      </w:pPr>
      <w:r>
        <w:rPr>
          <w:rFonts w:ascii="Arial" w:cs="Arial" w:eastAsia="Arial" w:hAnsi="Arial"/>
          <w:color w:val="1A1A1A"/>
          <w:sz w:val="24"/>
          <w:szCs w:val="24"/>
        </w:rPr>
        <w:t xml:space="preserve">The convenors invite governments, financiers, industry and research institutions to join AIPIS as partners for the first edition in Kumasi in August 2027.</w:t>
      </w:r>
    </w:p>
    <w:p>
      <w:pPr>
        <w:pBdr>
          <w:top w:val="single" w:color="C47B0B" w:sz="6" w:space="8"/>
        </w:pBdr>
        <w:spacing w:after="80" w:before="240"/>
      </w:pPr>
      <w:r>
        <w:rPr>
          <w:rFonts w:ascii="Arial" w:cs="Arial" w:eastAsia="Arial" w:hAnsi="Arial"/>
          <w:b/>
          <w:bCs/>
          <w:color w:val="1A5C2A"/>
          <w:sz w:val="24"/>
          <w:szCs w:val="24"/>
        </w:rPr>
        <w:t xml:space="preserve">Contact</w:t>
      </w:r>
    </w:p>
    <w:p>
      <w:pPr>
        <w:spacing w:after="160" w:line="324"/>
      </w:pPr>
      <w:r>
        <w:rPr>
          <w:rFonts w:ascii="Arial" w:cs="Arial" w:eastAsia="Arial" w:hAnsi="Arial"/>
          <w:color w:val="1A1A1A"/>
          <w:sz w:val="24"/>
          <w:szCs w:val="24"/>
        </w:rPr>
        <w:t xml:space="preserve">AIPIS Secretariat, Department of Construction Technology and Management, College of Art and Built Environment, Kwame Nkrumah University of Science and Technology, Kumasi, Ghana. Website: www.aipis.knust.edu.gh. Email: info@aipis.knust.edu.gh. Telephone: +233 (0) 243 555 882.</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7B0B" w:sz="4" w:space="4"/>
      </w:pBdr>
      <w:jc w:val="center"/>
    </w:pPr>
    <w:r>
      <w:rPr>
        <w:rFonts w:ascii="Arial" w:cs="Arial" w:eastAsia="Arial" w:hAnsi="Arial"/>
        <w:color w:val="5F6B5F"/>
        <w:sz w:val="16"/>
        <w:szCs w:val="16"/>
      </w:rPr>
      <w:t xml:space="preserve">AIPIS Concept Note  |  Page </w:t>
    </w:r>
    <w:r>
      <w:rPr>
        <w:rFonts w:ascii="Arial" w:cs="Arial" w:eastAsia="Arial" w:hAnsi="Arial"/>
        <w:color w:val="5F6B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color w:val="C47B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A5C2A"/>
      <w:sz w:val="30"/>
      <w:szCs w:val="30"/>
    </w:rPr>
  </w:style>
  <w:style w:type="paragraph" w:styleId="Heading2">
    <w:name w:val="Heading 2"/>
    <w:basedOn w:val="Normal"/>
    <w:next w:val="Normal"/>
    <w:qFormat/>
    <w:pPr>
      <w:outlineLvl w:val="1"/>
    </w:pPr>
    <w:rPr>
      <w:rFonts w:ascii="Arial" w:cs="Arial" w:eastAsia="Arial" w:hAnsi="Arial"/>
      <w:b/>
      <w:bCs/>
      <w:color w:val="1A5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oit7rqy8mu-rv_oua2tj" Type="http://schemas.openxmlformats.org/officeDocument/2006/relationships/hyperlink" Target="https://www.kenyanews.go.ke/africa-summit-targets-local-financing-to-drive-industrial-transformation/" TargetMode="External"/><Relationship Id="rId-o_eejaflnrzdpbahxuxk" Type="http://schemas.openxmlformats.org/officeDocument/2006/relationships/hyperlink" Target="https://vc4a.com/ametrade/16th-africa-ppp-2026/" TargetMode="External"/><Relationship Id="rIdzbki7ftuazyeucbkeczzi" Type="http://schemas.openxmlformats.org/officeDocument/2006/relationships/hyperlink" Target="https://www.newsghana.com.gh/cape-town-becomes-africas-deal-capital-for-one-week-in-march/" TargetMode="External"/><Relationship Id="rIdm0g2vv7hdz0lkfc4ry5ho" Type="http://schemas.openxmlformats.org/officeDocument/2006/relationships/hyperlink" Target="https://www.myjoyonline.com/global-investors-converge-on-accra-as-ghana-pushes-24-hour-economy-agenda-at-ghana-investment-trade-week/"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2026-10-04T07:21:06.562Z</dcterms:created>
  <dcterms:modified xsi:type="dcterms:W3CDTF">2026-10-04T07:21:06.574Z</dcterms:modified>
</cp:coreProperties>
</file>

<file path=docProps/custom.xml><?xml version="1.0" encoding="utf-8"?>
<Properties xmlns="http://schemas.openxmlformats.org/officeDocument/2006/custom-properties" xmlns:vt="http://schemas.openxmlformats.org/officeDocument/2006/docPropsVTypes"/>
</file>