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D3D26"/>
          <w:sz w:val="96"/>
          <w:szCs w:val="96"/>
        </w:rPr>
        <w:t xml:space="preserve">AIPIS</w:t>
      </w:r>
    </w:p>
    <w:p>
      <w:pPr>
        <w:spacing w:after="300"/>
        <w:jc w:val="center"/>
      </w:pPr>
      <w:r>
        <w:rPr>
          <w:rFonts w:ascii="Arial" w:cs="Arial" w:eastAsia="Arial" w:hAnsi="Arial"/>
          <w:b/>
          <w:bCs/>
          <w:color w:val="1A5C2A"/>
          <w:sz w:val="30"/>
          <w:szCs w:val="30"/>
        </w:rPr>
        <w:t xml:space="preserve">Africa Infrastructure, Prosperity and Industrialisation Summit</w:t>
      </w:r>
    </w:p>
    <w:p>
      <w:pPr>
        <w:pBdr>
          <w:top w:val="single" w:color="C47B0B" w:sz="8" w:space="12"/>
          <w:bottom w:val="single" w:color="C47B0B" w:sz="8" w:space="12"/>
        </w:pBdr>
        <w:spacing w:after="600"/>
        <w:jc w:val="center"/>
      </w:pPr>
      <w:r>
        <w:rPr>
          <w:rFonts w:ascii="Arial" w:cs="Arial" w:eastAsia="Arial" w:hAnsi="Arial"/>
          <w:b/>
          <w:bCs/>
          <w:color w:val="C47B0B"/>
          <w:sz w:val="40"/>
          <w:szCs w:val="40"/>
        </w:rPr>
        <w:t xml:space="preserve">WEBSITE CONTENT</w:t>
      </w:r>
    </w:p>
    <w:p>
      <w:pPr>
        <w:spacing w:after="120"/>
        <w:jc w:val="center"/>
      </w:pPr>
      <w:r>
        <w:rPr>
          <w:rFonts w:ascii="Arial" w:cs="Arial" w:eastAsia="Arial" w:hAnsi="Arial"/>
          <w:color w:val="5F6B5F"/>
          <w:sz w:val="24"/>
          <w:szCs w:val="24"/>
        </w:rPr>
        <w:t xml:space="preserve">www.aipis.knust.edu.gh</w:t>
      </w:r>
    </w:p>
    <w:p>
      <w:pPr>
        <w:spacing w:after="120"/>
        <w:jc w:val="center"/>
      </w:pPr>
      <w:r>
        <w:rPr>
          <w:rFonts w:ascii="Arial" w:cs="Arial" w:eastAsia="Arial" w:hAnsi="Arial"/>
          <w:color w:val="5F6B5F"/>
          <w:sz w:val="24"/>
          <w:szCs w:val="24"/>
        </w:rPr>
        <w:t xml:space="preserve">First edition: 8 to 11 June 2027, KNUST, Kumasi, Ghana</w:t>
      </w:r>
    </w:p>
    <w:p>
      <w:pPr>
        <w:jc w:val="center"/>
      </w:pPr>
      <w:r>
        <w:rPr>
          <w:rFonts w:ascii="Arial" w:cs="Arial" w:eastAsia="Arial" w:hAnsi="Arial"/>
          <w:color w:val="5F6B5F"/>
          <w:sz w:val="24"/>
          <w:szCs w:val="24"/>
        </w:rPr>
        <w:t xml:space="preserve">October 2026</w:t>
      </w:r>
    </w:p>
    <w:p>
      <w:r>
        <w:br w:type="page"/>
      </w:r>
    </w:p>
    <w:p>
      <w:pPr>
        <w:spacing w:after="200"/>
      </w:pPr>
      <w:r>
        <w:rPr>
          <w:rFonts w:ascii="Arial" w:cs="Arial" w:eastAsia="Arial" w:hAnsi="Arial"/>
          <w:b/>
          <w:bCs/>
          <w:color w:val="1A5C2A"/>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C47B0B" w:sz="6" w:space="4"/>
        </w:pBdr>
        <w:spacing w:after="160"/>
      </w:pPr>
      <w:r>
        <w:rPr>
          <w:rFonts w:ascii="Arial" w:cs="Arial" w:eastAsia="Arial" w:hAnsi="Arial"/>
          <w:b/>
          <w:bCs/>
          <w:color w:val="1A5C2A"/>
          <w:sz w:val="30"/>
          <w:szCs w:val="30"/>
        </w:rPr>
        <w:t xml:space="preserve">1. Site Overview</w:t>
      </w:r>
    </w:p>
    <w:p>
      <w:pPr>
        <w:spacing w:after="140" w:line="324"/>
      </w:pPr>
      <w:r>
        <w:rPr>
          <w:rFonts w:ascii="Arial" w:cs="Arial" w:eastAsia="Arial" w:hAnsi="Arial"/>
          <w:color w:val="1A1A1A"/>
          <w:sz w:val="24"/>
          <w:szCs w:val="24"/>
        </w:rPr>
        <w:t xml:space="preserve">This document sets out the content for the AIPIS website at www.aipis.knust.edu.gh. The site is a single page with sections reached from the main menu. Each section below gives the navigation label, page anchor, headline, body text, tables and button text, ready for the web developer.</w:t>
      </w:r>
    </w:p>
    <w:p>
      <w:pPr>
        <w:pStyle w:val="Heading2"/>
        <w:keepNext/>
        <w:spacing w:after="100" w:before="200"/>
      </w:pPr>
      <w:r>
        <w:rPr>
          <w:rFonts w:ascii="Arial" w:cs="Arial" w:eastAsia="Arial" w:hAnsi="Arial"/>
          <w:b/>
          <w:bCs/>
          <w:color w:val="1A5C2A"/>
          <w:sz w:val="25"/>
          <w:szCs w:val="25"/>
        </w:rPr>
        <w:t xml:space="preserve">Site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Section</w:t>
            </w:r>
          </w:p>
        </w:tc>
        <w:tc>
          <w:tcPr>
            <w:tcW w:type="dxa" w:w="25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Menu label</w:t>
            </w:r>
          </w:p>
        </w:tc>
        <w:tc>
          <w:tcPr>
            <w:tcW w:type="dxa" w:w="25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Anchor</w:t>
            </w:r>
          </w:p>
        </w:tc>
      </w:tr>
      <w:tr>
        <w:trPr>
          <w:cantSplit/>
        </w:trPr>
        <w:tc>
          <w:tcPr>
            <w:tcW w:type="dxa" w:w="4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Home (hero)</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AIPIS logo and full name</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#top</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Why AIPIS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About</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#about</w:t>
            </w:r>
          </w:p>
        </w:tc>
      </w:tr>
      <w:tr>
        <w:trPr>
          <w:cantSplit/>
        </w:trPr>
        <w:tc>
          <w:tcPr>
            <w:tcW w:type="dxa" w:w="4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Four days in Kumasi</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Programme</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#programme</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The AIPIS Distinction: Seven Innovations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Innovations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#innovations</w:t>
            </w:r>
          </w:p>
        </w:tc>
      </w:tr>
      <w:tr>
        <w:trPr>
          <w:cantSplit/>
        </w:trPr>
        <w:tc>
          <w:tcPr>
            <w:tcW w:type="dxa" w:w="4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Call for speakers, presenters and exhibitors</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Call for Speakers</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#speakers</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   Distinguished Keynote Speakers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Call for Speakers drop-down</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#keynote</w:t>
            </w:r>
          </w:p>
        </w:tc>
      </w:tr>
      <w:tr>
        <w:trPr>
          <w:cantSplit/>
        </w:trPr>
        <w:tc>
          <w:tcPr>
            <w:tcW w:type="dxa" w:w="4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   Special Guest Speakers</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Call for Speakers drop-down</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#guest</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   Technical Keynote Presenters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Call for Speakers drop-down</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#technical</w:t>
            </w:r>
          </w:p>
        </w:tc>
      </w:tr>
      <w:tr>
        <w:trPr>
          <w:cantSplit/>
        </w:trPr>
        <w:tc>
          <w:tcPr>
            <w:tcW w:type="dxa" w:w="4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   Poster Presenters</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Call for Speakers drop-down</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#posters</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   Exhibitors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Call for Speakers drop-down</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#exhibitors</w:t>
            </w:r>
          </w:p>
        </w:tc>
      </w:tr>
      <w:tr>
        <w:trPr>
          <w:cantSplit/>
        </w:trPr>
        <w:tc>
          <w:tcPr>
            <w:tcW w:type="dxa" w:w="4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Linked to the Sustainable Development Goals</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SDGs</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#sdgs</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Who will be in the room</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Who attends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#participants</w:t>
            </w:r>
          </w:p>
        </w:tc>
      </w:tr>
      <w:tr>
        <w:trPr>
          <w:cantSplit/>
        </w:trPr>
        <w:tc>
          <w:tcPr>
            <w:tcW w:type="dxa" w:w="4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Convenors and founding partners</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Partners</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#partners</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Partner with AIPIS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Partner with us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#partner</w:t>
            </w:r>
          </w:p>
        </w:tc>
      </w:tr>
      <w:tr>
        <w:trPr>
          <w:cantSplit/>
        </w:trPr>
        <w:tc>
          <w:tcPr>
            <w:tcW w:type="dxa" w:w="4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Register to attend</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Register</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#register</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Future editions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Future editions</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#rotation</w:t>
            </w:r>
          </w:p>
        </w:tc>
      </w:tr>
      <w:tr>
        <w:trPr>
          <w:cantSplit/>
        </w:trPr>
        <w:tc>
          <w:tcPr>
            <w:tcW w:type="dxa" w:w="4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Contact the AIPIS Secretariat</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Contact</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#contact</w:t>
            </w:r>
          </w:p>
        </w:tc>
      </w:tr>
    </w:tbl>
    <w:p>
      <w:pPr>
        <w:spacing w:after="100"/>
      </w:pPr>
    </w:p>
    <w:p>
      <w:pPr>
        <w:pStyle w:val="Heading2"/>
        <w:keepNext/>
        <w:spacing w:after="100" w:before="200"/>
      </w:pPr>
      <w:r>
        <w:rPr>
          <w:rFonts w:ascii="Arial" w:cs="Arial" w:eastAsia="Arial" w:hAnsi="Arial"/>
          <w:b/>
          <w:bCs/>
          <w:color w:val="1A5C2A"/>
          <w:sz w:val="25"/>
          <w:szCs w:val="25"/>
        </w:rPr>
        <w:t xml:space="preserve">Search and sharing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Field</w:t>
            </w:r>
          </w:p>
        </w:tc>
        <w:tc>
          <w:tcPr>
            <w:tcW w:type="dxa" w:w="6026"/>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Content</w:t>
            </w:r>
          </w:p>
        </w:tc>
      </w:tr>
      <w:tr>
        <w:trPr>
          <w:cantSplit/>
        </w:trPr>
        <w:tc>
          <w:tcPr>
            <w:tcW w:type="dxa" w:w="30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Page title</w:t>
            </w:r>
          </w:p>
        </w:tc>
        <w:tc>
          <w:tcPr>
            <w:tcW w:type="dxa" w:w="6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AIPIS 2027 | Africa Infrastructure, Prosperity and Industrialisation Summit</w:t>
            </w:r>
          </w:p>
        </w:tc>
      </w:tr>
      <w:tr>
        <w:trPr>
          <w:cantSplit/>
        </w:trPr>
        <w:tc>
          <w:tcPr>
            <w:tcW w:type="dxa" w:w="30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Meta description</w:t>
            </w:r>
          </w:p>
        </w:tc>
        <w:tc>
          <w:tcPr>
            <w:tcW w:type="dxa" w:w="6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AIPIS measures African infrastructure by its results. The first edition takes place at KNUST, Kumasi, Ghana, from 24 to 27 August 2027.</w:t>
            </w:r>
          </w:p>
        </w:tc>
      </w:tr>
      <w:tr>
        <w:trPr>
          <w:cantSplit/>
        </w:trPr>
        <w:tc>
          <w:tcPr>
            <w:tcW w:type="dxa" w:w="30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Web address</w:t>
            </w:r>
          </w:p>
        </w:tc>
        <w:tc>
          <w:tcPr>
            <w:tcW w:type="dxa" w:w="6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www.aipis.knust.edu.gh</w:t>
            </w:r>
          </w:p>
        </w:tc>
      </w:tr>
      <w:tr>
        <w:trPr>
          <w:cantSplit/>
        </w:trPr>
        <w:tc>
          <w:tcPr>
            <w:tcW w:type="dxa" w:w="30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Language</w:t>
            </w:r>
          </w:p>
        </w:tc>
        <w:tc>
          <w:tcPr>
            <w:tcW w:type="dxa" w:w="6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English (British spelling)</w:t>
            </w:r>
          </w:p>
        </w:tc>
      </w:tr>
    </w:tbl>
    <w:p>
      <w:pPr>
        <w:spacing w:after="100"/>
      </w:pPr>
    </w:p>
    <w:p>
      <w:pPr>
        <w:pStyle w:val="Heading2"/>
        <w:keepNext/>
        <w:spacing w:after="100" w:before="200"/>
      </w:pPr>
      <w:r>
        <w:rPr>
          <w:rFonts w:ascii="Arial" w:cs="Arial" w:eastAsia="Arial" w:hAnsi="Arial"/>
          <w:b/>
          <w:bCs/>
          <w:color w:val="1A5C2A"/>
          <w:sz w:val="25"/>
          <w:szCs w:val="25"/>
        </w:rPr>
        <w:t xml:space="preserve">Visual identity</w:t>
      </w:r>
    </w:p>
    <w:p>
      <w:pPr>
        <w:pStyle w:val="ListParagraph"/>
        <w:numPr>
          <w:ilvl w:val="0"/>
          <w:numId w:val="2"/>
        </w:numPr>
        <w:spacing w:after="80" w:line="324"/>
      </w:pPr>
      <w:r>
        <w:rPr>
          <w:rFonts w:ascii="Arial" w:cs="Arial" w:eastAsia="Arial" w:hAnsi="Arial"/>
          <w:b/>
          <w:bCs/>
          <w:color w:val="1A1A1A"/>
          <w:sz w:val="24"/>
          <w:szCs w:val="24"/>
        </w:rPr>
        <w:t xml:space="preserve">Colours: </w:t>
      </w:r>
      <w:r>
        <w:rPr>
          <w:rFonts w:ascii="Arial" w:cs="Arial" w:eastAsia="Arial" w:hAnsi="Arial"/>
          <w:color w:val="1A1A1A"/>
          <w:sz w:val="24"/>
          <w:szCs w:val="24"/>
        </w:rPr>
        <w:t xml:space="preserve">Deep green #0D3D26, KNUST green #1A5C2A, gold #C47B0B, light gold #E8C068</w:t>
      </w:r>
    </w:p>
    <w:p>
      <w:pPr>
        <w:pStyle w:val="ListParagraph"/>
        <w:numPr>
          <w:ilvl w:val="0"/>
          <w:numId w:val="2"/>
        </w:numPr>
        <w:spacing w:after="80" w:line="324"/>
      </w:pPr>
      <w:r>
        <w:rPr>
          <w:rFonts w:ascii="Arial" w:cs="Arial" w:eastAsia="Arial" w:hAnsi="Arial"/>
          <w:b/>
          <w:bCs/>
          <w:color w:val="1A1A1A"/>
          <w:sz w:val="24"/>
          <w:szCs w:val="24"/>
        </w:rPr>
        <w:t xml:space="preserve">Typefaces: </w:t>
      </w:r>
      <w:r>
        <w:rPr>
          <w:rFonts w:ascii="Arial" w:cs="Arial" w:eastAsia="Arial" w:hAnsi="Arial"/>
          <w:color w:val="1A1A1A"/>
          <w:sz w:val="24"/>
          <w:szCs w:val="24"/>
        </w:rPr>
        <w:t xml:space="preserve">Archivo for headings; Source Sans 3 for text</w:t>
      </w:r>
    </w:p>
    <w:p>
      <w:pPr>
        <w:pStyle w:val="ListParagraph"/>
        <w:numPr>
          <w:ilvl w:val="0"/>
          <w:numId w:val="2"/>
        </w:numPr>
        <w:spacing w:after="80" w:line="324"/>
      </w:pPr>
      <w:r>
        <w:rPr>
          <w:rFonts w:ascii="Arial" w:cs="Arial" w:eastAsia="Arial" w:hAnsi="Arial"/>
          <w:b/>
          <w:bCs/>
          <w:color w:val="1A1A1A"/>
          <w:sz w:val="24"/>
          <w:szCs w:val="24"/>
        </w:rPr>
        <w:t xml:space="preserve">Logo: </w:t>
      </w:r>
      <w:r>
        <w:rPr>
          <w:rFonts w:ascii="Arial" w:cs="Arial" w:eastAsia="Arial" w:hAnsi="Arial"/>
          <w:color w:val="1A1A1A"/>
          <w:sz w:val="24"/>
          <w:szCs w:val="24"/>
        </w:rPr>
        <w:t xml:space="preserve">Three Pillars mark with the AIPIS wordmark and the full name, Africa Infrastructure, Prosperity and Industrialisation Summit, in the site header</w:t>
      </w:r>
    </w:p>
    <w:p>
      <w:pPr>
        <w:pStyle w:val="Heading1"/>
        <w:pageBreakBefore/>
        <w:pBdr>
          <w:bottom w:val="single" w:color="C47B0B" w:sz="6" w:space="4"/>
        </w:pBdr>
        <w:spacing w:after="160"/>
      </w:pPr>
      <w:r>
        <w:rPr>
          <w:rFonts w:ascii="Arial" w:cs="Arial" w:eastAsia="Arial" w:hAnsi="Arial"/>
          <w:b/>
          <w:bCs/>
          <w:color w:val="1A5C2A"/>
          <w:sz w:val="30"/>
          <w:szCs w:val="30"/>
        </w:rPr>
        <w:t xml:space="preserve">2. Home (Hero)</w:t>
      </w:r>
    </w:p>
    <w:p>
      <w:pPr>
        <w:keepNext/>
        <w:spacing w:after="60" w:before="160"/>
      </w:pPr>
      <w:r>
        <w:rPr>
          <w:rFonts w:ascii="Arial" w:cs="Arial" w:eastAsia="Arial" w:hAnsi="Arial"/>
          <w:b/>
          <w:bCs/>
          <w:color w:val="C47B0B"/>
          <w:sz w:val="18"/>
          <w:szCs w:val="18"/>
        </w:rPr>
        <w:t xml:space="preserve">LINE ABOVE HEADLINE</w:t>
      </w:r>
    </w:p>
    <w:p>
      <w:pPr>
        <w:spacing w:after="140" w:line="324"/>
      </w:pPr>
      <w:r>
        <w:rPr>
          <w:rFonts w:ascii="Arial" w:cs="Arial" w:eastAsia="Arial" w:hAnsi="Arial"/>
          <w:color w:val="1A1A1A"/>
          <w:sz w:val="24"/>
          <w:szCs w:val="24"/>
        </w:rPr>
        <w:t xml:space="preserve">24 to 27 August 2027 | KNUST, Kumasi, Ghana</w:t>
      </w:r>
    </w:p>
    <w:p>
      <w:pPr>
        <w:keepNext/>
        <w:spacing w:after="60" w:before="160"/>
      </w:pPr>
      <w:r>
        <w:rPr>
          <w:rFonts w:ascii="Arial" w:cs="Arial" w:eastAsia="Arial" w:hAnsi="Arial"/>
          <w:b/>
          <w:bCs/>
          <w:color w:val="C47B0B"/>
          <w:sz w:val="18"/>
          <w:szCs w:val="18"/>
        </w:rPr>
        <w:t xml:space="preserve">FULL NAME</w:t>
      </w:r>
    </w:p>
    <w:p>
      <w:pPr>
        <w:spacing w:after="140" w:line="324"/>
      </w:pPr>
      <w:r>
        <w:rPr>
          <w:rFonts w:ascii="Arial" w:cs="Arial" w:eastAsia="Arial" w:hAnsi="Arial"/>
          <w:b/>
          <w:bCs/>
          <w:color w:val="1A5C2A"/>
          <w:sz w:val="24"/>
          <w:szCs w:val="24"/>
        </w:rPr>
        <w:t xml:space="preserve">Africa Infrastructure, Prosperity and Industrialisation Summit (AIPIS)</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30"/>
          <w:szCs w:val="30"/>
        </w:rPr>
        <w:t xml:space="preserve">From financial close to prosperity close</w:t>
      </w:r>
    </w:p>
    <w:p>
      <w:pPr>
        <w:keepNext/>
        <w:spacing w:after="60" w:before="160"/>
      </w:pPr>
      <w:r>
        <w:rPr>
          <w:rFonts w:ascii="Arial" w:cs="Arial" w:eastAsia="Arial" w:hAnsi="Arial"/>
          <w:b/>
          <w:bCs/>
          <w:color w:val="C47B0B"/>
          <w:sz w:val="18"/>
          <w:szCs w:val="18"/>
        </w:rPr>
        <w:t xml:space="preserve">INTRODUCTION</w:t>
      </w:r>
    </w:p>
    <w:p>
      <w:pPr>
        <w:spacing w:after="140" w:line="324"/>
      </w:pPr>
      <w:r>
        <w:rPr>
          <w:rFonts w:ascii="Arial" w:cs="Arial" w:eastAsia="Arial" w:hAnsi="Arial"/>
          <w:color w:val="1A1A1A"/>
          <w:sz w:val="24"/>
          <w:szCs w:val="24"/>
        </w:rPr>
        <w:t xml:space="preserve">The Africa Infrastructure, Prosperity and Industrialisation Summit (AIPIS) is an annual summit that measures African infrastructure by what it delivers: industrial output, jobs and better living standards.</w:t>
      </w:r>
    </w:p>
    <w:p>
      <w:pPr>
        <w:keepNext/>
        <w:spacing w:after="60" w:before="160"/>
      </w:pPr>
      <w:r>
        <w:rPr>
          <w:rFonts w:ascii="Arial" w:cs="Arial" w:eastAsia="Arial" w:hAnsi="Arial"/>
          <w:b/>
          <w:bCs/>
          <w:color w:val="C47B0B"/>
          <w:sz w:val="18"/>
          <w:szCs w:val="18"/>
        </w:rPr>
        <w:t xml:space="preserve">TAGLINE</w:t>
      </w:r>
    </w:p>
    <w:p>
      <w:pPr>
        <w:spacing w:after="140" w:line="324"/>
      </w:pPr>
      <w:r>
        <w:rPr>
          <w:rFonts w:ascii="Arial" w:cs="Arial" w:eastAsia="Arial" w:hAnsi="Arial"/>
          <w:b/>
          <w:bCs/>
          <w:color w:val="C47B0B"/>
          <w:sz w:val="24"/>
          <w:szCs w:val="24"/>
        </w:rPr>
        <w:t xml:space="preserve">Building infrastructure. Powering industry. Delivering prosperity.</w:t>
      </w:r>
    </w:p>
    <w:p>
      <w:pPr>
        <w:keepNext/>
        <w:spacing w:after="60" w:before="160"/>
      </w:pPr>
      <w:r>
        <w:rPr>
          <w:rFonts w:ascii="Arial" w:cs="Arial" w:eastAsia="Arial" w:hAnsi="Arial"/>
          <w:b/>
          <w:bCs/>
          <w:color w:val="C47B0B"/>
          <w:sz w:val="18"/>
          <w:szCs w:val="18"/>
        </w:rPr>
        <w:t xml:space="preserve">BUTTONS</w:t>
      </w:r>
    </w:p>
    <w:p>
      <w:pPr>
        <w:pStyle w:val="ListParagraph"/>
        <w:numPr>
          <w:ilvl w:val="0"/>
          <w:numId w:val="2"/>
        </w:numPr>
        <w:spacing w:after="80" w:line="324"/>
      </w:pPr>
      <w:r>
        <w:rPr>
          <w:rFonts w:ascii="Arial" w:cs="Arial" w:eastAsia="Arial" w:hAnsi="Arial"/>
          <w:b/>
          <w:bCs/>
          <w:color w:val="1A1A1A"/>
          <w:sz w:val="24"/>
          <w:szCs w:val="24"/>
        </w:rPr>
        <w:t xml:space="preserve">Register to attend: </w:t>
      </w:r>
      <w:r>
        <w:rPr>
          <w:rFonts w:ascii="Arial" w:cs="Arial" w:eastAsia="Arial" w:hAnsi="Arial"/>
          <w:color w:val="1A1A1A"/>
          <w:sz w:val="24"/>
          <w:szCs w:val="24"/>
        </w:rPr>
        <w:t xml:space="preserve">links to #register</w:t>
      </w:r>
    </w:p>
    <w:p>
      <w:pPr>
        <w:pStyle w:val="ListParagraph"/>
        <w:numPr>
          <w:ilvl w:val="0"/>
          <w:numId w:val="2"/>
        </w:numPr>
        <w:spacing w:after="80" w:line="324"/>
      </w:pPr>
      <w:r>
        <w:rPr>
          <w:rFonts w:ascii="Arial" w:cs="Arial" w:eastAsia="Arial" w:hAnsi="Arial"/>
          <w:b/>
          <w:bCs/>
          <w:color w:val="1A1A1A"/>
          <w:sz w:val="24"/>
          <w:szCs w:val="24"/>
        </w:rPr>
        <w:t xml:space="preserve">Become a partner: </w:t>
      </w:r>
      <w:r>
        <w:rPr>
          <w:rFonts w:ascii="Arial" w:cs="Arial" w:eastAsia="Arial" w:hAnsi="Arial"/>
          <w:color w:val="1A1A1A"/>
          <w:sz w:val="24"/>
          <w:szCs w:val="24"/>
        </w:rPr>
        <w:t xml:space="preserve">links to #partner</w:t>
      </w:r>
    </w:p>
    <w:p>
      <w:pPr>
        <w:keepNext/>
        <w:spacing w:after="60" w:before="160"/>
      </w:pPr>
      <w:r>
        <w:rPr>
          <w:rFonts w:ascii="Arial" w:cs="Arial" w:eastAsia="Arial" w:hAnsi="Arial"/>
          <w:b/>
          <w:bCs/>
          <w:color w:val="C47B0B"/>
          <w:sz w:val="18"/>
          <w:szCs w:val="18"/>
        </w:rPr>
        <w:t xml:space="preserve">KEY FACTS STRIP</w:t>
      </w:r>
    </w:p>
    <w:p>
      <w:pPr>
        <w:pStyle w:val="ListParagraph"/>
        <w:numPr>
          <w:ilvl w:val="0"/>
          <w:numId w:val="2"/>
        </w:numPr>
        <w:spacing w:after="80" w:line="324"/>
      </w:pPr>
      <w:r>
        <w:rPr>
          <w:rFonts w:ascii="Arial" w:cs="Arial" w:eastAsia="Arial" w:hAnsi="Arial"/>
          <w:b/>
          <w:bCs/>
          <w:color w:val="1A1A1A"/>
          <w:sz w:val="24"/>
          <w:szCs w:val="24"/>
        </w:rPr>
        <w:t xml:space="preserve">24 to 27 August 2027: </w:t>
      </w:r>
      <w:r>
        <w:rPr>
          <w:rFonts w:ascii="Arial" w:cs="Arial" w:eastAsia="Arial" w:hAnsi="Arial"/>
          <w:color w:val="1A1A1A"/>
          <w:sz w:val="24"/>
          <w:szCs w:val="24"/>
        </w:rPr>
        <w:t xml:space="preserve">Three conference days and one field day</w:t>
      </w:r>
    </w:p>
    <w:p>
      <w:pPr>
        <w:pStyle w:val="ListParagraph"/>
        <w:numPr>
          <w:ilvl w:val="0"/>
          <w:numId w:val="2"/>
        </w:numPr>
        <w:spacing w:after="80" w:line="324"/>
      </w:pPr>
      <w:r>
        <w:rPr>
          <w:rFonts w:ascii="Arial" w:cs="Arial" w:eastAsia="Arial" w:hAnsi="Arial"/>
          <w:b/>
          <w:bCs/>
          <w:color w:val="1A1A1A"/>
          <w:sz w:val="24"/>
          <w:szCs w:val="24"/>
        </w:rPr>
        <w:t xml:space="preserve">KNUST, Kumasi: </w:t>
      </w:r>
      <w:r>
        <w:rPr>
          <w:rFonts w:ascii="Arial" w:cs="Arial" w:eastAsia="Arial" w:hAnsi="Arial"/>
          <w:color w:val="1A1A1A"/>
          <w:sz w:val="24"/>
          <w:szCs w:val="24"/>
        </w:rPr>
        <w:t xml:space="preserve">Permanent home of the summit</w:t>
      </w:r>
    </w:p>
    <w:p>
      <w:pPr>
        <w:pStyle w:val="ListParagraph"/>
        <w:numPr>
          <w:ilvl w:val="0"/>
          <w:numId w:val="2"/>
        </w:numPr>
        <w:spacing w:after="80" w:line="324"/>
      </w:pPr>
      <w:r>
        <w:rPr>
          <w:rFonts w:ascii="Arial" w:cs="Arial" w:eastAsia="Arial" w:hAnsi="Arial"/>
          <w:b/>
          <w:bCs/>
          <w:color w:val="1A1A1A"/>
          <w:sz w:val="24"/>
          <w:szCs w:val="24"/>
        </w:rPr>
        <w:t xml:space="preserve">600 to 800: </w:t>
      </w:r>
      <w:r>
        <w:rPr>
          <w:rFonts w:ascii="Arial" w:cs="Arial" w:eastAsia="Arial" w:hAnsi="Arial"/>
          <w:color w:val="1A1A1A"/>
          <w:sz w:val="24"/>
          <w:szCs w:val="24"/>
        </w:rPr>
        <w:t xml:space="preserve">Delegates expected from at least 25 countries</w:t>
      </w:r>
    </w:p>
    <w:p>
      <w:pPr>
        <w:pStyle w:val="Heading1"/>
        <w:pageBreakBefore/>
        <w:pBdr>
          <w:bottom w:val="single" w:color="C47B0B" w:sz="6" w:space="4"/>
        </w:pBdr>
        <w:spacing w:after="160"/>
      </w:pPr>
      <w:r>
        <w:rPr>
          <w:rFonts w:ascii="Arial" w:cs="Arial" w:eastAsia="Arial" w:hAnsi="Arial"/>
          <w:b/>
          <w:bCs/>
          <w:color w:val="1A5C2A"/>
          <w:sz w:val="30"/>
          <w:szCs w:val="30"/>
        </w:rPr>
        <w:t xml:space="preserve">3. Why AIPIS</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About</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#about</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Why AIPIS</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Africa has made strong progress in raising finance for infrastructure. Governments, development finance institutions, pension funds and private investors now plan and fund projects with growing skill.</w:t>
      </w:r>
    </w:p>
    <w:p>
      <w:pPr>
        <w:spacing w:after="140" w:line="324"/>
      </w:pPr>
      <w:r>
        <w:rPr>
          <w:rFonts w:ascii="Arial" w:cs="Arial" w:eastAsia="Arial" w:hAnsi="Arial"/>
          <w:color w:val="1A1A1A"/>
          <w:sz w:val="24"/>
          <w:szCs w:val="24"/>
        </w:rPr>
        <w:t xml:space="preserve">Problems remain after the funding is secured. Many projects stall, run over budget, or are completed without the industrial growth that justified them. AIPIS follows projects through construction and operation and measures what they deliver for industry and citizens.</w:t>
      </w:r>
    </w:p>
    <w:p>
      <w:pPr>
        <w:keepNext/>
        <w:spacing w:after="60" w:before="160"/>
      </w:pPr>
      <w:r>
        <w:rPr>
          <w:rFonts w:ascii="Arial" w:cs="Arial" w:eastAsia="Arial" w:hAnsi="Arial"/>
          <w:b/>
          <w:bCs/>
          <w:color w:val="C47B0B"/>
          <w:sz w:val="18"/>
          <w:szCs w:val="18"/>
        </w:rPr>
        <w:t xml:space="preserve">DEFINITIONS PANEL</w:t>
      </w:r>
    </w:p>
    <w:p>
      <w:pPr>
        <w:pStyle w:val="ListParagraph"/>
        <w:numPr>
          <w:ilvl w:val="0"/>
          <w:numId w:val="2"/>
        </w:numPr>
        <w:spacing w:after="80" w:line="324"/>
      </w:pPr>
      <w:r>
        <w:rPr>
          <w:rFonts w:ascii="Arial" w:cs="Arial" w:eastAsia="Arial" w:hAnsi="Arial"/>
          <w:b/>
          <w:bCs/>
          <w:color w:val="1A1A1A"/>
          <w:sz w:val="24"/>
          <w:szCs w:val="24"/>
        </w:rPr>
        <w:t xml:space="preserve">Financial close: </w:t>
      </w:r>
      <w:r>
        <w:rPr>
          <w:rFonts w:ascii="Arial" w:cs="Arial" w:eastAsia="Arial" w:hAnsi="Arial"/>
          <w:color w:val="1A1A1A"/>
          <w:sz w:val="24"/>
          <w:szCs w:val="24"/>
        </w:rPr>
        <w:t xml:space="preserve">The point at which a project’s funding is fully secured.</w:t>
      </w:r>
    </w:p>
    <w:p>
      <w:pPr>
        <w:pStyle w:val="ListParagraph"/>
        <w:numPr>
          <w:ilvl w:val="0"/>
          <w:numId w:val="2"/>
        </w:numPr>
        <w:spacing w:after="80" w:line="324"/>
      </w:pPr>
      <w:r>
        <w:rPr>
          <w:rFonts w:ascii="Arial" w:cs="Arial" w:eastAsia="Arial" w:hAnsi="Arial"/>
          <w:b/>
          <w:bCs/>
          <w:color w:val="1A1A1A"/>
          <w:sz w:val="24"/>
          <w:szCs w:val="24"/>
        </w:rPr>
        <w:t xml:space="preserve">Prosperity close: </w:t>
      </w:r>
      <w:r>
        <w:rPr>
          <w:rFonts w:ascii="Arial" w:cs="Arial" w:eastAsia="Arial" w:hAnsi="Arial"/>
          <w:color w:val="1A1A1A"/>
          <w:sz w:val="24"/>
          <w:szCs w:val="24"/>
        </w:rPr>
        <w:t xml:space="preserve">The point at which a project can show measurable benefits to industry and citizens. AIPIS introduces this standard.</w:t>
      </w:r>
    </w:p>
    <w:p>
      <w:pPr>
        <w:pStyle w:val="Heading2"/>
        <w:keepNext/>
        <w:spacing w:after="100" w:before="200"/>
      </w:pPr>
      <w:r>
        <w:rPr>
          <w:rFonts w:ascii="Arial" w:cs="Arial" w:eastAsia="Arial" w:hAnsi="Arial"/>
          <w:b/>
          <w:bCs/>
          <w:color w:val="1A5C2A"/>
          <w:sz w:val="25"/>
          <w:szCs w:val="25"/>
        </w:rPr>
        <w:t xml:space="preserve">Strategic theme, 2027 to 2031</w:t>
      </w:r>
    </w:p>
    <w:p>
      <w:pPr>
        <w:spacing w:after="140" w:line="324"/>
      </w:pPr>
      <w:r>
        <w:rPr>
          <w:rFonts w:ascii="Arial" w:cs="Arial" w:eastAsia="Arial" w:hAnsi="Arial"/>
          <w:b/>
          <w:bCs/>
          <w:i/>
          <w:iCs/>
          <w:color w:val="1A5C2A"/>
          <w:sz w:val="26"/>
          <w:szCs w:val="26"/>
        </w:rPr>
        <w:t xml:space="preserve">Infrastructure that Delivers: Turning Africa’s Investment into Industry and Shared Prosperity</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Every edition asks one question: has infrastructure spending in Africa produced working industries and better lives?</w:t>
      </w:r>
    </w:p>
    <w:p>
      <w:pPr>
        <w:pStyle w:val="Heading1"/>
        <w:pageBreakBefore/>
        <w:pBdr>
          <w:bottom w:val="single" w:color="C47B0B" w:sz="6" w:space="4"/>
        </w:pBdr>
        <w:spacing w:after="160"/>
      </w:pPr>
      <w:r>
        <w:rPr>
          <w:rFonts w:ascii="Arial" w:cs="Arial" w:eastAsia="Arial" w:hAnsi="Arial"/>
          <w:b/>
          <w:bCs/>
          <w:color w:val="1A5C2A"/>
          <w:sz w:val="30"/>
          <w:szCs w:val="30"/>
        </w:rPr>
        <w:t xml:space="preserve">4. Four days in Kumasi</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Programme</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#programme</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Four days in Kumasi</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The 2027 theme is From Financial Close to Prosperity Close: Delivering Infrastructure that Builds African Industry. Each conference day covers one thematic area, and the fourth day is spent in the field.</w:t>
      </w:r>
    </w:p>
    <w:p>
      <w:pPr>
        <w:keepNext/>
        <w:spacing w:after="60" w:before="160"/>
      </w:pPr>
      <w:r>
        <w:rPr>
          <w:rFonts w:ascii="Arial" w:cs="Arial" w:eastAsia="Arial" w:hAnsi="Arial"/>
          <w:b/>
          <w:bCs/>
          <w:color w:val="C47B0B"/>
          <w:sz w:val="18"/>
          <w:szCs w:val="18"/>
        </w:rPr>
        <w:t xml:space="preserve">DAILY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rPr>
          <w:tblHeader/>
        </w:trPr>
        <w:tc>
          <w:tcPr>
            <w:tcW w:type="dxa" w:w="19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Date</w:t>
            </w:r>
          </w:p>
        </w:tc>
        <w:tc>
          <w:tcPr>
            <w:tcW w:type="dxa" w:w="25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Day and focus</w:t>
            </w:r>
          </w:p>
        </w:tc>
        <w:tc>
          <w:tcPr>
            <w:tcW w:type="dxa" w:w="4626"/>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Main sessions</w:t>
            </w:r>
          </w:p>
        </w:tc>
      </w:tr>
      <w:tr>
        <w:trPr>
          <w:cantSplit/>
        </w:trPr>
        <w:tc>
          <w:tcPr>
            <w:tcW w:type="dxa" w:w="19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Tuesday 24 August</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Day 1: Building infrastructure</w:t>
            </w:r>
          </w:p>
        </w:tc>
        <w:tc>
          <w:tcPr>
            <w:tcW w:type="dxa" w:w="46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Opening ceremony and launch of the Africa Infrastructure Prosperity Index; Unfinished Projects Forensic Clinic; Land, Traditional Authority and Infrastructure Roundtable.</w:t>
            </w:r>
          </w:p>
        </w:tc>
      </w:tr>
      <w:tr>
        <w:trPr>
          <w:cantSplit/>
        </w:trPr>
        <w:tc>
          <w:tcPr>
            <w:tcW w:type="dxa" w:w="19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Wednesday 25 August</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Day 2: Powering industry</w:t>
            </w:r>
          </w:p>
        </w:tc>
        <w:tc>
          <w:tcPr>
            <w:tcW w:type="dxa" w:w="46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Plenary on energy for industry; Build-with-Africa Procurement Exchange; transport corridors, special economic zones and industrial parks; round-the-clock production under the 24-Hour Economy.</w:t>
            </w:r>
          </w:p>
        </w:tc>
      </w:tr>
      <w:tr>
        <w:trPr>
          <w:cantSplit/>
        </w:trPr>
        <w:tc>
          <w:tcPr>
            <w:tcW w:type="dxa" w:w="19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Thursday 26 August</w:t>
            </w:r>
          </w:p>
        </w:tc>
        <w:tc>
          <w:tcPr>
            <w:tcW w:type="dxa" w:w="2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Day 3: Delivering prosperity</w:t>
            </w:r>
          </w:p>
        </w:tc>
        <w:tc>
          <w:tcPr>
            <w:tcW w:type="dxa" w:w="46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Prosperity Close Standard; Finance and Investor Forum; research and practice papers; signing of the Kumasi Delivery Compact and closing ceremony.</w:t>
            </w:r>
          </w:p>
        </w:tc>
      </w:tr>
      <w:tr>
        <w:trPr>
          <w:cantSplit/>
        </w:trPr>
        <w:tc>
          <w:tcPr>
            <w:tcW w:type="dxa" w:w="19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Friday 27 August</w:t>
            </w:r>
          </w:p>
        </w:tc>
        <w:tc>
          <w:tcPr>
            <w:tcW w:type="dxa" w:w="2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Day 4: Site-to-Summit Field Day</w:t>
            </w:r>
          </w:p>
        </w:tc>
        <w:tc>
          <w:tcPr>
            <w:tcW w:type="dxa" w:w="46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Visits to live projects, industrial sites and local manufacturers in the Ashanti Region.</w:t>
            </w:r>
          </w:p>
        </w:tc>
      </w:tr>
    </w:tbl>
    <w:p>
      <w:pPr>
        <w:spacing w:after="100"/>
      </w:pP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Four topics run through every session: project assurance, green delivery, skills, and land and community.</w:t>
      </w:r>
    </w:p>
    <w:p>
      <w:pPr>
        <w:pStyle w:val="Heading1"/>
        <w:pageBreakBefore/>
        <w:pBdr>
          <w:bottom w:val="single" w:color="C47B0B" w:sz="6" w:space="4"/>
        </w:pBdr>
        <w:spacing w:after="160"/>
      </w:pPr>
      <w:r>
        <w:rPr>
          <w:rFonts w:ascii="Arial" w:cs="Arial" w:eastAsia="Arial" w:hAnsi="Arial"/>
          <w:b/>
          <w:bCs/>
          <w:color w:val="1A5C2A"/>
          <w:sz w:val="30"/>
          <w:szCs w:val="30"/>
        </w:rPr>
        <w:t xml:space="preserve">5. The AIPIS Distinction: Seven Innovations</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Innovations</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#innovations</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The AIPIS Distinction: Seven Innovations</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Each innovation builds on expertise the convenors already hold.</w:t>
      </w:r>
    </w:p>
    <w:p>
      <w:pPr>
        <w:keepNext/>
        <w:spacing w:after="60" w:before="160"/>
      </w:pPr>
      <w:r>
        <w:rPr>
          <w:rFonts w:ascii="Arial" w:cs="Arial" w:eastAsia="Arial" w:hAnsi="Arial"/>
          <w:b/>
          <w:bCs/>
          <w:color w:val="C47B0B"/>
          <w:sz w:val="18"/>
          <w:szCs w:val="18"/>
        </w:rPr>
        <w:t xml:space="preserve">ITEMS</w:t>
      </w:r>
    </w:p>
    <w:p>
      <w:pPr>
        <w:pStyle w:val="ListParagraph"/>
        <w:numPr>
          <w:ilvl w:val="0"/>
          <w:numId w:val="2"/>
        </w:numPr>
        <w:spacing w:after="80" w:line="324"/>
      </w:pPr>
      <w:r>
        <w:rPr>
          <w:rFonts w:ascii="Arial" w:cs="Arial" w:eastAsia="Arial" w:hAnsi="Arial"/>
          <w:b/>
          <w:bCs/>
          <w:color w:val="1A1A1A"/>
          <w:sz w:val="24"/>
          <w:szCs w:val="24"/>
        </w:rPr>
        <w:t xml:space="preserve">Prosperity Close Standard: </w:t>
      </w:r>
      <w:r>
        <w:rPr>
          <w:rFonts w:ascii="Arial" w:cs="Arial" w:eastAsia="Arial" w:hAnsi="Arial"/>
          <w:color w:val="1A1A1A"/>
          <w:sz w:val="24"/>
          <w:szCs w:val="24"/>
        </w:rPr>
        <w:t xml:space="preserve">A published standard that defines when a project has delivered measurable benefits: firms served, jobs sustained, local content achieved and reliable service.</w:t>
      </w:r>
    </w:p>
    <w:p>
      <w:pPr>
        <w:pStyle w:val="ListParagraph"/>
        <w:numPr>
          <w:ilvl w:val="0"/>
          <w:numId w:val="2"/>
        </w:numPr>
        <w:spacing w:after="80" w:line="324"/>
      </w:pPr>
      <w:r>
        <w:rPr>
          <w:rFonts w:ascii="Arial" w:cs="Arial" w:eastAsia="Arial" w:hAnsi="Arial"/>
          <w:b/>
          <w:bCs/>
          <w:color w:val="1A1A1A"/>
          <w:sz w:val="24"/>
          <w:szCs w:val="24"/>
        </w:rPr>
        <w:t xml:space="preserve">Africa Infrastructure Prosperity Index: </w:t>
      </w:r>
      <w:r>
        <w:rPr>
          <w:rFonts w:ascii="Arial" w:cs="Arial" w:eastAsia="Arial" w:hAnsi="Arial"/>
          <w:color w:val="1A1A1A"/>
          <w:sz w:val="24"/>
          <w:szCs w:val="24"/>
        </w:rPr>
        <w:t xml:space="preserve">An annual ranking by KNUST and GCI of how well African countries turn infrastructure spending into industrial and social results.</w:t>
      </w:r>
    </w:p>
    <w:p>
      <w:pPr>
        <w:pStyle w:val="ListParagraph"/>
        <w:numPr>
          <w:ilvl w:val="0"/>
          <w:numId w:val="2"/>
        </w:numPr>
        <w:spacing w:after="80" w:line="324"/>
      </w:pPr>
      <w:r>
        <w:rPr>
          <w:rFonts w:ascii="Arial" w:cs="Arial" w:eastAsia="Arial" w:hAnsi="Arial"/>
          <w:b/>
          <w:bCs/>
          <w:color w:val="1A1A1A"/>
          <w:sz w:val="24"/>
          <w:szCs w:val="24"/>
        </w:rPr>
        <w:t xml:space="preserve">Unfinished Projects Forensic Clinic: </w:t>
      </w:r>
      <w:r>
        <w:rPr>
          <w:rFonts w:ascii="Arial" w:cs="Arial" w:eastAsia="Arial" w:hAnsi="Arial"/>
          <w:color w:val="1A1A1A"/>
          <w:sz w:val="24"/>
          <w:szCs w:val="24"/>
        </w:rPr>
        <w:t xml:space="preserve">Led by AIPAF. Panels of engineers, quantity surveyors, lawyers and auditors examine stalled projects and set out the causes and a recovery plan.</w:t>
      </w:r>
    </w:p>
    <w:p>
      <w:pPr>
        <w:pStyle w:val="ListParagraph"/>
        <w:numPr>
          <w:ilvl w:val="0"/>
          <w:numId w:val="2"/>
        </w:numPr>
        <w:spacing w:after="80" w:line="324"/>
      </w:pPr>
      <w:r>
        <w:rPr>
          <w:rFonts w:ascii="Arial" w:cs="Arial" w:eastAsia="Arial" w:hAnsi="Arial"/>
          <w:b/>
          <w:bCs/>
          <w:color w:val="1A1A1A"/>
          <w:sz w:val="24"/>
          <w:szCs w:val="24"/>
        </w:rPr>
        <w:t xml:space="preserve">Build-with-Africa Procurement Exchange: </w:t>
      </w:r>
      <w:r>
        <w:rPr>
          <w:rFonts w:ascii="Arial" w:cs="Arial" w:eastAsia="Arial" w:hAnsi="Arial"/>
          <w:color w:val="1A1A1A"/>
          <w:sz w:val="24"/>
          <w:szCs w:val="24"/>
        </w:rPr>
        <w:t xml:space="preserve">Pre-arranged meetings between project owners, contractors and African manufacturers of steel, cement, cables and building materials.</w:t>
      </w:r>
    </w:p>
    <w:p>
      <w:pPr>
        <w:pStyle w:val="ListParagraph"/>
        <w:numPr>
          <w:ilvl w:val="0"/>
          <w:numId w:val="2"/>
        </w:numPr>
        <w:spacing w:after="80" w:line="324"/>
      </w:pPr>
      <w:r>
        <w:rPr>
          <w:rFonts w:ascii="Arial" w:cs="Arial" w:eastAsia="Arial" w:hAnsi="Arial"/>
          <w:b/>
          <w:bCs/>
          <w:color w:val="1A1A1A"/>
          <w:sz w:val="24"/>
          <w:szCs w:val="24"/>
        </w:rPr>
        <w:t xml:space="preserve">Site-to-Summit Field Day: </w:t>
      </w:r>
      <w:r>
        <w:rPr>
          <w:rFonts w:ascii="Arial" w:cs="Arial" w:eastAsia="Arial" w:hAnsi="Arial"/>
          <w:color w:val="1A1A1A"/>
          <w:sz w:val="24"/>
          <w:szCs w:val="24"/>
        </w:rPr>
        <w:t xml:space="preserve">A full day at live projects, industrial sites and local suppliers in the Ashanti Region.</w:t>
      </w:r>
    </w:p>
    <w:p>
      <w:pPr>
        <w:pStyle w:val="ListParagraph"/>
        <w:numPr>
          <w:ilvl w:val="0"/>
          <w:numId w:val="2"/>
        </w:numPr>
        <w:spacing w:after="80" w:line="324"/>
      </w:pPr>
      <w:r>
        <w:rPr>
          <w:rFonts w:ascii="Arial" w:cs="Arial" w:eastAsia="Arial" w:hAnsi="Arial"/>
          <w:b/>
          <w:bCs/>
          <w:color w:val="1A1A1A"/>
          <w:sz w:val="24"/>
          <w:szCs w:val="24"/>
        </w:rPr>
        <w:t xml:space="preserve">Land, Traditional Authority and Infrastructure Roundtable: </w:t>
      </w:r>
      <w:r>
        <w:rPr>
          <w:rFonts w:ascii="Arial" w:cs="Arial" w:eastAsia="Arial" w:hAnsi="Arial"/>
          <w:color w:val="1A1A1A"/>
          <w:sz w:val="24"/>
          <w:szCs w:val="24"/>
        </w:rPr>
        <w:t xml:space="preserve">Traditional authorities, land agencies, developers and financiers discuss rights of way, compensation and benefit sharing.</w:t>
      </w:r>
    </w:p>
    <w:p>
      <w:pPr>
        <w:pStyle w:val="ListParagraph"/>
        <w:numPr>
          <w:ilvl w:val="0"/>
          <w:numId w:val="2"/>
        </w:numPr>
        <w:spacing w:after="80" w:line="324"/>
      </w:pPr>
      <w:r>
        <w:rPr>
          <w:rFonts w:ascii="Arial" w:cs="Arial" w:eastAsia="Arial" w:hAnsi="Arial"/>
          <w:b/>
          <w:bCs/>
          <w:color w:val="1A1A1A"/>
          <w:sz w:val="24"/>
          <w:szCs w:val="24"/>
        </w:rPr>
        <w:t xml:space="preserve">Commitments Tracker and Kumasi Delivery Compact: </w:t>
      </w:r>
      <w:r>
        <w:rPr>
          <w:rFonts w:ascii="Arial" w:cs="Arial" w:eastAsia="Arial" w:hAnsi="Arial"/>
          <w:color w:val="1A1A1A"/>
          <w:sz w:val="24"/>
          <w:szCs w:val="24"/>
        </w:rPr>
        <w:t xml:space="preserve">Every pledge is recorded publicly and reported at the next edition. The summit closes with the signing of the Kumasi Delivery Compact.</w:t>
      </w:r>
    </w:p>
    <w:p>
      <w:pPr>
        <w:pStyle w:val="Heading1"/>
        <w:pageBreakBefore/>
        <w:pBdr>
          <w:bottom w:val="single" w:color="C47B0B" w:sz="6" w:space="4"/>
        </w:pBdr>
        <w:spacing w:after="160"/>
      </w:pPr>
      <w:r>
        <w:rPr>
          <w:rFonts w:ascii="Arial" w:cs="Arial" w:eastAsia="Arial" w:hAnsi="Arial"/>
          <w:b/>
          <w:bCs/>
          <w:color w:val="1A5C2A"/>
          <w:sz w:val="30"/>
          <w:szCs w:val="30"/>
        </w:rPr>
        <w:t xml:space="preserve">6. Call for speakers, presenters and exhibitors</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Call for Speakers</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#speakers</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Call for speakers, presenters and exhibitors</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AIPIS 2027 invites nominations and applications for the roles below. Submission deadlines and requirements will be published with the full call. To express interest now, use the button under each role.</w:t>
      </w:r>
    </w:p>
    <w:p>
      <w:pPr>
        <w:pStyle w:val="Heading2"/>
        <w:keepNext/>
        <w:spacing w:after="100" w:before="200"/>
      </w:pPr>
      <w:r>
        <w:rPr>
          <w:rFonts w:ascii="Arial" w:cs="Arial" w:eastAsia="Arial" w:hAnsi="Arial"/>
          <w:b/>
          <w:bCs/>
          <w:color w:val="1A5C2A"/>
          <w:sz w:val="25"/>
          <w:szCs w:val="25"/>
        </w:rPr>
        <w:t xml:space="preserve">Distinguished Keynote Speakers</w:t>
      </w:r>
    </w:p>
    <w:p>
      <w:pPr>
        <w:spacing w:after="140" w:line="324"/>
      </w:pPr>
      <w:r>
        <w:rPr>
          <w:rFonts w:ascii="Arial" w:cs="Arial" w:eastAsia="Arial" w:hAnsi="Arial"/>
          <w:color w:val="5F6B5F"/>
          <w:sz w:val="20"/>
          <w:szCs w:val="20"/>
        </w:rPr>
        <w:t xml:space="preserve">Menu: Call for Speakers &gt; Distinguished Keynote Speakers    Anchor: #keynote</w:t>
      </w:r>
    </w:p>
    <w:p>
      <w:pPr>
        <w:spacing w:after="140" w:line="324"/>
      </w:pPr>
      <w:r>
        <w:rPr>
          <w:rFonts w:ascii="Arial" w:cs="Arial" w:eastAsia="Arial" w:hAnsi="Arial"/>
          <w:color w:val="1A1A1A"/>
          <w:sz w:val="24"/>
          <w:szCs w:val="24"/>
        </w:rPr>
        <w:t xml:space="preserve">Heads of state and government, ministers, heads of development finance institutions and other leaders of international standing. They open each conference day and set out the direction on infrastructure, industry and prosperity in Africa. Distinguished Keynote Speakers are invited by the Summit Steering Committee; nominations are welcome.</w:t>
      </w:r>
    </w:p>
    <w:p>
      <w:pPr>
        <w:pStyle w:val="ListParagraph"/>
        <w:numPr>
          <w:ilvl w:val="0"/>
          <w:numId w:val="2"/>
        </w:numPr>
        <w:spacing w:after="80" w:line="324"/>
      </w:pPr>
      <w:r>
        <w:rPr>
          <w:rFonts w:ascii="Arial" w:cs="Arial" w:eastAsia="Arial" w:hAnsi="Arial"/>
          <w:b/>
          <w:bCs/>
          <w:color w:val="1A1A1A"/>
          <w:sz w:val="24"/>
          <w:szCs w:val="24"/>
        </w:rPr>
        <w:t xml:space="preserve">Nominate a Distinguished Keynote Speaker: </w:t>
      </w:r>
      <w:r>
        <w:rPr>
          <w:rFonts w:ascii="Arial" w:cs="Arial" w:eastAsia="Arial" w:hAnsi="Arial"/>
          <w:color w:val="1A1A1A"/>
          <w:sz w:val="24"/>
          <w:szCs w:val="24"/>
        </w:rPr>
        <w:t xml:space="preserve">opens an email to info@aipis.knust.edu.gh with the subject “AIPIS 2027 Distinguished Keynote Speaker nomination”</w:t>
      </w:r>
    </w:p>
    <w:p>
      <w:pPr>
        <w:pStyle w:val="Heading2"/>
        <w:keepNext/>
        <w:spacing w:after="100" w:before="200"/>
      </w:pPr>
      <w:r>
        <w:rPr>
          <w:rFonts w:ascii="Arial" w:cs="Arial" w:eastAsia="Arial" w:hAnsi="Arial"/>
          <w:b/>
          <w:bCs/>
          <w:color w:val="1A5C2A"/>
          <w:sz w:val="25"/>
          <w:szCs w:val="25"/>
        </w:rPr>
        <w:t xml:space="preserve">Special Guest Speakers</w:t>
      </w:r>
    </w:p>
    <w:p>
      <w:pPr>
        <w:spacing w:after="140" w:line="324"/>
      </w:pPr>
      <w:r>
        <w:rPr>
          <w:rFonts w:ascii="Arial" w:cs="Arial" w:eastAsia="Arial" w:hAnsi="Arial"/>
          <w:color w:val="5F6B5F"/>
          <w:sz w:val="20"/>
          <w:szCs w:val="20"/>
        </w:rPr>
        <w:t xml:space="preserve">Menu: Call for Speakers &gt; Special Guest Speakers    Anchor: #guest</w:t>
      </w:r>
    </w:p>
    <w:p>
      <w:pPr>
        <w:spacing w:after="140" w:line="324"/>
      </w:pPr>
      <w:r>
        <w:rPr>
          <w:rFonts w:ascii="Arial" w:cs="Arial" w:eastAsia="Arial" w:hAnsi="Arial"/>
          <w:color w:val="1A1A1A"/>
          <w:sz w:val="24"/>
          <w:szCs w:val="24"/>
        </w:rPr>
        <w:t xml:space="preserve">Senior figures from government, traditional authority, industry, finance and civil society. They speak at plenaries, roundtables and the Finance and Investor Forum, sharing first-hand experience of planning, funding and delivering infrastructure.</w:t>
      </w:r>
    </w:p>
    <w:p>
      <w:pPr>
        <w:pStyle w:val="ListParagraph"/>
        <w:numPr>
          <w:ilvl w:val="0"/>
          <w:numId w:val="2"/>
        </w:numPr>
        <w:spacing w:after="80" w:line="324"/>
      </w:pPr>
      <w:r>
        <w:rPr>
          <w:rFonts w:ascii="Arial" w:cs="Arial" w:eastAsia="Arial" w:hAnsi="Arial"/>
          <w:b/>
          <w:bCs/>
          <w:color w:val="1A1A1A"/>
          <w:sz w:val="24"/>
          <w:szCs w:val="24"/>
        </w:rPr>
        <w:t xml:space="preserve">Propose a Special Guest Speaker: </w:t>
      </w:r>
      <w:r>
        <w:rPr>
          <w:rFonts w:ascii="Arial" w:cs="Arial" w:eastAsia="Arial" w:hAnsi="Arial"/>
          <w:color w:val="1A1A1A"/>
          <w:sz w:val="24"/>
          <w:szCs w:val="24"/>
        </w:rPr>
        <w:t xml:space="preserve">opens an email to info@aipis.knust.edu.gh with the subject “AIPIS 2027 Special Guest Speaker proposal”</w:t>
      </w:r>
    </w:p>
    <w:p>
      <w:pPr>
        <w:pStyle w:val="Heading2"/>
        <w:keepNext/>
        <w:spacing w:after="100" w:before="200"/>
      </w:pPr>
      <w:r>
        <w:rPr>
          <w:rFonts w:ascii="Arial" w:cs="Arial" w:eastAsia="Arial" w:hAnsi="Arial"/>
          <w:b/>
          <w:bCs/>
          <w:color w:val="1A5C2A"/>
          <w:sz w:val="25"/>
          <w:szCs w:val="25"/>
        </w:rPr>
        <w:t xml:space="preserve">Technical Keynote Presenters</w:t>
      </w:r>
    </w:p>
    <w:p>
      <w:pPr>
        <w:spacing w:after="140" w:line="324"/>
      </w:pPr>
      <w:r>
        <w:rPr>
          <w:rFonts w:ascii="Arial" w:cs="Arial" w:eastAsia="Arial" w:hAnsi="Arial"/>
          <w:color w:val="5F6B5F"/>
          <w:sz w:val="20"/>
          <w:szCs w:val="20"/>
        </w:rPr>
        <w:t xml:space="preserve">Menu: Call for Speakers &gt; Technical Keynote Presenters    Anchor: #technical</w:t>
      </w:r>
    </w:p>
    <w:p>
      <w:pPr>
        <w:spacing w:after="140" w:line="324"/>
      </w:pPr>
      <w:r>
        <w:rPr>
          <w:rFonts w:ascii="Arial" w:cs="Arial" w:eastAsia="Arial" w:hAnsi="Arial"/>
          <w:color w:val="1A1A1A"/>
          <w:sz w:val="24"/>
          <w:szCs w:val="24"/>
        </w:rPr>
        <w:t xml:space="preserve">Leading researchers and practitioners who present evidence and lessons on project delivery, assurance and forensics, energy, industrial policy and sustainability. Their presentations anchor the peer-reviewed research and practice stream and are published in the summit proceedings.</w:t>
      </w:r>
    </w:p>
    <w:p>
      <w:pPr>
        <w:pStyle w:val="ListParagraph"/>
        <w:numPr>
          <w:ilvl w:val="0"/>
          <w:numId w:val="2"/>
        </w:numPr>
        <w:spacing w:after="80" w:line="324"/>
      </w:pPr>
      <w:r>
        <w:rPr>
          <w:rFonts w:ascii="Arial" w:cs="Arial" w:eastAsia="Arial" w:hAnsi="Arial"/>
          <w:b/>
          <w:bCs/>
          <w:color w:val="1A1A1A"/>
          <w:sz w:val="24"/>
          <w:szCs w:val="24"/>
        </w:rPr>
        <w:t xml:space="preserve">Apply as a Technical Keynote Presenter: </w:t>
      </w:r>
      <w:r>
        <w:rPr>
          <w:rFonts w:ascii="Arial" w:cs="Arial" w:eastAsia="Arial" w:hAnsi="Arial"/>
          <w:color w:val="1A1A1A"/>
          <w:sz w:val="24"/>
          <w:szCs w:val="24"/>
        </w:rPr>
        <w:t xml:space="preserve">opens an email to info@aipis.knust.edu.gh with the subject “AIPIS 2027 Technical Keynote Presenter application”</w:t>
      </w:r>
    </w:p>
    <w:p>
      <w:pPr>
        <w:pStyle w:val="Heading2"/>
        <w:keepNext/>
        <w:spacing w:after="100" w:before="200"/>
      </w:pPr>
      <w:r>
        <w:rPr>
          <w:rFonts w:ascii="Arial" w:cs="Arial" w:eastAsia="Arial" w:hAnsi="Arial"/>
          <w:b/>
          <w:bCs/>
          <w:color w:val="1A5C2A"/>
          <w:sz w:val="25"/>
          <w:szCs w:val="25"/>
        </w:rPr>
        <w:t xml:space="preserve">Poster Presenters</w:t>
      </w:r>
    </w:p>
    <w:p>
      <w:pPr>
        <w:spacing w:after="140" w:line="324"/>
      </w:pPr>
      <w:r>
        <w:rPr>
          <w:rFonts w:ascii="Arial" w:cs="Arial" w:eastAsia="Arial" w:hAnsi="Arial"/>
          <w:color w:val="5F6B5F"/>
          <w:sz w:val="20"/>
          <w:szCs w:val="20"/>
        </w:rPr>
        <w:t xml:space="preserve">Menu: Call for Speakers &gt; Poster Presenters    Anchor: #posters</w:t>
      </w:r>
    </w:p>
    <w:p>
      <w:pPr>
        <w:spacing w:after="140" w:line="324"/>
      </w:pPr>
      <w:r>
        <w:rPr>
          <w:rFonts w:ascii="Arial" w:cs="Arial" w:eastAsia="Arial" w:hAnsi="Arial"/>
          <w:color w:val="1A1A1A"/>
          <w:sz w:val="24"/>
          <w:szCs w:val="24"/>
        </w:rPr>
        <w:t xml:space="preserve">Researchers, postgraduate students and young professionals who present research, case studies or project results in the poster exhibition. Posters are on display throughout the summit and give delegates a direct way to discuss new work with the authors.</w:t>
      </w:r>
    </w:p>
    <w:p>
      <w:pPr>
        <w:pStyle w:val="ListParagraph"/>
        <w:numPr>
          <w:ilvl w:val="0"/>
          <w:numId w:val="2"/>
        </w:numPr>
        <w:spacing w:after="80" w:line="324"/>
      </w:pPr>
      <w:r>
        <w:rPr>
          <w:rFonts w:ascii="Arial" w:cs="Arial" w:eastAsia="Arial" w:hAnsi="Arial"/>
          <w:b/>
          <w:bCs/>
          <w:color w:val="1A1A1A"/>
          <w:sz w:val="24"/>
          <w:szCs w:val="24"/>
        </w:rPr>
        <w:t xml:space="preserve">Submit a poster abstract: </w:t>
      </w:r>
      <w:r>
        <w:rPr>
          <w:rFonts w:ascii="Arial" w:cs="Arial" w:eastAsia="Arial" w:hAnsi="Arial"/>
          <w:color w:val="1A1A1A"/>
          <w:sz w:val="24"/>
          <w:szCs w:val="24"/>
        </w:rPr>
        <w:t xml:space="preserve">opens an email to info@aipis.knust.edu.gh with the subject “AIPIS 2027 poster abstract”</w:t>
      </w:r>
    </w:p>
    <w:p>
      <w:pPr>
        <w:pStyle w:val="Heading2"/>
        <w:keepNext/>
        <w:spacing w:after="100" w:before="200"/>
      </w:pPr>
      <w:r>
        <w:rPr>
          <w:rFonts w:ascii="Arial" w:cs="Arial" w:eastAsia="Arial" w:hAnsi="Arial"/>
          <w:b/>
          <w:bCs/>
          <w:color w:val="1A5C2A"/>
          <w:sz w:val="25"/>
          <w:szCs w:val="25"/>
        </w:rPr>
        <w:t xml:space="preserve">Exhibitors</w:t>
      </w:r>
    </w:p>
    <w:p>
      <w:pPr>
        <w:spacing w:after="140" w:line="324"/>
      </w:pPr>
      <w:r>
        <w:rPr>
          <w:rFonts w:ascii="Arial" w:cs="Arial" w:eastAsia="Arial" w:hAnsi="Arial"/>
          <w:color w:val="5F6B5F"/>
          <w:sz w:val="20"/>
          <w:szCs w:val="20"/>
        </w:rPr>
        <w:t xml:space="preserve">Menu: Call for Speakers &gt; Exhibitors    Anchor: #exhibitors</w:t>
      </w:r>
    </w:p>
    <w:p>
      <w:pPr>
        <w:spacing w:after="140" w:line="324"/>
      </w:pPr>
      <w:r>
        <w:rPr>
          <w:rFonts w:ascii="Arial" w:cs="Arial" w:eastAsia="Arial" w:hAnsi="Arial"/>
          <w:color w:val="1A1A1A"/>
          <w:sz w:val="24"/>
          <w:szCs w:val="24"/>
        </w:rPr>
        <w:t xml:space="preserve">Contractors, manufacturers, consultants, public agencies, universities and technology providers who show their products, services and projects in the exhibition area. An exhibition booth of 6 sq m costs USD 5,000 and includes 2 delegate passes and a listing in the exhibitor directory. Thirty booths are available.</w:t>
      </w:r>
    </w:p>
    <w:p>
      <w:pPr>
        <w:pStyle w:val="ListParagraph"/>
        <w:numPr>
          <w:ilvl w:val="0"/>
          <w:numId w:val="2"/>
        </w:numPr>
        <w:spacing w:after="80" w:line="324"/>
      </w:pPr>
      <w:r>
        <w:rPr>
          <w:rFonts w:ascii="Arial" w:cs="Arial" w:eastAsia="Arial" w:hAnsi="Arial"/>
          <w:b/>
          <w:bCs/>
          <w:color w:val="1A1A1A"/>
          <w:sz w:val="24"/>
          <w:szCs w:val="24"/>
        </w:rPr>
        <w:t xml:space="preserve">Book an exhibition booth: </w:t>
      </w:r>
      <w:r>
        <w:rPr>
          <w:rFonts w:ascii="Arial" w:cs="Arial" w:eastAsia="Arial" w:hAnsi="Arial"/>
          <w:color w:val="1A1A1A"/>
          <w:sz w:val="24"/>
          <w:szCs w:val="24"/>
        </w:rPr>
        <w:t xml:space="preserve">opens an email to info@aipis.knust.edu.gh with the subject “AIPIS 2027 exhibition booking”</w:t>
      </w:r>
    </w:p>
    <w:p>
      <w:pPr>
        <w:pStyle w:val="Heading1"/>
        <w:pageBreakBefore/>
        <w:pBdr>
          <w:bottom w:val="single" w:color="C47B0B" w:sz="6" w:space="4"/>
        </w:pBdr>
        <w:spacing w:after="160"/>
      </w:pPr>
      <w:r>
        <w:rPr>
          <w:rFonts w:ascii="Arial" w:cs="Arial" w:eastAsia="Arial" w:hAnsi="Arial"/>
          <w:b/>
          <w:bCs/>
          <w:color w:val="1A5C2A"/>
          <w:sz w:val="30"/>
          <w:szCs w:val="30"/>
        </w:rPr>
        <w:t xml:space="preserve">7. Linked to the Sustainable Development Goals</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SDGs</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#sdgs</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Linked to the Sustainable Development Goals</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AIPIS is built around SDG 9 (Industry, Innovation and Infrastructure) and contributes to SDGs 1, 6, 7, 8, 11, 12, 13, 16 and 17. Every session, output and commitment is linked to SDG targets. The 2030 edition in Kumasi will review progress in the SDG target year.</w:t>
      </w:r>
    </w:p>
    <w:p>
      <w:pPr>
        <w:keepNext/>
        <w:spacing w:after="60" w:before="160"/>
      </w:pPr>
      <w:r>
        <w:rPr>
          <w:rFonts w:ascii="Arial" w:cs="Arial" w:eastAsia="Arial" w:hAnsi="Arial"/>
          <w:b/>
          <w:bCs/>
          <w:color w:val="C47B0B"/>
          <w:sz w:val="18"/>
          <w:szCs w:val="18"/>
        </w:rPr>
        <w:t xml:space="preserve">SDG TILES</w:t>
      </w:r>
    </w:p>
    <w:p>
      <w:pPr>
        <w:pStyle w:val="ListParagraph"/>
        <w:numPr>
          <w:ilvl w:val="0"/>
          <w:numId w:val="2"/>
        </w:numPr>
        <w:spacing w:after="80" w:line="324"/>
      </w:pPr>
      <w:r>
        <w:rPr>
          <w:rFonts w:ascii="Arial" w:cs="Arial" w:eastAsia="Arial" w:hAnsi="Arial"/>
          <w:color w:val="1A1A1A"/>
          <w:sz w:val="24"/>
          <w:szCs w:val="24"/>
        </w:rPr>
        <w:t xml:space="preserve">SDG 9 Industry, Innovation and Infrastructure</w:t>
      </w:r>
    </w:p>
    <w:p>
      <w:pPr>
        <w:pStyle w:val="ListParagraph"/>
        <w:numPr>
          <w:ilvl w:val="0"/>
          <w:numId w:val="2"/>
        </w:numPr>
        <w:spacing w:after="80" w:line="324"/>
      </w:pPr>
      <w:r>
        <w:rPr>
          <w:rFonts w:ascii="Arial" w:cs="Arial" w:eastAsia="Arial" w:hAnsi="Arial"/>
          <w:color w:val="1A1A1A"/>
          <w:sz w:val="24"/>
          <w:szCs w:val="24"/>
        </w:rPr>
        <w:t xml:space="preserve">SDG 1 No Poverty</w:t>
      </w:r>
    </w:p>
    <w:p>
      <w:pPr>
        <w:pStyle w:val="ListParagraph"/>
        <w:numPr>
          <w:ilvl w:val="0"/>
          <w:numId w:val="2"/>
        </w:numPr>
        <w:spacing w:after="80" w:line="324"/>
      </w:pPr>
      <w:r>
        <w:rPr>
          <w:rFonts w:ascii="Arial" w:cs="Arial" w:eastAsia="Arial" w:hAnsi="Arial"/>
          <w:color w:val="1A1A1A"/>
          <w:sz w:val="24"/>
          <w:szCs w:val="24"/>
        </w:rPr>
        <w:t xml:space="preserve">SDG 6 Clean Water and Sanitation</w:t>
      </w:r>
    </w:p>
    <w:p>
      <w:pPr>
        <w:pStyle w:val="ListParagraph"/>
        <w:numPr>
          <w:ilvl w:val="0"/>
          <w:numId w:val="2"/>
        </w:numPr>
        <w:spacing w:after="80" w:line="324"/>
      </w:pPr>
      <w:r>
        <w:rPr>
          <w:rFonts w:ascii="Arial" w:cs="Arial" w:eastAsia="Arial" w:hAnsi="Arial"/>
          <w:color w:val="1A1A1A"/>
          <w:sz w:val="24"/>
          <w:szCs w:val="24"/>
        </w:rPr>
        <w:t xml:space="preserve">SDG 7 Affordable and Clean Energy</w:t>
      </w:r>
    </w:p>
    <w:p>
      <w:pPr>
        <w:pStyle w:val="ListParagraph"/>
        <w:numPr>
          <w:ilvl w:val="0"/>
          <w:numId w:val="2"/>
        </w:numPr>
        <w:spacing w:after="80" w:line="324"/>
      </w:pPr>
      <w:r>
        <w:rPr>
          <w:rFonts w:ascii="Arial" w:cs="Arial" w:eastAsia="Arial" w:hAnsi="Arial"/>
          <w:color w:val="1A1A1A"/>
          <w:sz w:val="24"/>
          <w:szCs w:val="24"/>
        </w:rPr>
        <w:t xml:space="preserve">SDG 8 Decent Work and Economic Growth</w:t>
      </w:r>
    </w:p>
    <w:p>
      <w:pPr>
        <w:pStyle w:val="ListParagraph"/>
        <w:numPr>
          <w:ilvl w:val="0"/>
          <w:numId w:val="2"/>
        </w:numPr>
        <w:spacing w:after="80" w:line="324"/>
      </w:pPr>
      <w:r>
        <w:rPr>
          <w:rFonts w:ascii="Arial" w:cs="Arial" w:eastAsia="Arial" w:hAnsi="Arial"/>
          <w:color w:val="1A1A1A"/>
          <w:sz w:val="24"/>
          <w:szCs w:val="24"/>
        </w:rPr>
        <w:t xml:space="preserve">SDG 11 Sustainable Cities and Communities</w:t>
      </w:r>
    </w:p>
    <w:p>
      <w:pPr>
        <w:pStyle w:val="ListParagraph"/>
        <w:numPr>
          <w:ilvl w:val="0"/>
          <w:numId w:val="2"/>
        </w:numPr>
        <w:spacing w:after="80" w:line="324"/>
      </w:pPr>
      <w:r>
        <w:rPr>
          <w:rFonts w:ascii="Arial" w:cs="Arial" w:eastAsia="Arial" w:hAnsi="Arial"/>
          <w:color w:val="1A1A1A"/>
          <w:sz w:val="24"/>
          <w:szCs w:val="24"/>
        </w:rPr>
        <w:t xml:space="preserve">SDG 12 Responsible Consumption and Production</w:t>
      </w:r>
    </w:p>
    <w:p>
      <w:pPr>
        <w:pStyle w:val="ListParagraph"/>
        <w:numPr>
          <w:ilvl w:val="0"/>
          <w:numId w:val="2"/>
        </w:numPr>
        <w:spacing w:after="80" w:line="324"/>
      </w:pPr>
      <w:r>
        <w:rPr>
          <w:rFonts w:ascii="Arial" w:cs="Arial" w:eastAsia="Arial" w:hAnsi="Arial"/>
          <w:color w:val="1A1A1A"/>
          <w:sz w:val="24"/>
          <w:szCs w:val="24"/>
        </w:rPr>
        <w:t xml:space="preserve">SDG 13 Climate Action</w:t>
      </w:r>
    </w:p>
    <w:p>
      <w:pPr>
        <w:pStyle w:val="ListParagraph"/>
        <w:numPr>
          <w:ilvl w:val="0"/>
          <w:numId w:val="2"/>
        </w:numPr>
        <w:spacing w:after="80" w:line="324"/>
      </w:pPr>
      <w:r>
        <w:rPr>
          <w:rFonts w:ascii="Arial" w:cs="Arial" w:eastAsia="Arial" w:hAnsi="Arial"/>
          <w:color w:val="1A1A1A"/>
          <w:sz w:val="24"/>
          <w:szCs w:val="24"/>
        </w:rPr>
        <w:t xml:space="preserve">SDG 16 Peace, Justice and Strong Institutions</w:t>
      </w:r>
    </w:p>
    <w:p>
      <w:pPr>
        <w:pStyle w:val="ListParagraph"/>
        <w:numPr>
          <w:ilvl w:val="0"/>
          <w:numId w:val="2"/>
        </w:numPr>
        <w:spacing w:after="80" w:line="324"/>
      </w:pPr>
      <w:r>
        <w:rPr>
          <w:rFonts w:ascii="Arial" w:cs="Arial" w:eastAsia="Arial" w:hAnsi="Arial"/>
          <w:color w:val="1A1A1A"/>
          <w:sz w:val="24"/>
          <w:szCs w:val="24"/>
        </w:rPr>
        <w:t xml:space="preserve">SDG 17 Partnerships for the Goals</w:t>
      </w:r>
    </w:p>
    <w:p>
      <w:pPr>
        <w:pStyle w:val="Heading1"/>
        <w:pageBreakBefore/>
        <w:pBdr>
          <w:bottom w:val="single" w:color="C47B0B" w:sz="6" w:space="4"/>
        </w:pBdr>
        <w:spacing w:after="160"/>
      </w:pPr>
      <w:r>
        <w:rPr>
          <w:rFonts w:ascii="Arial" w:cs="Arial" w:eastAsia="Arial" w:hAnsi="Arial"/>
          <w:b/>
          <w:bCs/>
          <w:color w:val="1A5C2A"/>
          <w:sz w:val="30"/>
          <w:szCs w:val="30"/>
        </w:rPr>
        <w:t xml:space="preserve">8. Who will be in the room</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Who attends</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#participants</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Who will be in the room</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AIPIS brings together the people who finance, build, operate and audit infrastructure, and the communities it serves.</w:t>
      </w:r>
    </w:p>
    <w:p>
      <w:pPr>
        <w:keepNext/>
        <w:spacing w:after="60" w:before="160"/>
      </w:pPr>
      <w:r>
        <w:rPr>
          <w:rFonts w:ascii="Arial" w:cs="Arial" w:eastAsia="Arial" w:hAnsi="Arial"/>
          <w:b/>
          <w:bCs/>
          <w:color w:val="C47B0B"/>
          <w:sz w:val="18"/>
          <w:szCs w:val="18"/>
        </w:rPr>
        <w:t xml:space="preserve">ITEMS</w:t>
      </w:r>
    </w:p>
    <w:p>
      <w:pPr>
        <w:pStyle w:val="ListParagraph"/>
        <w:numPr>
          <w:ilvl w:val="0"/>
          <w:numId w:val="2"/>
        </w:numPr>
        <w:spacing w:after="80" w:line="324"/>
      </w:pPr>
      <w:r>
        <w:rPr>
          <w:rFonts w:ascii="Arial" w:cs="Arial" w:eastAsia="Arial" w:hAnsi="Arial"/>
          <w:b/>
          <w:bCs/>
          <w:color w:val="1A1A1A"/>
          <w:sz w:val="24"/>
          <w:szCs w:val="24"/>
        </w:rPr>
        <w:t xml:space="preserve">Governments and public agencies: </w:t>
      </w:r>
      <w:r>
        <w:rPr>
          <w:rFonts w:ascii="Arial" w:cs="Arial" w:eastAsia="Arial" w:hAnsi="Arial"/>
          <w:color w:val="1A1A1A"/>
          <w:sz w:val="24"/>
          <w:szCs w:val="24"/>
        </w:rPr>
        <w:t xml:space="preserve">Ministers and officials responsible for roads, energy, works and housing, trade and industry, finance and project delivery.</w:t>
      </w:r>
    </w:p>
    <w:p>
      <w:pPr>
        <w:pStyle w:val="ListParagraph"/>
        <w:numPr>
          <w:ilvl w:val="0"/>
          <w:numId w:val="2"/>
        </w:numPr>
        <w:spacing w:after="80" w:line="324"/>
      </w:pPr>
      <w:r>
        <w:rPr>
          <w:rFonts w:ascii="Arial" w:cs="Arial" w:eastAsia="Arial" w:hAnsi="Arial"/>
          <w:b/>
          <w:bCs/>
          <w:color w:val="1A1A1A"/>
          <w:sz w:val="24"/>
          <w:szCs w:val="24"/>
        </w:rPr>
        <w:t xml:space="preserve">Financiers: </w:t>
      </w:r>
      <w:r>
        <w:rPr>
          <w:rFonts w:ascii="Arial" w:cs="Arial" w:eastAsia="Arial" w:hAnsi="Arial"/>
          <w:color w:val="1A1A1A"/>
          <w:sz w:val="24"/>
          <w:szCs w:val="24"/>
        </w:rPr>
        <w:t xml:space="preserve">Development finance institutions, commercial banks, pension and insurance funds, sovereign wealth funds and infrastructure fund managers.</w:t>
      </w:r>
    </w:p>
    <w:p>
      <w:pPr>
        <w:pStyle w:val="ListParagraph"/>
        <w:numPr>
          <w:ilvl w:val="0"/>
          <w:numId w:val="2"/>
        </w:numPr>
        <w:spacing w:after="80" w:line="324"/>
      </w:pPr>
      <w:r>
        <w:rPr>
          <w:rFonts w:ascii="Arial" w:cs="Arial" w:eastAsia="Arial" w:hAnsi="Arial"/>
          <w:b/>
          <w:bCs/>
          <w:color w:val="1A1A1A"/>
          <w:sz w:val="24"/>
          <w:szCs w:val="24"/>
        </w:rPr>
        <w:t xml:space="preserve">Contractors and consultants: </w:t>
      </w:r>
      <w:r>
        <w:rPr>
          <w:rFonts w:ascii="Arial" w:cs="Arial" w:eastAsia="Arial" w:hAnsi="Arial"/>
          <w:color w:val="1A1A1A"/>
          <w:sz w:val="24"/>
          <w:szCs w:val="24"/>
        </w:rPr>
        <w:t xml:space="preserve">Construction firms, engineers, quantity surveyors, project managers and cost consultants.</w:t>
      </w:r>
    </w:p>
    <w:p>
      <w:pPr>
        <w:pStyle w:val="ListParagraph"/>
        <w:numPr>
          <w:ilvl w:val="0"/>
          <w:numId w:val="2"/>
        </w:numPr>
        <w:spacing w:after="80" w:line="324"/>
      </w:pPr>
      <w:r>
        <w:rPr>
          <w:rFonts w:ascii="Arial" w:cs="Arial" w:eastAsia="Arial" w:hAnsi="Arial"/>
          <w:b/>
          <w:bCs/>
          <w:color w:val="1A1A1A"/>
          <w:sz w:val="24"/>
          <w:szCs w:val="24"/>
        </w:rPr>
        <w:t xml:space="preserve">Industry: </w:t>
      </w:r>
      <w:r>
        <w:rPr>
          <w:rFonts w:ascii="Arial" w:cs="Arial" w:eastAsia="Arial" w:hAnsi="Arial"/>
          <w:color w:val="1A1A1A"/>
          <w:sz w:val="24"/>
          <w:szCs w:val="24"/>
        </w:rPr>
        <w:t xml:space="preserve">Manufacturers, building materials producers, industrial park operators and chambers of commerce.</w:t>
      </w:r>
    </w:p>
    <w:p>
      <w:pPr>
        <w:pStyle w:val="ListParagraph"/>
        <w:numPr>
          <w:ilvl w:val="0"/>
          <w:numId w:val="2"/>
        </w:numPr>
        <w:spacing w:after="80" w:line="324"/>
      </w:pPr>
      <w:r>
        <w:rPr>
          <w:rFonts w:ascii="Arial" w:cs="Arial" w:eastAsia="Arial" w:hAnsi="Arial"/>
          <w:b/>
          <w:bCs/>
          <w:color w:val="1A1A1A"/>
          <w:sz w:val="24"/>
          <w:szCs w:val="24"/>
        </w:rPr>
        <w:t xml:space="preserve">Assurance and oversight bodies: </w:t>
      </w:r>
      <w:r>
        <w:rPr>
          <w:rFonts w:ascii="Arial" w:cs="Arial" w:eastAsia="Arial" w:hAnsi="Arial"/>
          <w:color w:val="1A1A1A"/>
          <w:sz w:val="24"/>
          <w:szCs w:val="24"/>
        </w:rPr>
        <w:t xml:space="preserve">Auditors, forensic specialists, procurement authorities, regulators and anti-corruption agencies.</w:t>
      </w:r>
    </w:p>
    <w:p>
      <w:pPr>
        <w:pStyle w:val="ListParagraph"/>
        <w:numPr>
          <w:ilvl w:val="0"/>
          <w:numId w:val="2"/>
        </w:numPr>
        <w:spacing w:after="80" w:line="324"/>
      </w:pPr>
      <w:r>
        <w:rPr>
          <w:rFonts w:ascii="Arial" w:cs="Arial" w:eastAsia="Arial" w:hAnsi="Arial"/>
          <w:b/>
          <w:bCs/>
          <w:color w:val="1A1A1A"/>
          <w:sz w:val="24"/>
          <w:szCs w:val="24"/>
        </w:rPr>
        <w:t xml:space="preserve">Traditional authorities and communities: </w:t>
      </w:r>
      <w:r>
        <w:rPr>
          <w:rFonts w:ascii="Arial" w:cs="Arial" w:eastAsia="Arial" w:hAnsi="Arial"/>
          <w:color w:val="1A1A1A"/>
          <w:sz w:val="24"/>
          <w:szCs w:val="24"/>
        </w:rPr>
        <w:t xml:space="preserve">Chiefs, customary land secretariats and civil society groups.</w:t>
      </w:r>
    </w:p>
    <w:p>
      <w:pPr>
        <w:pStyle w:val="ListParagraph"/>
        <w:numPr>
          <w:ilvl w:val="0"/>
          <w:numId w:val="2"/>
        </w:numPr>
        <w:spacing w:after="80" w:line="324"/>
      </w:pPr>
      <w:r>
        <w:rPr>
          <w:rFonts w:ascii="Arial" w:cs="Arial" w:eastAsia="Arial" w:hAnsi="Arial"/>
          <w:b/>
          <w:bCs/>
          <w:color w:val="1A1A1A"/>
          <w:sz w:val="24"/>
          <w:szCs w:val="24"/>
        </w:rPr>
        <w:t xml:space="preserve">Universities and young professionals: </w:t>
      </w:r>
      <w:r>
        <w:rPr>
          <w:rFonts w:ascii="Arial" w:cs="Arial" w:eastAsia="Arial" w:hAnsi="Arial"/>
          <w:color w:val="1A1A1A"/>
          <w:sz w:val="24"/>
          <w:szCs w:val="24"/>
        </w:rPr>
        <w:t xml:space="preserve">Researchers, postgraduate students and early-career practitioners from across Africa.</w:t>
      </w:r>
    </w:p>
    <w:p>
      <w:pPr>
        <w:pStyle w:val="Heading1"/>
        <w:pageBreakBefore/>
        <w:pBdr>
          <w:bottom w:val="single" w:color="C47B0B" w:sz="6" w:space="4"/>
        </w:pBdr>
        <w:spacing w:after="160"/>
      </w:pPr>
      <w:r>
        <w:rPr>
          <w:rFonts w:ascii="Arial" w:cs="Arial" w:eastAsia="Arial" w:hAnsi="Arial"/>
          <w:b/>
          <w:bCs/>
          <w:color w:val="1A5C2A"/>
          <w:sz w:val="30"/>
          <w:szCs w:val="30"/>
        </w:rPr>
        <w:t xml:space="preserve">9. Convenors and founding partners</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Partners</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#partners</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Convenors and founding partners</w:t>
      </w:r>
    </w:p>
    <w:p>
      <w:pPr>
        <w:pStyle w:val="Heading2"/>
        <w:keepNext/>
        <w:spacing w:after="100" w:before="200"/>
      </w:pPr>
      <w:r>
        <w:rPr>
          <w:rFonts w:ascii="Arial" w:cs="Arial" w:eastAsia="Arial" w:hAnsi="Arial"/>
          <w:b/>
          <w:bCs/>
          <w:color w:val="1A5C2A"/>
          <w:sz w:val="25"/>
          <w:szCs w:val="25"/>
        </w:rPr>
        <w:t xml:space="preserve">Convenors</w:t>
      </w:r>
    </w:p>
    <w:p>
      <w:pPr>
        <w:pStyle w:val="ListParagraph"/>
        <w:numPr>
          <w:ilvl w:val="0"/>
          <w:numId w:val="2"/>
        </w:numPr>
        <w:spacing w:after="80" w:line="324"/>
      </w:pPr>
      <w:r>
        <w:rPr>
          <w:rFonts w:ascii="Arial" w:cs="Arial" w:eastAsia="Arial" w:hAnsi="Arial"/>
          <w:color w:val="1A1A1A"/>
          <w:sz w:val="24"/>
          <w:szCs w:val="24"/>
        </w:rPr>
        <w:t xml:space="preserve">College of Art and Built Environment and Department of Construction Technology and Management, Kwame Nkrumah University of Science and Technology (KNUST)</w:t>
      </w:r>
    </w:p>
    <w:p>
      <w:pPr>
        <w:pStyle w:val="ListParagraph"/>
        <w:numPr>
          <w:ilvl w:val="0"/>
          <w:numId w:val="2"/>
        </w:numPr>
        <w:spacing w:after="80" w:line="324"/>
      </w:pPr>
      <w:r>
        <w:rPr>
          <w:rFonts w:ascii="Arial" w:cs="Arial" w:eastAsia="Arial" w:hAnsi="Arial"/>
          <w:color w:val="1A1A1A"/>
          <w:sz w:val="24"/>
          <w:szCs w:val="24"/>
        </w:rPr>
        <w:t xml:space="preserve">African Institute of Project Assurance and Forensics (AIPAF)</w:t>
      </w:r>
    </w:p>
    <w:p>
      <w:pPr>
        <w:pStyle w:val="ListParagraph"/>
        <w:numPr>
          <w:ilvl w:val="0"/>
          <w:numId w:val="2"/>
        </w:numPr>
        <w:spacing w:after="80" w:line="324"/>
      </w:pPr>
      <w:r>
        <w:rPr>
          <w:rFonts w:ascii="Arial" w:cs="Arial" w:eastAsia="Arial" w:hAnsi="Arial"/>
          <w:color w:val="1A1A1A"/>
          <w:sz w:val="24"/>
          <w:szCs w:val="24"/>
        </w:rPr>
        <w:t xml:space="preserve">Green Communities International (GCI)</w:t>
      </w:r>
    </w:p>
    <w:p>
      <w:pPr>
        <w:pStyle w:val="Heading2"/>
        <w:keepNext/>
        <w:spacing w:after="100" w:before="200"/>
      </w:pPr>
      <w:r>
        <w:rPr>
          <w:rFonts w:ascii="Arial" w:cs="Arial" w:eastAsia="Arial" w:hAnsi="Arial"/>
          <w:b/>
          <w:bCs/>
          <w:color w:val="1A5C2A"/>
          <w:sz w:val="25"/>
          <w:szCs w:val="25"/>
        </w:rPr>
        <w:t xml:space="preserve">Founding Government Partners</w:t>
      </w:r>
    </w:p>
    <w:p>
      <w:pPr>
        <w:pStyle w:val="ListParagraph"/>
        <w:numPr>
          <w:ilvl w:val="0"/>
          <w:numId w:val="2"/>
        </w:numPr>
        <w:spacing w:after="80" w:line="324"/>
      </w:pPr>
      <w:r>
        <w:rPr>
          <w:rFonts w:ascii="Arial" w:cs="Arial" w:eastAsia="Arial" w:hAnsi="Arial"/>
          <w:color w:val="1A1A1A"/>
          <w:sz w:val="24"/>
          <w:szCs w:val="24"/>
        </w:rPr>
        <w:t xml:space="preserve">Ministry of Finance</w:t>
      </w:r>
    </w:p>
    <w:p>
      <w:pPr>
        <w:pStyle w:val="ListParagraph"/>
        <w:numPr>
          <w:ilvl w:val="0"/>
          <w:numId w:val="2"/>
        </w:numPr>
        <w:spacing w:after="80" w:line="324"/>
      </w:pPr>
      <w:r>
        <w:rPr>
          <w:rFonts w:ascii="Arial" w:cs="Arial" w:eastAsia="Arial" w:hAnsi="Arial"/>
          <w:color w:val="1A1A1A"/>
          <w:sz w:val="24"/>
          <w:szCs w:val="24"/>
        </w:rPr>
        <w:t xml:space="preserve">Ministry of Works and Housing</w:t>
      </w:r>
    </w:p>
    <w:p>
      <w:pPr>
        <w:pStyle w:val="ListParagraph"/>
        <w:numPr>
          <w:ilvl w:val="0"/>
          <w:numId w:val="2"/>
        </w:numPr>
        <w:spacing w:after="80" w:line="324"/>
      </w:pPr>
      <w:r>
        <w:rPr>
          <w:rFonts w:ascii="Arial" w:cs="Arial" w:eastAsia="Arial" w:hAnsi="Arial"/>
          <w:color w:val="1A1A1A"/>
          <w:sz w:val="24"/>
          <w:szCs w:val="24"/>
        </w:rPr>
        <w:t xml:space="preserve">Ministry of Trade, Agribusiness and Industry</w:t>
      </w:r>
    </w:p>
    <w:p>
      <w:pPr>
        <w:pStyle w:val="ListParagraph"/>
        <w:numPr>
          <w:ilvl w:val="0"/>
          <w:numId w:val="2"/>
        </w:numPr>
        <w:spacing w:after="80" w:line="324"/>
      </w:pPr>
      <w:r>
        <w:rPr>
          <w:rFonts w:ascii="Arial" w:cs="Arial" w:eastAsia="Arial" w:hAnsi="Arial"/>
          <w:color w:val="1A1A1A"/>
          <w:sz w:val="24"/>
          <w:szCs w:val="24"/>
        </w:rPr>
        <w:t xml:space="preserve">Ministry of Energy and Green Transition</w:t>
      </w:r>
    </w:p>
    <w:p>
      <w:pPr>
        <w:pStyle w:val="ListParagraph"/>
        <w:numPr>
          <w:ilvl w:val="0"/>
          <w:numId w:val="2"/>
        </w:numPr>
        <w:spacing w:after="80" w:line="324"/>
      </w:pPr>
      <w:r>
        <w:rPr>
          <w:rFonts w:ascii="Arial" w:cs="Arial" w:eastAsia="Arial" w:hAnsi="Arial"/>
          <w:color w:val="1A1A1A"/>
          <w:sz w:val="24"/>
          <w:szCs w:val="24"/>
        </w:rPr>
        <w:t xml:space="preserve">24-Hour Economy and Accelerated Export Development Secretariat</w:t>
      </w:r>
    </w:p>
    <w:p>
      <w:pPr>
        <w:pStyle w:val="Heading2"/>
        <w:keepNext/>
        <w:spacing w:after="100" w:before="200"/>
      </w:pPr>
      <w:r>
        <w:rPr>
          <w:rFonts w:ascii="Arial" w:cs="Arial" w:eastAsia="Arial" w:hAnsi="Arial"/>
          <w:b/>
          <w:bCs/>
          <w:color w:val="1A5C2A"/>
          <w:sz w:val="25"/>
          <w:szCs w:val="25"/>
        </w:rPr>
        <w:t xml:space="preserve">Founding Industry Partner</w:t>
      </w:r>
    </w:p>
    <w:p>
      <w:pPr>
        <w:pStyle w:val="ListParagraph"/>
        <w:numPr>
          <w:ilvl w:val="0"/>
          <w:numId w:val="2"/>
        </w:numPr>
        <w:spacing w:after="80" w:line="324"/>
      </w:pPr>
      <w:r>
        <w:rPr>
          <w:rFonts w:ascii="Arial" w:cs="Arial" w:eastAsia="Arial" w:hAnsi="Arial"/>
          <w:color w:val="1A1A1A"/>
          <w:sz w:val="24"/>
          <w:szCs w:val="24"/>
        </w:rPr>
        <w:t xml:space="preserve">Top Business Brokers Consult Limited</w:t>
      </w:r>
    </w:p>
    <w:p>
      <w:pPr>
        <w:pStyle w:val="Heading1"/>
        <w:pageBreakBefore/>
        <w:pBdr>
          <w:bottom w:val="single" w:color="C47B0B" w:sz="6" w:space="4"/>
        </w:pBdr>
        <w:spacing w:after="160"/>
      </w:pPr>
      <w:r>
        <w:rPr>
          <w:rFonts w:ascii="Arial" w:cs="Arial" w:eastAsia="Arial" w:hAnsi="Arial"/>
          <w:b/>
          <w:bCs/>
          <w:color w:val="1A5C2A"/>
          <w:sz w:val="30"/>
          <w:szCs w:val="30"/>
        </w:rPr>
        <w:t xml:space="preserve">10. Partner with AIPIS</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Partner with us</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#partner</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Partner with AIPIS</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Partners are recognised at the summit and in its published outputs, which remain in use after each edition. Fees are in US dollars and payable in Ghana cedis at the Bank of Ghana rate on the date of payment. Founding Partners hold first right of renewal for the 2028 to 2031 editions.</w:t>
      </w:r>
    </w:p>
    <w:p>
      <w:pPr>
        <w:keepNext/>
        <w:spacing w:after="60" w:before="160"/>
      </w:pPr>
      <w:r>
        <w:rPr>
          <w:rFonts w:ascii="Arial" w:cs="Arial" w:eastAsia="Arial" w:hAnsi="Arial"/>
          <w:b/>
          <w:bCs/>
          <w:color w:val="C47B0B"/>
          <w:sz w:val="18"/>
          <w:szCs w:val="18"/>
        </w:rPr>
        <w:t xml:space="preserv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800"/>
        <w:gridCol w:w="4726"/>
      </w:tblGrid>
      <w:tr>
        <w:trPr>
          <w:tblHeader/>
        </w:trPr>
        <w:tc>
          <w:tcPr>
            <w:tcW w:type="dxa" w:w="22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Package</w:t>
            </w:r>
          </w:p>
        </w:tc>
        <w:tc>
          <w:tcPr>
            <w:tcW w:type="dxa" w:w="13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Fee (USD)</w:t>
            </w:r>
          </w:p>
        </w:tc>
        <w:tc>
          <w:tcPr>
            <w:tcW w:type="dxa" w:w="8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Slots</w:t>
            </w:r>
          </w:p>
        </w:tc>
        <w:tc>
          <w:tcPr>
            <w:tcW w:type="dxa" w:w="4726"/>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Main benefits</w:t>
            </w:r>
          </w:p>
        </w:tc>
      </w:tr>
      <w:tr>
        <w:trPr>
          <w:cantSplit/>
        </w:trPr>
        <w:tc>
          <w:tcPr>
            <w:tcW w:type="dxa" w:w="22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Founding Partner</w:t>
            </w:r>
          </w:p>
        </w:tc>
        <w:tc>
          <w:tcPr>
            <w:tcW w:type="dxa" w:w="13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150,000</w:t>
            </w:r>
          </w:p>
        </w:tc>
        <w:tc>
          <w:tcPr>
            <w:tcW w:type="dxa" w:w="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3</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Recognition on all materials and report covers; opening keynote; International Advisory Board seat; roundtable with the Founding Government Partners; 10 VIP passes; 36 sq m exhibition space</w:t>
            </w:r>
          </w:p>
        </w:tc>
      </w:tr>
      <w:tr>
        <w:trPr>
          <w:cantSplit/>
        </w:trPr>
        <w:tc>
          <w:tcPr>
            <w:tcW w:type="dxa" w:w="22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Prosperity Index Partner</w:t>
            </w:r>
          </w:p>
        </w:tc>
        <w:tc>
          <w:tcPr>
            <w:tcW w:type="dxa" w:w="13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100,000</w:t>
            </w:r>
          </w:p>
        </w:tc>
        <w:tc>
          <w:tcPr>
            <w:tcW w:type="dxa" w:w="8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w:t>
            </w:r>
          </w:p>
        </w:tc>
        <w:tc>
          <w:tcPr>
            <w:tcW w:type="dxa" w:w="47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Sole sponsor credit on the Prosperity Index; speaking role at its launch; Index Technical Reference Group seat; 8 VIP passes; 18 sq m exhibition space</w:t>
            </w:r>
          </w:p>
        </w:tc>
      </w:tr>
      <w:tr>
        <w:trPr>
          <w:cantSplit/>
        </w:trPr>
        <w:tc>
          <w:tcPr>
            <w:tcW w:type="dxa" w:w="22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Strategic Partner</w:t>
            </w:r>
          </w:p>
        </w:tc>
        <w:tc>
          <w:tcPr>
            <w:tcW w:type="dxa" w:w="13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60,000</w:t>
            </w:r>
          </w:p>
        </w:tc>
        <w:tc>
          <w:tcPr>
            <w:tcW w:type="dxa" w:w="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4</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Naming of one main session; panel speaking slot; logo on stage and materials; 6 passes; 18 sq m exhibition space</w:t>
            </w:r>
          </w:p>
        </w:tc>
      </w:tr>
      <w:tr>
        <w:trPr>
          <w:cantSplit/>
        </w:trPr>
        <w:tc>
          <w:tcPr>
            <w:tcW w:type="dxa" w:w="22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Knowledge Partner</w:t>
            </w:r>
          </w:p>
        </w:tc>
        <w:tc>
          <w:tcPr>
            <w:tcW w:type="dxa" w:w="13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35,000 or in kind</w:t>
            </w:r>
          </w:p>
        </w:tc>
        <w:tc>
          <w:tcPr>
            <w:tcW w:type="dxa" w:w="8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4</w:t>
            </w:r>
          </w:p>
        </w:tc>
        <w:tc>
          <w:tcPr>
            <w:tcW w:type="dxa" w:w="47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Co-author credit on a summit report; one research session; Scientific Committee seat; 4 passes</w:t>
            </w:r>
          </w:p>
        </w:tc>
      </w:tr>
      <w:tr>
        <w:trPr>
          <w:cantSplit/>
        </w:trPr>
        <w:tc>
          <w:tcPr>
            <w:tcW w:type="dxa" w:w="22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Industry Partner</w:t>
            </w:r>
          </w:p>
        </w:tc>
        <w:tc>
          <w:tcPr>
            <w:tcW w:type="dxa" w:w="13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25,000</w:t>
            </w:r>
          </w:p>
        </w:tc>
        <w:tc>
          <w:tcPr>
            <w:tcW w:type="dxa" w:w="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8</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Procurement Exchange priority with up to 15 buyer meetings; field day hosting option; 9 sq m exhibition space; 3 passes</w:t>
            </w:r>
          </w:p>
        </w:tc>
      </w:tr>
      <w:tr>
        <w:trPr>
          <w:cantSplit/>
        </w:trPr>
        <w:tc>
          <w:tcPr>
            <w:tcW w:type="dxa" w:w="22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Session Partner</w:t>
            </w:r>
          </w:p>
        </w:tc>
        <w:tc>
          <w:tcPr>
            <w:tcW w:type="dxa" w:w="13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15,000</w:t>
            </w:r>
          </w:p>
        </w:tc>
        <w:tc>
          <w:tcPr>
            <w:tcW w:type="dxa" w:w="8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10</w:t>
            </w:r>
          </w:p>
        </w:tc>
        <w:tc>
          <w:tcPr>
            <w:tcW w:type="dxa" w:w="47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Naming of one session, roundtable or award; one speaker or moderator role; 2 passes</w:t>
            </w:r>
          </w:p>
        </w:tc>
      </w:tr>
      <w:tr>
        <w:trPr>
          <w:cantSplit/>
        </w:trPr>
        <w:tc>
          <w:tcPr>
            <w:tcW w:type="dxa" w:w="22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Exhibitor</w:t>
            </w:r>
          </w:p>
        </w:tc>
        <w:tc>
          <w:tcPr>
            <w:tcW w:type="dxa" w:w="13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5,000</w:t>
            </w:r>
          </w:p>
        </w:tc>
        <w:tc>
          <w:tcPr>
            <w:tcW w:type="dxa" w:w="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30</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6 sq m booth; 2 passes; exhibitor directory listing</w:t>
            </w:r>
          </w:p>
        </w:tc>
      </w:tr>
    </w:tbl>
    <w:p>
      <w:pPr>
        <w:spacing w:after="100"/>
      </w:pPr>
    </w:p>
    <w:p>
      <w:pPr>
        <w:pStyle w:val="Heading2"/>
        <w:keepNext/>
        <w:spacing w:after="100" w:before="200"/>
      </w:pPr>
      <w:r>
        <w:rPr>
          <w:rFonts w:ascii="Arial" w:cs="Arial" w:eastAsia="Arial" w:hAnsi="Arial"/>
          <w:b/>
          <w:bCs/>
          <w:color w:val="1A5C2A"/>
          <w:sz w:val="25"/>
          <w:szCs w:val="25"/>
        </w:rPr>
        <w:t xml:space="preserve">Special packages</w:t>
      </w:r>
    </w:p>
    <w:p>
      <w:pPr>
        <w:keepNext/>
        <w:spacing w:after="60" w:before="160"/>
      </w:pPr>
      <w:r>
        <w:rPr>
          <w:rFonts w:ascii="Arial" w:cs="Arial" w:eastAsia="Arial" w:hAnsi="Arial"/>
          <w:b/>
          <w:bCs/>
          <w:color w:val="C47B0B"/>
          <w:sz w:val="18"/>
          <w:szCs w:val="18"/>
        </w:rPr>
        <w:t xml:space="preserv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800"/>
        <w:gridCol w:w="4726"/>
      </w:tblGrid>
      <w:tr>
        <w:trPr>
          <w:tblHeader/>
        </w:trPr>
        <w:tc>
          <w:tcPr>
            <w:tcW w:type="dxa" w:w="22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Package</w:t>
            </w:r>
          </w:p>
        </w:tc>
        <w:tc>
          <w:tcPr>
            <w:tcW w:type="dxa" w:w="13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Fee (USD)</w:t>
            </w:r>
          </w:p>
        </w:tc>
        <w:tc>
          <w:tcPr>
            <w:tcW w:type="dxa" w:w="8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Slots</w:t>
            </w:r>
          </w:p>
        </w:tc>
        <w:tc>
          <w:tcPr>
            <w:tcW w:type="dxa" w:w="4726"/>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Benefits</w:t>
            </w:r>
          </w:p>
        </w:tc>
      </w:tr>
      <w:tr>
        <w:trPr>
          <w:cantSplit/>
        </w:trPr>
        <w:tc>
          <w:tcPr>
            <w:tcW w:type="dxa" w:w="22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Gala Dinner Partner</w:t>
            </w:r>
          </w:p>
        </w:tc>
        <w:tc>
          <w:tcPr>
            <w:tcW w:type="dxa" w:w="13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25,000</w:t>
            </w:r>
          </w:p>
        </w:tc>
        <w:tc>
          <w:tcPr>
            <w:tcW w:type="dxa" w:w="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Naming of the Gala Dinner; welcome address; 10 dinner seats; 3 passes</w:t>
            </w:r>
          </w:p>
        </w:tc>
      </w:tr>
      <w:tr>
        <w:trPr>
          <w:cantSplit/>
        </w:trPr>
        <w:tc>
          <w:tcPr>
            <w:tcW w:type="dxa" w:w="22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Field Day Partner</w:t>
            </w:r>
          </w:p>
        </w:tc>
        <w:tc>
          <w:tcPr>
            <w:tcW w:type="dxa" w:w="13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20,000</w:t>
            </w:r>
          </w:p>
        </w:tc>
        <w:tc>
          <w:tcPr>
            <w:tcW w:type="dxa" w:w="8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w:t>
            </w:r>
          </w:p>
        </w:tc>
        <w:tc>
          <w:tcPr>
            <w:tcW w:type="dxa" w:w="47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Branding on field day transport and materials; remarks at one site; 3 passes</w:t>
            </w:r>
          </w:p>
        </w:tc>
      </w:tr>
      <w:tr>
        <w:trPr>
          <w:cantSplit/>
        </w:trPr>
        <w:tc>
          <w:tcPr>
            <w:tcW w:type="dxa" w:w="22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Student and Young Professional Bursary Partner</w:t>
            </w:r>
          </w:p>
        </w:tc>
        <w:tc>
          <w:tcPr>
            <w:tcW w:type="dxa" w:w="13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10,000</w:t>
            </w:r>
          </w:p>
        </w:tc>
        <w:tc>
          <w:tcPr>
            <w:tcW w:type="dxa" w:w="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3</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Funds 40 bursaries; named bursary scheme; 2 passes</w:t>
            </w:r>
          </w:p>
        </w:tc>
      </w:tr>
      <w:tr>
        <w:trPr>
          <w:cantSplit/>
        </w:trPr>
        <w:tc>
          <w:tcPr>
            <w:tcW w:type="dxa" w:w="22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Delegate Kit and Digital Partner</w:t>
            </w:r>
          </w:p>
        </w:tc>
        <w:tc>
          <w:tcPr>
            <w:tcW w:type="dxa" w:w="13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10,000</w:t>
            </w:r>
          </w:p>
        </w:tc>
        <w:tc>
          <w:tcPr>
            <w:tcW w:type="dxa" w:w="8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w:t>
            </w:r>
          </w:p>
        </w:tc>
        <w:tc>
          <w:tcPr>
            <w:tcW w:type="dxa" w:w="47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Branding on delegate kits, lanyards and the summit app; 2 passes</w:t>
            </w:r>
          </w:p>
        </w:tc>
      </w:tr>
    </w:tbl>
    <w:p>
      <w:pPr>
        <w:spacing w:after="100"/>
      </w:pP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Partner bookings received by 30 April 2027 receive full recognition in all summit materials. Packages can be adjusted to suit each partner. All fees are indicative and subject to approval by the Summit Steering Committee.</w:t>
      </w:r>
    </w:p>
    <w:p>
      <w:pPr>
        <w:keepNext/>
        <w:spacing w:after="60" w:before="160"/>
      </w:pPr>
      <w:r>
        <w:rPr>
          <w:rFonts w:ascii="Arial" w:cs="Arial" w:eastAsia="Arial" w:hAnsi="Arial"/>
          <w:b/>
          <w:bCs/>
          <w:color w:val="C47B0B"/>
          <w:sz w:val="18"/>
          <w:szCs w:val="18"/>
        </w:rPr>
        <w:t xml:space="preserve">BUTTONS</w:t>
      </w:r>
    </w:p>
    <w:p>
      <w:pPr>
        <w:pStyle w:val="ListParagraph"/>
        <w:numPr>
          <w:ilvl w:val="0"/>
          <w:numId w:val="2"/>
        </w:numPr>
        <w:spacing w:after="80" w:line="324"/>
      </w:pPr>
      <w:r>
        <w:rPr>
          <w:rFonts w:ascii="Arial" w:cs="Arial" w:eastAsia="Arial" w:hAnsi="Arial"/>
          <w:b/>
          <w:bCs/>
          <w:color w:val="1A1A1A"/>
          <w:sz w:val="24"/>
          <w:szCs w:val="24"/>
        </w:rPr>
        <w:t xml:space="preserve">Request the partnership prospectus: </w:t>
      </w:r>
      <w:r>
        <w:rPr>
          <w:rFonts w:ascii="Arial" w:cs="Arial" w:eastAsia="Arial" w:hAnsi="Arial"/>
          <w:color w:val="1A1A1A"/>
          <w:sz w:val="24"/>
          <w:szCs w:val="24"/>
        </w:rPr>
        <w:t xml:space="preserve">links to mailto:info@aipis.knust.edu.gh?subject=AIPIS 2027 partnership enquiry</w:t>
      </w:r>
    </w:p>
    <w:p>
      <w:pPr>
        <w:pStyle w:val="ListParagraph"/>
        <w:numPr>
          <w:ilvl w:val="0"/>
          <w:numId w:val="2"/>
        </w:numPr>
        <w:spacing w:after="80" w:line="324"/>
      </w:pPr>
      <w:r>
        <w:rPr>
          <w:rFonts w:ascii="Arial" w:cs="Arial" w:eastAsia="Arial" w:hAnsi="Arial"/>
          <w:b/>
          <w:bCs/>
          <w:color w:val="1A1A1A"/>
          <w:sz w:val="24"/>
          <w:szCs w:val="24"/>
        </w:rPr>
        <w:t xml:space="preserve">Download the brochure: </w:t>
      </w:r>
      <w:r>
        <w:rPr>
          <w:rFonts w:ascii="Arial" w:cs="Arial" w:eastAsia="Arial" w:hAnsi="Arial"/>
          <w:color w:val="1A1A1A"/>
          <w:sz w:val="24"/>
          <w:szCs w:val="24"/>
        </w:rPr>
        <w:t xml:space="preserve">links to AIPIS_2027_Brochure.pdf</w:t>
      </w:r>
    </w:p>
    <w:p>
      <w:pPr>
        <w:pStyle w:val="Heading1"/>
        <w:pageBreakBefore/>
        <w:pBdr>
          <w:bottom w:val="single" w:color="C47B0B" w:sz="6" w:space="4"/>
        </w:pBdr>
        <w:spacing w:after="160"/>
      </w:pPr>
      <w:r>
        <w:rPr>
          <w:rFonts w:ascii="Arial" w:cs="Arial" w:eastAsia="Arial" w:hAnsi="Arial"/>
          <w:b/>
          <w:bCs/>
          <w:color w:val="1A5C2A"/>
          <w:sz w:val="30"/>
          <w:szCs w:val="30"/>
        </w:rPr>
        <w:t xml:space="preserve">11. Register to attend</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Register</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#register</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Register to attend</w:t>
      </w:r>
    </w:p>
    <w:p>
      <w:pPr>
        <w:keepNext/>
        <w:spacing w:after="60" w:before="160"/>
      </w:pPr>
      <w:r>
        <w:rPr>
          <w:rFonts w:ascii="Arial" w:cs="Arial" w:eastAsia="Arial" w:hAnsi="Arial"/>
          <w:b/>
          <w:bCs/>
          <w:color w:val="C47B0B"/>
          <w:sz w:val="18"/>
          <w:szCs w:val="18"/>
        </w:rPr>
        <w:t xml:space="preserv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Category</w:t>
            </w:r>
          </w:p>
        </w:tc>
        <w:tc>
          <w:tcPr>
            <w:tcW w:type="dxa" w:w="24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Standard fee (USD)</w:t>
            </w:r>
          </w:p>
        </w:tc>
        <w:tc>
          <w:tcPr>
            <w:tcW w:type="dxa" w:w="3426"/>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Early fee (USD), paid by 31 May 2027</w:t>
            </w:r>
          </w:p>
        </w:tc>
      </w:tr>
      <w:tr>
        <w:trPr>
          <w:cantSplit/>
        </w:trPr>
        <w:tc>
          <w:tcPr>
            <w:tcW w:type="dxa" w:w="32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International delegate</w:t>
            </w:r>
          </w:p>
        </w:tc>
        <w:tc>
          <w:tcPr>
            <w:tcW w:type="dxa" w:w="24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750</w:t>
            </w:r>
          </w:p>
        </w:tc>
        <w:tc>
          <w:tcPr>
            <w:tcW w:type="dxa" w:w="34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640</w:t>
            </w:r>
          </w:p>
        </w:tc>
      </w:tr>
      <w:tr>
        <w:trPr>
          <w:cantSplit/>
        </w:trPr>
        <w:tc>
          <w:tcPr>
            <w:tcW w:type="dxa" w:w="32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African delegate (outside Ghana)</w:t>
            </w:r>
          </w:p>
        </w:tc>
        <w:tc>
          <w:tcPr>
            <w:tcW w:type="dxa" w:w="24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500</w:t>
            </w:r>
          </w:p>
        </w:tc>
        <w:tc>
          <w:tcPr>
            <w:tcW w:type="dxa" w:w="34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425</w:t>
            </w:r>
          </w:p>
        </w:tc>
      </w:tr>
      <w:tr>
        <w:trPr>
          <w:cantSplit/>
        </w:trPr>
        <w:tc>
          <w:tcPr>
            <w:tcW w:type="dxa" w:w="32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Ghanaian delegate</w:t>
            </w:r>
          </w:p>
        </w:tc>
        <w:tc>
          <w:tcPr>
            <w:tcW w:type="dxa" w:w="24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350</w:t>
            </w:r>
          </w:p>
        </w:tc>
        <w:tc>
          <w:tcPr>
            <w:tcW w:type="dxa" w:w="34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300</w:t>
            </w:r>
          </w:p>
        </w:tc>
      </w:tr>
      <w:tr>
        <w:trPr>
          <w:cantSplit/>
        </w:trPr>
        <w:tc>
          <w:tcPr>
            <w:tcW w:type="dxa" w:w="32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Public sector and university staff (Ghana)</w:t>
            </w:r>
          </w:p>
        </w:tc>
        <w:tc>
          <w:tcPr>
            <w:tcW w:type="dxa" w:w="24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200</w:t>
            </w:r>
          </w:p>
        </w:tc>
        <w:tc>
          <w:tcPr>
            <w:tcW w:type="dxa" w:w="34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170</w:t>
            </w:r>
          </w:p>
        </w:tc>
      </w:tr>
      <w:tr>
        <w:trPr>
          <w:cantSplit/>
        </w:trPr>
        <w:tc>
          <w:tcPr>
            <w:tcW w:type="dxa" w:w="32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Student or young professional (under 35)</w:t>
            </w:r>
          </w:p>
        </w:tc>
        <w:tc>
          <w:tcPr>
            <w:tcW w:type="dxa" w:w="24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75</w:t>
            </w:r>
          </w:p>
        </w:tc>
        <w:tc>
          <w:tcPr>
            <w:tcW w:type="dxa" w:w="34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60</w:t>
            </w:r>
          </w:p>
        </w:tc>
      </w:tr>
    </w:tbl>
    <w:p>
      <w:pPr>
        <w:spacing w:after="100"/>
      </w:pP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Fees cover all conference sessions, lunches and refreshments, summit materials and the field day. Organisations registering five or more delegates receive a 10 percent discount.</w:t>
      </w:r>
    </w:p>
    <w:p>
      <w:pPr>
        <w:keepNext/>
        <w:spacing w:after="60" w:before="160"/>
      </w:pPr>
      <w:r>
        <w:rPr>
          <w:rFonts w:ascii="Arial" w:cs="Arial" w:eastAsia="Arial" w:hAnsi="Arial"/>
          <w:b/>
          <w:bCs/>
          <w:color w:val="C47B0B"/>
          <w:sz w:val="18"/>
          <w:szCs w:val="18"/>
        </w:rPr>
        <w:t xml:space="preserve">BUTTONS</w:t>
      </w:r>
    </w:p>
    <w:p>
      <w:pPr>
        <w:pStyle w:val="ListParagraph"/>
        <w:numPr>
          <w:ilvl w:val="0"/>
          <w:numId w:val="2"/>
        </w:numPr>
        <w:spacing w:after="80" w:line="324"/>
      </w:pPr>
      <w:r>
        <w:rPr>
          <w:rFonts w:ascii="Arial" w:cs="Arial" w:eastAsia="Arial" w:hAnsi="Arial"/>
          <w:b/>
          <w:bCs/>
          <w:color w:val="1A1A1A"/>
          <w:sz w:val="24"/>
          <w:szCs w:val="24"/>
        </w:rPr>
        <w:t xml:space="preserve">Register by email: </w:t>
      </w:r>
      <w:r>
        <w:rPr>
          <w:rFonts w:ascii="Arial" w:cs="Arial" w:eastAsia="Arial" w:hAnsi="Arial"/>
          <w:color w:val="1A1A1A"/>
          <w:sz w:val="24"/>
          <w:szCs w:val="24"/>
        </w:rPr>
        <w:t xml:space="preserve">links to mailto:info@aipis.knust.edu.gh?subject=AIPIS 2027 registration</w:t>
      </w:r>
    </w:p>
    <w:p>
      <w:pPr>
        <w:pStyle w:val="Heading2"/>
        <w:keepNext/>
        <w:spacing w:after="100" w:before="200"/>
      </w:pPr>
      <w:r>
        <w:rPr>
          <w:rFonts w:ascii="Arial" w:cs="Arial" w:eastAsia="Arial" w:hAnsi="Arial"/>
          <w:b/>
          <w:bCs/>
          <w:color w:val="1A5C2A"/>
          <w:sz w:val="25"/>
          <w:szCs w:val="25"/>
        </w:rPr>
        <w:t xml:space="preserve">Contribute to the programme</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To speak, present a paper or poster, or exhibit, see the Call for Speakers. Project owners, auditors and agencies can also nominate a stalled or abandoned project for review at the Unfinished Projects Forensic Clinic.</w:t>
      </w:r>
    </w:p>
    <w:p>
      <w:pPr>
        <w:keepNext/>
        <w:spacing w:after="60" w:before="160"/>
      </w:pPr>
      <w:r>
        <w:rPr>
          <w:rFonts w:ascii="Arial" w:cs="Arial" w:eastAsia="Arial" w:hAnsi="Arial"/>
          <w:b/>
          <w:bCs/>
          <w:color w:val="C47B0B"/>
          <w:sz w:val="18"/>
          <w:szCs w:val="18"/>
        </w:rPr>
        <w:t xml:space="preserve">BUTTONS</w:t>
      </w:r>
    </w:p>
    <w:p>
      <w:pPr>
        <w:pStyle w:val="ListParagraph"/>
        <w:numPr>
          <w:ilvl w:val="0"/>
          <w:numId w:val="2"/>
        </w:numPr>
        <w:spacing w:after="80" w:line="324"/>
      </w:pPr>
      <w:r>
        <w:rPr>
          <w:rFonts w:ascii="Arial" w:cs="Arial" w:eastAsia="Arial" w:hAnsi="Arial"/>
          <w:b/>
          <w:bCs/>
          <w:color w:val="1A1A1A"/>
          <w:sz w:val="24"/>
          <w:szCs w:val="24"/>
        </w:rPr>
        <w:t xml:space="preserve">See the Call for Speakers: </w:t>
      </w:r>
      <w:r>
        <w:rPr>
          <w:rFonts w:ascii="Arial" w:cs="Arial" w:eastAsia="Arial" w:hAnsi="Arial"/>
          <w:color w:val="1A1A1A"/>
          <w:sz w:val="24"/>
          <w:szCs w:val="24"/>
        </w:rPr>
        <w:t xml:space="preserve">links to #speakers</w:t>
      </w:r>
    </w:p>
    <w:p>
      <w:pPr>
        <w:pStyle w:val="ListParagraph"/>
        <w:numPr>
          <w:ilvl w:val="0"/>
          <w:numId w:val="2"/>
        </w:numPr>
        <w:spacing w:after="80" w:line="324"/>
      </w:pPr>
      <w:r>
        <w:rPr>
          <w:rFonts w:ascii="Arial" w:cs="Arial" w:eastAsia="Arial" w:hAnsi="Arial"/>
          <w:b/>
          <w:bCs/>
          <w:color w:val="1A1A1A"/>
          <w:sz w:val="24"/>
          <w:szCs w:val="24"/>
        </w:rPr>
        <w:t xml:space="preserve">Nominate a project for the Forensic Clinic: </w:t>
      </w:r>
      <w:r>
        <w:rPr>
          <w:rFonts w:ascii="Arial" w:cs="Arial" w:eastAsia="Arial" w:hAnsi="Arial"/>
          <w:color w:val="1A1A1A"/>
          <w:sz w:val="24"/>
          <w:szCs w:val="24"/>
        </w:rPr>
        <w:t xml:space="preserve">links to mailto:info@aipis.knust.edu.gh?subject=AIPIS 2027 Forensic Clinic nomination</w:t>
      </w:r>
    </w:p>
    <w:p>
      <w:pPr>
        <w:pStyle w:val="Heading2"/>
        <w:keepNext/>
        <w:spacing w:after="100" w:before="200"/>
      </w:pPr>
      <w:r>
        <w:rPr>
          <w:rFonts w:ascii="Arial" w:cs="Arial" w:eastAsia="Arial" w:hAnsi="Arial"/>
          <w:b/>
          <w:bCs/>
          <w:color w:val="1A5C2A"/>
          <w:sz w:val="25"/>
          <w:szCs w:val="25"/>
        </w:rPr>
        <w:t xml:space="preserve">Key dates</w:t>
      </w:r>
    </w:p>
    <w:p>
      <w:pPr>
        <w:keepNext/>
        <w:spacing w:after="60" w:before="160"/>
      </w:pPr>
      <w:r>
        <w:rPr>
          <w:rFonts w:ascii="Arial" w:cs="Arial" w:eastAsia="Arial" w:hAnsi="Arial"/>
          <w:b/>
          <w:bCs/>
          <w:color w:val="C47B0B"/>
          <w:sz w:val="18"/>
          <w:szCs w:val="18"/>
        </w:rPr>
        <w:t xml:space="preserv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Date</w:t>
            </w:r>
          </w:p>
        </w:tc>
        <w:tc>
          <w:tcPr>
            <w:tcW w:type="dxa" w:w="6026"/>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Milestone</w:t>
            </w:r>
          </w:p>
        </w:tc>
      </w:tr>
      <w:tr>
        <w:trPr>
          <w:cantSplit/>
        </w:trPr>
        <w:tc>
          <w:tcPr>
            <w:tcW w:type="dxa" w:w="30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30 April 2027</w:t>
            </w:r>
          </w:p>
        </w:tc>
        <w:tc>
          <w:tcPr>
            <w:tcW w:type="dxa" w:w="6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Partner bookings close for full recognition</w:t>
            </w:r>
          </w:p>
        </w:tc>
      </w:tr>
      <w:tr>
        <w:trPr>
          <w:cantSplit/>
        </w:trPr>
        <w:tc>
          <w:tcPr>
            <w:tcW w:type="dxa" w:w="30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31 May 2027</w:t>
            </w:r>
          </w:p>
        </w:tc>
        <w:tc>
          <w:tcPr>
            <w:tcW w:type="dxa" w:w="6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Early registration closes</w:t>
            </w:r>
          </w:p>
        </w:tc>
      </w:tr>
      <w:tr>
        <w:trPr>
          <w:cantSplit/>
        </w:trPr>
        <w:tc>
          <w:tcPr>
            <w:tcW w:type="dxa" w:w="30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24 to 26 August 2027</w:t>
            </w:r>
          </w:p>
        </w:tc>
        <w:tc>
          <w:tcPr>
            <w:tcW w:type="dxa" w:w="60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Conference days, KNUST, Kumasi</w:t>
            </w:r>
          </w:p>
        </w:tc>
      </w:tr>
      <w:tr>
        <w:trPr>
          <w:cantSplit/>
        </w:trPr>
        <w:tc>
          <w:tcPr>
            <w:tcW w:type="dxa" w:w="30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27 August 2027</w:t>
            </w:r>
          </w:p>
        </w:tc>
        <w:tc>
          <w:tcPr>
            <w:tcW w:type="dxa" w:w="60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Site-to-Summit Field Day</w:t>
            </w:r>
          </w:p>
        </w:tc>
      </w:tr>
    </w:tbl>
    <w:p>
      <w:pPr>
        <w:spacing w:after="100"/>
      </w:pPr>
    </w:p>
    <w:p>
      <w:pPr>
        <w:pStyle w:val="Heading1"/>
        <w:pageBreakBefore/>
        <w:pBdr>
          <w:bottom w:val="single" w:color="C47B0B" w:sz="6" w:space="4"/>
        </w:pBdr>
        <w:spacing w:after="160"/>
      </w:pPr>
      <w:r>
        <w:rPr>
          <w:rFonts w:ascii="Arial" w:cs="Arial" w:eastAsia="Arial" w:hAnsi="Arial"/>
          <w:b/>
          <w:bCs/>
          <w:color w:val="1A5C2A"/>
          <w:sz w:val="30"/>
          <w:szCs w:val="30"/>
        </w:rPr>
        <w:t xml:space="preserve">12. Future editions</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Future editions</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#rotation</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Future editions</w:t>
      </w:r>
    </w:p>
    <w:p>
      <w:pPr>
        <w:keepNext/>
        <w:spacing w:after="60" w:before="160"/>
      </w:pPr>
      <w:r>
        <w:rPr>
          <w:rFonts w:ascii="Arial" w:cs="Arial" w:eastAsia="Arial" w:hAnsi="Arial"/>
          <w:b/>
          <w:bCs/>
          <w:color w:val="C47B0B"/>
          <w:sz w:val="18"/>
          <w:szCs w:val="18"/>
        </w:rPr>
        <w:t xml:space="preserve">BODY TEXT</w:t>
      </w:r>
    </w:p>
    <w:p>
      <w:pPr>
        <w:spacing w:after="140" w:line="324"/>
      </w:pPr>
      <w:r>
        <w:rPr>
          <w:rFonts w:ascii="Arial" w:cs="Arial" w:eastAsia="Arial" w:hAnsi="Arial"/>
          <w:color w:val="1A1A1A"/>
          <w:sz w:val="24"/>
          <w:szCs w:val="24"/>
        </w:rPr>
        <w:t xml:space="preserve">Kumasi is the permanent home of AIPIS. The first two editions are held there, the third in Kenya and the fourth back in Kumasi for the review of progress on the Sustainable Development Goals. From 2031, the summit returns to Kumasi after every two editions held elsewhere.</w:t>
      </w:r>
    </w:p>
    <w:p>
      <w:pPr>
        <w:keepNext/>
        <w:spacing w:after="60" w:before="160"/>
      </w:pPr>
      <w:r>
        <w:rPr>
          <w:rFonts w:ascii="Arial" w:cs="Arial" w:eastAsia="Arial" w:hAnsi="Arial"/>
          <w:b/>
          <w:bCs/>
          <w:color w:val="C47B0B"/>
          <w:sz w:val="18"/>
          <w:szCs w:val="18"/>
        </w:rPr>
        <w:t xml:space="preserve">EDITION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rPr>
          <w:tblHeader/>
        </w:trPr>
        <w:tc>
          <w:tcPr>
            <w:tcW w:type="dxa" w:w="15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Year</w:t>
            </w:r>
          </w:p>
        </w:tc>
        <w:tc>
          <w:tcPr>
            <w:tcW w:type="dxa" w:w="2800"/>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Host</w:t>
            </w:r>
          </w:p>
        </w:tc>
        <w:tc>
          <w:tcPr>
            <w:tcW w:type="dxa" w:w="4726"/>
            <w:tcBorders>
              <w:top w:val="single" w:color="B8C4B8" w:sz="4"/>
              <w:left w:val="single" w:color="B8C4B8" w:sz="4"/>
              <w:bottom w:val="single" w:color="B8C4B8" w:sz="4"/>
              <w:right w:val="single" w:color="B8C4B8" w:sz="4"/>
            </w:tcBorders>
            <w:shd w:fill="1A5C2A" w:color="auto" w:val="clear"/>
            <w:tcMar>
              <w:top w:type="dxa" w:w="80"/>
              <w:left w:type="dxa" w:w="110"/>
              <w:bottom w:type="dxa" w:w="80"/>
              <w:right w:type="dxa" w:w="110"/>
            </w:tcMar>
          </w:tcPr>
          <w:p>
            <w:pPr>
              <w:spacing w:after="20" w:line="276"/>
            </w:pPr>
            <w:r>
              <w:rPr>
                <w:rFonts w:ascii="Arial" w:cs="Arial" w:eastAsia="Arial" w:hAnsi="Arial"/>
                <w:b/>
                <w:bCs/>
                <w:color w:val="FFFFFF"/>
                <w:sz w:val="21"/>
                <w:szCs w:val="21"/>
              </w:rPr>
              <w:t xml:space="preserve">Theme</w:t>
            </w:r>
          </w:p>
        </w:tc>
      </w:tr>
      <w:tr>
        <w:trPr>
          <w:cantSplit/>
        </w:trPr>
        <w:tc>
          <w:tcPr>
            <w:tcW w:type="dxa" w:w="1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2027</w:t>
            </w:r>
          </w:p>
        </w:tc>
        <w:tc>
          <w:tcPr>
            <w:tcW w:type="dxa" w:w="2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Kumasi, Ghana</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From Financial Close to Prosperity Close</w:t>
            </w:r>
          </w:p>
        </w:tc>
      </w:tr>
      <w:tr>
        <w:trPr>
          <w:cantSplit/>
        </w:trPr>
        <w:tc>
          <w:tcPr>
            <w:tcW w:type="dxa" w:w="1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2028</w:t>
            </w:r>
          </w:p>
        </w:tc>
        <w:tc>
          <w:tcPr>
            <w:tcW w:type="dxa" w:w="28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Kumasi, Ghana</w:t>
            </w:r>
          </w:p>
        </w:tc>
        <w:tc>
          <w:tcPr>
            <w:tcW w:type="dxa" w:w="47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Powering Production</w:t>
            </w:r>
          </w:p>
        </w:tc>
      </w:tr>
      <w:tr>
        <w:trPr>
          <w:cantSplit/>
        </w:trPr>
        <w:tc>
          <w:tcPr>
            <w:tcW w:type="dxa" w:w="1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2029</w:t>
            </w:r>
          </w:p>
        </w:tc>
        <w:tc>
          <w:tcPr>
            <w:tcW w:type="dxa" w:w="2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Kenya</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Building with Africa</w:t>
            </w:r>
          </w:p>
        </w:tc>
      </w:tr>
      <w:tr>
        <w:trPr>
          <w:cantSplit/>
        </w:trPr>
        <w:tc>
          <w:tcPr>
            <w:tcW w:type="dxa" w:w="1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2030</w:t>
            </w:r>
          </w:p>
        </w:tc>
        <w:tc>
          <w:tcPr>
            <w:tcW w:type="dxa" w:w="28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Kumasi, Ghana</w:t>
            </w:r>
          </w:p>
        </w:tc>
        <w:tc>
          <w:tcPr>
            <w:tcW w:type="dxa" w:w="47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The 2030 Review: SDG impact</w:t>
            </w:r>
          </w:p>
        </w:tc>
      </w:tr>
      <w:tr>
        <w:trPr>
          <w:cantSplit/>
        </w:trPr>
        <w:tc>
          <w:tcPr>
            <w:tcW w:type="dxa" w:w="1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2031</w:t>
            </w:r>
          </w:p>
        </w:tc>
        <w:tc>
          <w:tcPr>
            <w:tcW w:type="dxa" w:w="2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Nigeria</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Shared Prosperity</w:t>
            </w:r>
          </w:p>
        </w:tc>
      </w:tr>
      <w:tr>
        <w:trPr>
          <w:cantSplit/>
        </w:trPr>
        <w:tc>
          <w:tcPr>
            <w:tcW w:type="dxa" w:w="15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2032</w:t>
            </w:r>
          </w:p>
        </w:tc>
        <w:tc>
          <w:tcPr>
            <w:tcW w:type="dxa" w:w="2800"/>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South Africa</w:t>
            </w:r>
          </w:p>
        </w:tc>
        <w:tc>
          <w:tcPr>
            <w:tcW w:type="dxa" w:w="4726"/>
            <w:tcBorders>
              <w:top w:val="single" w:color="B8C4B8" w:sz="4"/>
              <w:left w:val="single" w:color="B8C4B8" w:sz="4"/>
              <w:bottom w:val="single" w:color="B8C4B8" w:sz="4"/>
              <w:right w:val="single" w:color="B8C4B8" w:sz="4"/>
            </w:tcBorders>
            <w:shd w:fill="F6F9F6" w:color="auto" w:val="clear"/>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Theme to be announced</w:t>
            </w:r>
          </w:p>
        </w:tc>
      </w:tr>
      <w:tr>
        <w:trPr>
          <w:cantSplit/>
        </w:trPr>
        <w:tc>
          <w:tcPr>
            <w:tcW w:type="dxa" w:w="15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bCs/>
                <w:color w:val="1A1A1A"/>
                <w:sz w:val="21"/>
                <w:szCs w:val="21"/>
              </w:rPr>
              <w:t xml:space="preserve">2033</w:t>
            </w:r>
          </w:p>
        </w:tc>
        <w:tc>
          <w:tcPr>
            <w:tcW w:type="dxa" w:w="2800"/>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Kumasi, Ghana</w:t>
            </w:r>
          </w:p>
        </w:tc>
        <w:tc>
          <w:tcPr>
            <w:tcW w:type="dxa" w:w="4726"/>
            <w:tcBorders>
              <w:top w:val="single" w:color="B8C4B8" w:sz="4"/>
              <w:left w:val="single" w:color="B8C4B8" w:sz="4"/>
              <w:bottom w:val="single" w:color="B8C4B8" w:sz="4"/>
              <w:right w:val="single" w:color="B8C4B8" w:sz="4"/>
            </w:tcBorders>
            <w:tcMar>
              <w:top w:type="dxa" w:w="80"/>
              <w:left w:type="dxa" w:w="110"/>
              <w:bottom w:type="dxa" w:w="80"/>
              <w:right w:type="dxa" w:w="110"/>
            </w:tcMar>
          </w:tcPr>
          <w:p>
            <w:pPr>
              <w:spacing w:after="20" w:line="276"/>
            </w:pPr>
            <w:r>
              <w:rPr>
                <w:rFonts w:ascii="Arial" w:cs="Arial" w:eastAsia="Arial" w:hAnsi="Arial"/>
                <w:b w:val="false"/>
                <w:bCs w:val="false"/>
                <w:color w:val="1A1A1A"/>
                <w:sz w:val="21"/>
                <w:szCs w:val="21"/>
              </w:rPr>
              <w:t xml:space="preserve">Theme to be announced</w:t>
            </w:r>
          </w:p>
        </w:tc>
      </w:tr>
    </w:tbl>
    <w:p>
      <w:pPr>
        <w:spacing w:after="100"/>
      </w:pPr>
    </w:p>
    <w:p>
      <w:pPr>
        <w:pStyle w:val="Heading1"/>
        <w:pageBreakBefore/>
        <w:pBdr>
          <w:bottom w:val="single" w:color="C47B0B" w:sz="6" w:space="4"/>
        </w:pBdr>
        <w:spacing w:after="160"/>
      </w:pPr>
      <w:r>
        <w:rPr>
          <w:rFonts w:ascii="Arial" w:cs="Arial" w:eastAsia="Arial" w:hAnsi="Arial"/>
          <w:b/>
          <w:bCs/>
          <w:color w:val="1A5C2A"/>
          <w:sz w:val="30"/>
          <w:szCs w:val="30"/>
        </w:rPr>
        <w:t xml:space="preserve">13. Contact the AIPIS Secretariat</w:t>
      </w:r>
    </w:p>
    <w:p>
      <w:pPr>
        <w:spacing w:after="140" w:line="324"/>
      </w:pPr>
      <w:r>
        <w:rPr>
          <w:rFonts w:ascii="Arial" w:cs="Arial" w:eastAsia="Arial" w:hAnsi="Arial"/>
          <w:b/>
          <w:bCs/>
          <w:color w:val="5F6B5F"/>
          <w:sz w:val="20"/>
          <w:szCs w:val="20"/>
        </w:rPr>
        <w:t xml:space="preserve">Menu label: </w:t>
      </w:r>
      <w:r>
        <w:rPr>
          <w:rFonts w:ascii="Arial" w:cs="Arial" w:eastAsia="Arial" w:hAnsi="Arial"/>
          <w:color w:val="5F6B5F"/>
          <w:sz w:val="20"/>
          <w:szCs w:val="20"/>
        </w:rPr>
        <w:t xml:space="preserve">Contact</w:t>
      </w:r>
      <w:r>
        <w:rPr>
          <w:rFonts w:ascii="Arial" w:cs="Arial" w:eastAsia="Arial" w:hAnsi="Arial"/>
          <w:b/>
          <w:bCs/>
          <w:color w:val="5F6B5F"/>
          <w:sz w:val="20"/>
          <w:szCs w:val="20"/>
        </w:rPr>
        <w:t xml:space="preserve">    Anchor: </w:t>
      </w:r>
      <w:r>
        <w:rPr>
          <w:rFonts w:ascii="Arial" w:cs="Arial" w:eastAsia="Arial" w:hAnsi="Arial"/>
          <w:color w:val="5F6B5F"/>
          <w:sz w:val="20"/>
          <w:szCs w:val="20"/>
        </w:rPr>
        <w:t xml:space="preserve">#contact</w:t>
      </w:r>
    </w:p>
    <w:p>
      <w:pPr>
        <w:keepNext/>
        <w:spacing w:after="60" w:before="160"/>
      </w:pPr>
      <w:r>
        <w:rPr>
          <w:rFonts w:ascii="Arial" w:cs="Arial" w:eastAsia="Arial" w:hAnsi="Arial"/>
          <w:b/>
          <w:bCs/>
          <w:color w:val="C47B0B"/>
          <w:sz w:val="18"/>
          <w:szCs w:val="18"/>
        </w:rPr>
        <w:t xml:space="preserve">HEADLINE</w:t>
      </w:r>
    </w:p>
    <w:p>
      <w:pPr>
        <w:spacing w:after="140" w:line="324"/>
      </w:pPr>
      <w:r>
        <w:rPr>
          <w:rFonts w:ascii="Arial" w:cs="Arial" w:eastAsia="Arial" w:hAnsi="Arial"/>
          <w:b/>
          <w:bCs/>
          <w:color w:val="0D3D26"/>
          <w:sz w:val="28"/>
          <w:szCs w:val="28"/>
        </w:rPr>
        <w:t xml:space="preserve">Contact the AIPIS Secretariat</w:t>
      </w:r>
    </w:p>
    <w:p>
      <w:pPr>
        <w:keepNext/>
        <w:spacing w:after="60" w:before="160"/>
      </w:pPr>
      <w:r>
        <w:rPr>
          <w:rFonts w:ascii="Arial" w:cs="Arial" w:eastAsia="Arial" w:hAnsi="Arial"/>
          <w:b/>
          <w:bCs/>
          <w:color w:val="C47B0B"/>
          <w:sz w:val="18"/>
          <w:szCs w:val="18"/>
        </w:rPr>
        <w:t xml:space="preserve">CONTACT DETAILS</w:t>
      </w:r>
    </w:p>
    <w:p>
      <w:pPr>
        <w:pStyle w:val="ListParagraph"/>
        <w:numPr>
          <w:ilvl w:val="0"/>
          <w:numId w:val="2"/>
        </w:numPr>
        <w:spacing w:after="80" w:line="324"/>
      </w:pPr>
      <w:r>
        <w:rPr>
          <w:rFonts w:ascii="Arial" w:cs="Arial" w:eastAsia="Arial" w:hAnsi="Arial"/>
          <w:b/>
          <w:bCs/>
          <w:color w:val="1A1A1A"/>
          <w:sz w:val="24"/>
          <w:szCs w:val="24"/>
        </w:rPr>
        <w:t xml:space="preserve">Address: </w:t>
      </w:r>
      <w:r>
        <w:rPr>
          <w:rFonts w:ascii="Arial" w:cs="Arial" w:eastAsia="Arial" w:hAnsi="Arial"/>
          <w:color w:val="1A1A1A"/>
          <w:sz w:val="24"/>
          <w:szCs w:val="24"/>
        </w:rPr>
        <w:t xml:space="preserve">AIPIS Secretariat, Department of Construction Technology and Management, College of Art and Built Environment, Kwame Nkrumah University of Science and Technology, Kumasi, Ghana</w:t>
      </w:r>
    </w:p>
    <w:p>
      <w:pPr>
        <w:pStyle w:val="ListParagraph"/>
        <w:numPr>
          <w:ilvl w:val="0"/>
          <w:numId w:val="2"/>
        </w:numPr>
        <w:spacing w:after="80" w:line="324"/>
      </w:pPr>
      <w:r>
        <w:rPr>
          <w:rFonts w:ascii="Arial" w:cs="Arial" w:eastAsia="Arial" w:hAnsi="Arial"/>
          <w:b/>
          <w:bCs/>
          <w:color w:val="1A1A1A"/>
          <w:sz w:val="24"/>
          <w:szCs w:val="24"/>
        </w:rPr>
        <w:t xml:space="preserve">Email: </w:t>
      </w:r>
      <w:r>
        <w:rPr>
          <w:rFonts w:ascii="Arial" w:cs="Arial" w:eastAsia="Arial" w:hAnsi="Arial"/>
          <w:color w:val="1A1A1A"/>
          <w:sz w:val="24"/>
          <w:szCs w:val="24"/>
        </w:rPr>
        <w:t xml:space="preserve">info@aipis.knust.edu.gh</w:t>
      </w:r>
    </w:p>
    <w:p>
      <w:pPr>
        <w:pStyle w:val="ListParagraph"/>
        <w:numPr>
          <w:ilvl w:val="0"/>
          <w:numId w:val="2"/>
        </w:numPr>
        <w:spacing w:after="80" w:line="324"/>
      </w:pPr>
      <w:r>
        <w:rPr>
          <w:rFonts w:ascii="Arial" w:cs="Arial" w:eastAsia="Arial" w:hAnsi="Arial"/>
          <w:b/>
          <w:bCs/>
          <w:color w:val="1A1A1A"/>
          <w:sz w:val="24"/>
          <w:szCs w:val="24"/>
        </w:rPr>
        <w:t xml:space="preserve">Telephone: </w:t>
      </w:r>
      <w:r>
        <w:rPr>
          <w:rFonts w:ascii="Arial" w:cs="Arial" w:eastAsia="Arial" w:hAnsi="Arial"/>
          <w:color w:val="1A1A1A"/>
          <w:sz w:val="24"/>
          <w:szCs w:val="24"/>
        </w:rPr>
        <w:t xml:space="preserve">+233 (0) 243 555 882</w:t>
      </w:r>
    </w:p>
    <w:p>
      <w:pPr>
        <w:pStyle w:val="ListParagraph"/>
        <w:numPr>
          <w:ilvl w:val="0"/>
          <w:numId w:val="2"/>
        </w:numPr>
        <w:spacing w:after="80" w:line="324"/>
      </w:pPr>
      <w:r>
        <w:rPr>
          <w:rFonts w:ascii="Arial" w:cs="Arial" w:eastAsia="Arial" w:hAnsi="Arial"/>
          <w:b/>
          <w:bCs/>
          <w:color w:val="1A1A1A"/>
          <w:sz w:val="24"/>
          <w:szCs w:val="24"/>
        </w:rPr>
        <w:t xml:space="preserve">Website: </w:t>
      </w:r>
      <w:r>
        <w:rPr>
          <w:rFonts w:ascii="Arial" w:cs="Arial" w:eastAsia="Arial" w:hAnsi="Arial"/>
          <w:color w:val="1A1A1A"/>
          <w:sz w:val="24"/>
          <w:szCs w:val="24"/>
        </w:rPr>
        <w:t xml:space="preserve">www.aipis.knust.edu.gh</w:t>
      </w:r>
    </w:p>
    <w:p>
      <w:pPr>
        <w:pStyle w:val="Heading1"/>
        <w:pageBreakBefore/>
        <w:pBdr>
          <w:bottom w:val="single" w:color="C47B0B" w:sz="6" w:space="4"/>
        </w:pBdr>
        <w:spacing w:after="160"/>
      </w:pPr>
      <w:r>
        <w:rPr>
          <w:rFonts w:ascii="Arial" w:cs="Arial" w:eastAsia="Arial" w:hAnsi="Arial"/>
          <w:b/>
          <w:bCs/>
          <w:color w:val="1A5C2A"/>
          <w:sz w:val="30"/>
          <w:szCs w:val="30"/>
        </w:rPr>
        <w:t xml:space="preserve">14. Footer</w:t>
      </w:r>
    </w:p>
    <w:p>
      <w:pPr>
        <w:pStyle w:val="ListParagraph"/>
        <w:numPr>
          <w:ilvl w:val="0"/>
          <w:numId w:val="2"/>
        </w:numPr>
        <w:spacing w:after="80" w:line="324"/>
      </w:pPr>
      <w:r>
        <w:rPr>
          <w:rFonts w:ascii="Arial" w:cs="Arial" w:eastAsia="Arial" w:hAnsi="Arial"/>
          <w:b/>
          <w:bCs/>
          <w:color w:val="1A1A1A"/>
          <w:sz w:val="24"/>
          <w:szCs w:val="24"/>
        </w:rPr>
        <w:t xml:space="preserve">Left: </w:t>
      </w:r>
      <w:r>
        <w:rPr>
          <w:rFonts w:ascii="Arial" w:cs="Arial" w:eastAsia="Arial" w:hAnsi="Arial"/>
          <w:color w:val="1A1A1A"/>
          <w:sz w:val="24"/>
          <w:szCs w:val="24"/>
        </w:rPr>
        <w:t xml:space="preserve">Africa Infrastructure, Prosperity and Industrialisation Summit. Convened by KNUST (CABE and DCTM), AIPAF and GCI.</w:t>
      </w:r>
    </w:p>
    <w:p>
      <w:pPr>
        <w:pStyle w:val="ListParagraph"/>
        <w:numPr>
          <w:ilvl w:val="0"/>
          <w:numId w:val="2"/>
        </w:numPr>
        <w:spacing w:after="80" w:line="324"/>
      </w:pPr>
      <w:r>
        <w:rPr>
          <w:rFonts w:ascii="Arial" w:cs="Arial" w:eastAsia="Arial" w:hAnsi="Arial"/>
          <w:b/>
          <w:bCs/>
          <w:color w:val="1A1A1A"/>
          <w:sz w:val="24"/>
          <w:szCs w:val="24"/>
        </w:rPr>
        <w:t xml:space="preserve">Right: </w:t>
      </w:r>
      <w:r>
        <w:rPr>
          <w:rFonts w:ascii="Arial" w:cs="Arial" w:eastAsia="Arial" w:hAnsi="Arial"/>
          <w:color w:val="1A1A1A"/>
          <w:sz w:val="24"/>
          <w:szCs w:val="24"/>
        </w:rPr>
        <w:t xml:space="preserve">Building infrastructure. Powering industry. Delivering prosperity.</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7B0B" w:sz="4" w:space="4"/>
      </w:pBdr>
      <w:jc w:val="center"/>
    </w:pPr>
    <w:r>
      <w:rPr>
        <w:rFonts w:ascii="Arial" w:cs="Arial" w:eastAsia="Arial" w:hAnsi="Arial"/>
        <w:color w:val="5F6B5F"/>
        <w:sz w:val="16"/>
        <w:szCs w:val="16"/>
      </w:rPr>
      <w:t xml:space="preserve">AIPIS Website Content  |  Page </w:t>
    </w:r>
    <w:r>
      <w:rPr>
        <w:rFonts w:ascii="Arial" w:cs="Arial" w:eastAsia="Arial" w:hAnsi="Arial"/>
        <w:color w:val="5F6B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color w:val="C47B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A5C2A"/>
      <w:sz w:val="30"/>
      <w:szCs w:val="30"/>
    </w:rPr>
  </w:style>
  <w:style w:type="paragraph" w:styleId="Heading2">
    <w:name w:val="Heading 2"/>
    <w:basedOn w:val="Normal"/>
    <w:next w:val="Normal"/>
    <w:qFormat/>
    <w:pPr>
      <w:outlineLvl w:val="1"/>
    </w:pPr>
    <w:rPr>
      <w:rFonts w:ascii="Arial" w:cs="Arial" w:eastAsia="Arial" w:hAnsi="Arial"/>
      <w:b/>
      <w:bCs/>
      <w:color w:val="1A5C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2026-10-04T07:21:07.086Z</dcterms:created>
  <dcterms:modified xsi:type="dcterms:W3CDTF">2026-10-04T07:21:07.086Z</dcterms:modified>
</cp:coreProperties>
</file>

<file path=docProps/custom.xml><?xml version="1.0" encoding="utf-8"?>
<Properties xmlns="http://schemas.openxmlformats.org/officeDocument/2006/custom-properties" xmlns:vt="http://schemas.openxmlformats.org/officeDocument/2006/docPropsVTypes"/>
</file>