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3819" w:rsidRDefault="00A43819" w:rsidP="00A43819">
      <w:bookmarkStart w:id="0" w:name="_Toc22028899"/>
      <w:bookmarkStart w:id="1" w:name="_Toc22029182"/>
      <w:bookmarkStart w:id="2" w:name="_Toc22096685"/>
      <w:bookmarkStart w:id="3" w:name="_Toc22096731"/>
      <w:bookmarkStart w:id="4" w:name="_Toc22096834"/>
      <w:bookmarkStart w:id="5" w:name="_Toc22128871"/>
      <w:bookmarkStart w:id="6" w:name="_Toc22131751"/>
      <w:bookmarkStart w:id="7" w:name="_Toc22303094"/>
      <w:bookmarkStart w:id="8" w:name="_Toc217463695"/>
      <w:r>
        <w:t>5.3. Контур  УРАВНОВЕШИВАНИЕ  ПОД  ВОЗДЕЙСТВИЕМ  ЛАГА   РЕАЛИЗАЦИИ  РЕШЕНИЙ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:rsidR="00A43819" w:rsidRDefault="00A43819" w:rsidP="00A43819">
      <w:pPr>
        <w:ind w:firstLine="567"/>
      </w:pPr>
    </w:p>
    <w:p w:rsidR="00A43819" w:rsidRDefault="00A43819" w:rsidP="00A43819">
      <w:pPr>
        <w:pStyle w:val="a7"/>
        <w:jc w:val="both"/>
        <w:rPr>
          <w:b w:val="0"/>
          <w:bCs/>
        </w:rPr>
      </w:pPr>
      <w:r>
        <w:rPr>
          <w:b w:val="0"/>
          <w:bCs/>
        </w:rPr>
        <w:t>ПОТОКОВАЯ МЕТАФОРА</w:t>
      </w:r>
    </w:p>
    <w:p w:rsidR="00A43819" w:rsidRDefault="00A43819" w:rsidP="00A43819">
      <w:pPr>
        <w:pStyle w:val="a7"/>
        <w:ind w:firstLine="567"/>
        <w:jc w:val="both"/>
        <w:rPr>
          <w:b w:val="0"/>
          <w:bCs/>
        </w:rPr>
      </w:pPr>
      <w:r>
        <w:rPr>
          <w:b w:val="0"/>
          <w:bCs/>
        </w:rPr>
        <w:t xml:space="preserve">    </w:t>
      </w:r>
    </w:p>
    <w:p w:rsidR="00A43819" w:rsidRDefault="00A43819" w:rsidP="00A43819">
      <w:pPr>
        <w:pStyle w:val="a7"/>
        <w:ind w:firstLine="567"/>
        <w:jc w:val="both"/>
        <w:rPr>
          <w:b w:val="0"/>
          <w:bCs/>
        </w:rPr>
      </w:pPr>
      <w:r>
        <w:rPr>
          <w:b w:val="0"/>
          <w:bCs/>
        </w:rPr>
        <w:t xml:space="preserve">Контур  </w:t>
      </w:r>
      <w:r>
        <w:rPr>
          <w:b w:val="0"/>
          <w:bCs/>
          <w:i/>
          <w:iCs/>
        </w:rPr>
        <w:t>УРАВНОВЕШИВАНИЕ ПОД  ВОЗДЕЙСТВИЕМ  ЛАГА  РЕАЛИЗАЦИИ  РЕШЕНИЙ</w:t>
      </w:r>
      <w:r>
        <w:rPr>
          <w:b w:val="0"/>
          <w:bCs/>
        </w:rPr>
        <w:t xml:space="preserve">  можно уподобить потоковой метафоре наполнения ванны водой желаемой температуры. Если в данный момент времени температура воды в ванне нас не удовлетворяет,  мы или приоткрываем кран для усиления поступления горячей воды, или его закрываем. Однако наше решение не сразу сказывается на температуре воды в ванне, так как должно пройти определенное время для перемешивания вновь поступившей воды с водой в ванне. Зачастую, ориентируясь лишь на текущую температуру, мы слишком сильно приоткрываем кран, и вода становится слишком горячей. Пытаясь компенсировать ошибку, мы поворачиваем кран в другую сторону и процесс повторяется.</w:t>
      </w:r>
    </w:p>
    <w:p w:rsidR="00A43819" w:rsidRDefault="00A43819" w:rsidP="00A43819">
      <w:pPr>
        <w:pStyle w:val="a7"/>
        <w:ind w:firstLine="567"/>
        <w:jc w:val="both"/>
        <w:rPr>
          <w:b w:val="0"/>
          <w:bCs/>
        </w:rPr>
      </w:pPr>
      <w:r>
        <w:rPr>
          <w:b w:val="0"/>
          <w:bCs/>
        </w:rPr>
        <w:t>Подобные негативные "</w:t>
      </w:r>
      <w:r>
        <w:rPr>
          <w:b w:val="0"/>
          <w:bCs/>
          <w:i/>
          <w:iCs/>
        </w:rPr>
        <w:t>циклы</w:t>
      </w:r>
      <w:r>
        <w:rPr>
          <w:b w:val="0"/>
          <w:bCs/>
        </w:rPr>
        <w:t>"  повторяются из-за недопонимания динамики процесса, нежелания и нетерпения учитывать задержку по времени на перемешивание при принятии  решения о повороте крана в ту или иную сторону.</w:t>
      </w:r>
    </w:p>
    <w:p w:rsidR="00A43819" w:rsidRDefault="00A43819" w:rsidP="00A43819">
      <w:pPr>
        <w:pStyle w:val="a7"/>
        <w:ind w:firstLine="567"/>
        <w:jc w:val="both"/>
        <w:rPr>
          <w:b w:val="0"/>
          <w:bCs/>
        </w:rPr>
      </w:pPr>
    </w:p>
    <w:p w:rsidR="00A43819" w:rsidRDefault="00A43819" w:rsidP="00A43819">
      <w:pPr>
        <w:pStyle w:val="a7"/>
        <w:jc w:val="both"/>
        <w:rPr>
          <w:b w:val="0"/>
          <w:bCs/>
        </w:rPr>
      </w:pPr>
      <w:r>
        <w:rPr>
          <w:b w:val="0"/>
          <w:bCs/>
        </w:rPr>
        <w:t>БИЗНЕС-МЕТАФОРА</w:t>
      </w:r>
    </w:p>
    <w:p w:rsidR="00A43819" w:rsidRDefault="00A43819" w:rsidP="00A43819">
      <w:pPr>
        <w:pStyle w:val="a7"/>
        <w:ind w:firstLine="567"/>
        <w:jc w:val="both"/>
        <w:rPr>
          <w:b w:val="0"/>
          <w:bCs/>
        </w:rPr>
      </w:pPr>
      <w:r>
        <w:rPr>
          <w:b w:val="0"/>
          <w:bCs/>
        </w:rPr>
        <w:t xml:space="preserve">  </w:t>
      </w:r>
    </w:p>
    <w:p w:rsidR="00A43819" w:rsidRDefault="00A43819" w:rsidP="00A43819">
      <w:pPr>
        <w:pStyle w:val="a7"/>
        <w:ind w:firstLine="567"/>
        <w:jc w:val="both"/>
        <w:rPr>
          <w:b w:val="0"/>
          <w:bCs/>
        </w:rPr>
      </w:pPr>
      <w:r>
        <w:rPr>
          <w:b w:val="0"/>
          <w:bCs/>
        </w:rPr>
        <w:t>Пусть бизнес ориентируется на выполнение вполне определенного количества заказов (оптимальный портфель). Если в данный момент времени заказов меньше, то необходимо принимать решения по их поиску, а если  больше, то целесообразно от выполнения избыточных заказов отказаться  (к примеру, для сохранения  уже достигнутого качества обслуживания).</w:t>
      </w:r>
    </w:p>
    <w:p w:rsidR="00A43819" w:rsidRDefault="00A43819" w:rsidP="00A43819">
      <w:pPr>
        <w:pStyle w:val="a7"/>
        <w:ind w:firstLine="567"/>
        <w:jc w:val="both"/>
        <w:rPr>
          <w:b w:val="0"/>
          <w:bCs/>
        </w:rPr>
      </w:pPr>
      <w:r>
        <w:rPr>
          <w:b w:val="0"/>
          <w:bCs/>
        </w:rPr>
        <w:t>Наше решение не сразу сказывается на состоянии текущего уровня портфеля заказов, а всегда с задержкой в  один такт модельного времени. Как уже отмечалось, подобные задержки (лаги адаптации) присущи любым взаимодействующим фондовым потокам и, по сути, отображают минимальное время, необходимое фонду для адаптации к изменениям факторов, определяемых процедурой принятия решения. Однако на практике фондовые циклы бизнеса возникают из-за серии уже внешних, управляемых лагов, значения которых превышают значения лагов адаптации реализации решений.</w:t>
      </w:r>
    </w:p>
    <w:p w:rsidR="00A43819" w:rsidRDefault="00A43819" w:rsidP="00A43819">
      <w:pPr>
        <w:pStyle w:val="a7"/>
        <w:ind w:firstLine="567"/>
        <w:jc w:val="both"/>
        <w:rPr>
          <w:b w:val="0"/>
          <w:bCs/>
        </w:rPr>
      </w:pPr>
      <w:r>
        <w:rPr>
          <w:b w:val="0"/>
          <w:bCs/>
        </w:rPr>
        <w:t>Однако, ориентируясь лишь на текущий уровень портфеля, мы можем принимать слишком  "</w:t>
      </w:r>
      <w:r>
        <w:rPr>
          <w:b w:val="0"/>
          <w:bCs/>
          <w:i/>
          <w:iCs/>
        </w:rPr>
        <w:t>резкие</w:t>
      </w:r>
      <w:r>
        <w:rPr>
          <w:b w:val="0"/>
          <w:bCs/>
        </w:rPr>
        <w:t xml:space="preserve">"  решения по поиску заказов и их окажется слишком много. Пытаясь компенсировать ошибку, мы будем стремиться этот избыток сокращать (в результате принятия решений об отказе). </w:t>
      </w:r>
    </w:p>
    <w:p w:rsidR="00A43819" w:rsidRDefault="00A43819" w:rsidP="00A43819">
      <w:pPr>
        <w:pStyle w:val="a7"/>
        <w:ind w:firstLine="567"/>
        <w:jc w:val="both"/>
        <w:rPr>
          <w:b w:val="0"/>
          <w:bCs/>
        </w:rPr>
      </w:pPr>
      <w:r>
        <w:rPr>
          <w:b w:val="0"/>
          <w:bCs/>
        </w:rPr>
        <w:t xml:space="preserve"> Подобные негативные "циклы" могут повторяться и повторяться по причине  наших ошибочных предположений о характере воздействия размеров лага реализации на темп сокращения разрыва.</w:t>
      </w:r>
    </w:p>
    <w:p w:rsidR="00A43819" w:rsidRDefault="00A43819" w:rsidP="00A43819">
      <w:pPr>
        <w:pStyle w:val="a5"/>
        <w:rPr>
          <w:bCs/>
        </w:rPr>
      </w:pPr>
      <w:r>
        <w:rPr>
          <w:bCs/>
        </w:rPr>
        <w:t>"</w:t>
      </w:r>
      <w:r>
        <w:rPr>
          <w:b/>
          <w:i/>
          <w:iCs/>
        </w:rPr>
        <w:t>А что, если</w:t>
      </w:r>
      <w:proofErr w:type="gramStart"/>
      <w:r>
        <w:rPr>
          <w:b/>
          <w:i/>
          <w:iCs/>
        </w:rPr>
        <w:t xml:space="preserve"> .</w:t>
      </w:r>
      <w:proofErr w:type="gramEnd"/>
      <w:r>
        <w:rPr>
          <w:b/>
          <w:i/>
          <w:iCs/>
        </w:rPr>
        <w:t xml:space="preserve"> . .</w:t>
      </w:r>
      <w:r>
        <w:rPr>
          <w:bCs/>
        </w:rPr>
        <w:t xml:space="preserve">"  изменить значение величины лага реализации и понаблюдать, как это отразиться на динамике изменения содержимого портфеля и величины разрыва?  И к чему приведет уменьшение или увеличение объема планируемого оптимального портфеля?  </w:t>
      </w:r>
    </w:p>
    <w:p w:rsidR="00A43819" w:rsidRDefault="00A43819" w:rsidP="00A43819">
      <w:pPr>
        <w:ind w:firstLine="567"/>
      </w:pPr>
    </w:p>
    <w:p w:rsidR="00A43819" w:rsidRDefault="00A43819" w:rsidP="00A43819">
      <w:pPr>
        <w:ind w:firstLine="567"/>
      </w:pPr>
    </w:p>
    <w:p w:rsidR="00A43819" w:rsidRDefault="00A43819" w:rsidP="00A43819">
      <w:pPr>
        <w:pStyle w:val="a3"/>
        <w:tabs>
          <w:tab w:val="left" w:pos="720"/>
        </w:tabs>
        <w:jc w:val="right"/>
      </w:pPr>
      <w:r>
        <w:br w:type="page"/>
      </w:r>
    </w:p>
    <w:p w:rsidR="00A43819" w:rsidRDefault="00A43819" w:rsidP="00A43819">
      <w:pPr>
        <w:tabs>
          <w:tab w:val="left" w:pos="1760"/>
        </w:tabs>
        <w:rPr>
          <w:b/>
          <w:bCs/>
          <w:i/>
          <w:iCs/>
          <w:sz w:val="32"/>
          <w:u w:val="single"/>
          <w:lang w:val="en-US"/>
        </w:rPr>
      </w:pPr>
      <w:r>
        <w:rPr>
          <w:b/>
          <w:bCs/>
          <w:i/>
          <w:iCs/>
          <w:noProof/>
          <w:sz w:val="32"/>
          <w:u w:val="single"/>
          <w:lang w:eastAsia="ru-RU"/>
        </w:rPr>
        <w:lastRenderedPageBreak/>
        <w:drawing>
          <wp:inline distT="0" distB="0" distL="0" distR="0">
            <wp:extent cx="5276850" cy="7029450"/>
            <wp:effectExtent l="0" t="0" r="0" b="0"/>
            <wp:docPr id="1" name="Рисунок 1" descr="m3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3_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702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28"/>
      </w:tblGrid>
      <w:tr w:rsidR="00A43819" w:rsidTr="00EB5196">
        <w:tblPrEx>
          <w:tblCellMar>
            <w:top w:w="0" w:type="dxa"/>
            <w:bottom w:w="0" w:type="dxa"/>
          </w:tblCellMar>
        </w:tblPrEx>
        <w:trPr>
          <w:cantSplit/>
          <w:trHeight w:val="1134"/>
        </w:trPr>
        <w:tc>
          <w:tcPr>
            <w:tcW w:w="8528" w:type="dxa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:rsidR="00A43819" w:rsidRDefault="00A43819" w:rsidP="00EB5196">
            <w:pPr>
              <w:tabs>
                <w:tab w:val="left" w:pos="1760"/>
              </w:tabs>
              <w:ind w:left="113" w:right="113"/>
              <w:rPr>
                <w:b/>
                <w:bCs/>
                <w:i/>
                <w:iCs/>
                <w:sz w:val="32"/>
                <w:u w:val="single"/>
              </w:rPr>
            </w:pPr>
            <w:proofErr w:type="spellStart"/>
            <w:r>
              <w:rPr>
                <w:b/>
                <w:bCs/>
                <w:i/>
                <w:iCs/>
                <w:sz w:val="32"/>
                <w:u w:val="single"/>
              </w:rPr>
              <w:t>Ithink</w:t>
            </w:r>
            <w:proofErr w:type="spellEnd"/>
          </w:p>
        </w:tc>
      </w:tr>
    </w:tbl>
    <w:p w:rsidR="00A43819" w:rsidRDefault="00A43819" w:rsidP="00A43819">
      <w:pPr>
        <w:tabs>
          <w:tab w:val="left" w:pos="1760"/>
        </w:tabs>
        <w:rPr>
          <w:b/>
          <w:bCs/>
          <w:i/>
          <w:iCs/>
          <w:sz w:val="32"/>
          <w:u w:val="single"/>
        </w:rPr>
      </w:pPr>
    </w:p>
    <w:p w:rsidR="00A43819" w:rsidRDefault="00A43819" w:rsidP="00A43819">
      <w:pPr>
        <w:tabs>
          <w:tab w:val="left" w:pos="1760"/>
        </w:tabs>
        <w:rPr>
          <w:lang w:val="en-US"/>
        </w:rPr>
      </w:pPr>
      <w:r>
        <w:rPr>
          <w:b/>
          <w:bCs/>
          <w:i/>
          <w:iCs/>
          <w:sz w:val="32"/>
          <w:u w:val="single"/>
        </w:rPr>
        <w:br w:type="page"/>
      </w:r>
      <w:r>
        <w:rPr>
          <w:noProof/>
          <w:sz w:val="20"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5271770" cy="7807960"/>
            <wp:effectExtent l="19050" t="19050" r="24130" b="21590"/>
            <wp:wrapSquare wrapText="bothSides"/>
            <wp:docPr id="4" name="Рисунок 4" descr="m3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3_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780796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i/>
          <w:iCs/>
          <w:sz w:val="32"/>
          <w:u w:val="single"/>
        </w:rPr>
        <w:br w:type="page"/>
      </w:r>
      <w:r>
        <w:rPr>
          <w:noProof/>
          <w:sz w:val="20"/>
          <w:lang w:eastAsia="ru-RU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5279390" cy="7935595"/>
            <wp:effectExtent l="19050" t="19050" r="16510" b="27305"/>
            <wp:wrapSquare wrapText="bothSides"/>
            <wp:docPr id="3" name="Рисунок 3" descr="m3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3_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793559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i/>
          <w:iCs/>
          <w:sz w:val="32"/>
          <w:u w:val="single"/>
        </w:rPr>
        <w:br w:type="page"/>
      </w:r>
    </w:p>
    <w:p w:rsidR="00A43819" w:rsidRDefault="00A43819" w:rsidP="00A43819">
      <w:r>
        <w:rPr>
          <w:noProof/>
          <w:sz w:val="20"/>
          <w:lang w:eastAsia="ru-RU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5189220" cy="6293485"/>
            <wp:effectExtent l="19050" t="19050" r="11430" b="12065"/>
            <wp:wrapSquare wrapText="bothSides"/>
            <wp:docPr id="2" name="Рисунок 2" descr="m3_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3_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220" cy="629348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43819" w:rsidRDefault="00A43819" w:rsidP="00A43819">
      <w:pPr>
        <w:pStyle w:val="2"/>
        <w:rPr>
          <w:i/>
          <w:iCs/>
        </w:rPr>
      </w:pPr>
      <w:r>
        <w:br w:type="page"/>
      </w:r>
      <w:bookmarkStart w:id="9" w:name="_Toc22028900"/>
      <w:bookmarkStart w:id="10" w:name="_Toc22029183"/>
      <w:bookmarkStart w:id="11" w:name="_Toc22096686"/>
      <w:bookmarkStart w:id="12" w:name="_Toc22096732"/>
      <w:bookmarkStart w:id="13" w:name="_Toc22096835"/>
      <w:bookmarkStart w:id="14" w:name="_Toc22128872"/>
      <w:bookmarkStart w:id="15" w:name="_Toc22131752"/>
      <w:bookmarkStart w:id="16" w:name="_Toc22303095"/>
      <w:bookmarkStart w:id="17" w:name="_Toc217463696"/>
      <w:r>
        <w:lastRenderedPageBreak/>
        <w:t xml:space="preserve">5.4. Контур  </w:t>
      </w:r>
      <w:r>
        <w:rPr>
          <w:i/>
          <w:iCs/>
        </w:rPr>
        <w:t>НЕОГРАНИЧЕННЫЙ  КОНКУРЕНТНЫЙ  РОСТ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p w:rsidR="00A43819" w:rsidRDefault="00A43819" w:rsidP="00A43819">
      <w:pPr>
        <w:ind w:firstLine="567"/>
      </w:pPr>
    </w:p>
    <w:p w:rsidR="00A43819" w:rsidRDefault="00A43819" w:rsidP="00A43819">
      <w:pPr>
        <w:pStyle w:val="a5"/>
      </w:pPr>
      <w:r>
        <w:t>Контур  НЕОГРАНИЧЕННЫЙ  КОНКУРЕНТНЫЙ  РОСТ  формируется из двух рефлексивных контуров  САМОУСИЛЕНИЕ таким образом, что рост (или падение) содержимого одного контура осуществляется в контексте "</w:t>
      </w:r>
      <w:r>
        <w:rPr>
          <w:i/>
          <w:iCs/>
        </w:rPr>
        <w:t>жизни</w:t>
      </w:r>
      <w:r>
        <w:t>"  другого.</w:t>
      </w:r>
    </w:p>
    <w:p w:rsidR="00A43819" w:rsidRDefault="00A43819" w:rsidP="00A43819">
      <w:pPr>
        <w:pStyle w:val="a5"/>
        <w:ind w:firstLine="0"/>
      </w:pPr>
    </w:p>
    <w:p w:rsidR="00A43819" w:rsidRDefault="00A43819" w:rsidP="00A43819">
      <w:pPr>
        <w:pStyle w:val="a5"/>
        <w:ind w:firstLine="0"/>
      </w:pPr>
      <w:r>
        <w:t>БИЗНЕС-МЕТАФОРА 1</w:t>
      </w:r>
    </w:p>
    <w:p w:rsidR="00A43819" w:rsidRDefault="00A43819" w:rsidP="00A43819">
      <w:pPr>
        <w:pStyle w:val="a5"/>
      </w:pPr>
    </w:p>
    <w:p w:rsidR="00A43819" w:rsidRDefault="00A43819" w:rsidP="00A43819">
      <w:pPr>
        <w:pStyle w:val="a5"/>
      </w:pPr>
      <w:r>
        <w:t>Наиболее яркая метафора, демонстрирующая поведение подобной разновидности динамического роста  -  деятельность некоторой фирмы на рынке чистой конкуренции. Подобная идеализированная бизнес-ситуация предполагает деление всего рынка соответствующего товара (или услуг) лишь на две части: рынок фирмы и рынок конкурентов. Предполагается также, что стратегия развития бизнеса у фирмы и её конкурентов схожа и выражается, к примеру, выделением одинаковой части дохода на развитие и освоение новых секторов рынка.</w:t>
      </w:r>
    </w:p>
    <w:p w:rsidR="00A43819" w:rsidRDefault="00A43819" w:rsidP="00A43819">
      <w:pPr>
        <w:pStyle w:val="a5"/>
      </w:pPr>
      <w:r>
        <w:t>При равных начальных условиях потребителям практически невозможно отдать кому-то предпочтение, поэтому передел рынка не предполагается. Однако</w:t>
      </w:r>
      <w:proofErr w:type="gramStart"/>
      <w:r>
        <w:t>,</w:t>
      </w:r>
      <w:proofErr w:type="gramEnd"/>
      <w:r>
        <w:t xml:space="preserve"> если в самом начале моделируемого периода фирма сумеет захватить большую долю рынка, начинается его лавинообразный захват, приводящий в итоге к полному вытеснению конкурентов.</w:t>
      </w:r>
    </w:p>
    <w:p w:rsidR="00A43819" w:rsidRDefault="00A43819" w:rsidP="00A43819">
      <w:pPr>
        <w:pStyle w:val="a5"/>
      </w:pPr>
      <w:r>
        <w:t xml:space="preserve">В схеме </w:t>
      </w:r>
      <w:r>
        <w:rPr>
          <w:i/>
          <w:iCs/>
        </w:rPr>
        <w:t>ВФП</w:t>
      </w:r>
      <w:r>
        <w:t xml:space="preserve">  используется двунаправленный поток и при положительном значении конкурентного преимущества пополнение осуществляется в сторону "</w:t>
      </w:r>
      <w:r>
        <w:rPr>
          <w:i/>
          <w:iCs/>
        </w:rPr>
        <w:t>светлой</w:t>
      </w:r>
      <w:r>
        <w:t xml:space="preserve">" стрелки, что обеспечивает увеличение доли рынка фирмы. При отрицательном значении  -  начинает агрессивно пополняться фонд доли рынка конкурентов.       </w:t>
      </w:r>
    </w:p>
    <w:p w:rsidR="00A43819" w:rsidRDefault="00A43819" w:rsidP="00A43819">
      <w:pPr>
        <w:ind w:firstLine="567"/>
        <w:jc w:val="both"/>
      </w:pPr>
    </w:p>
    <w:p w:rsidR="00A43819" w:rsidRDefault="00A43819" w:rsidP="00A43819">
      <w:r>
        <w:t>БИЗНЕС-МЕТАФОРА 2</w:t>
      </w:r>
    </w:p>
    <w:p w:rsidR="00A43819" w:rsidRDefault="00A43819" w:rsidP="00A43819"/>
    <w:p w:rsidR="00A43819" w:rsidRDefault="00A43819" w:rsidP="00A43819">
      <w:pPr>
        <w:ind w:firstLine="567"/>
        <w:jc w:val="both"/>
      </w:pPr>
      <w:r>
        <w:t>Аналогично можно представить бизнес-ситуацию конкурентного деления финансовых ресурсов между параллельно существующими подразделениями.  Действительно, чем больших успехов достигает подразделение, тем на более обильное внутреннее финансирование со стороны руководства оно может рас</w:t>
      </w:r>
      <w:proofErr w:type="gramStart"/>
      <w:r>
        <w:rPr>
          <w:lang w:val="en-US"/>
        </w:rPr>
        <w:t>c</w:t>
      </w:r>
      <w:proofErr w:type="gramEnd"/>
      <w:r>
        <w:t>читывать. И здесь опять, в зависимости от стартовых условий финансирования,  возможна смена лидера.</w:t>
      </w:r>
    </w:p>
    <w:p w:rsidR="00A43819" w:rsidRDefault="00A43819" w:rsidP="00A43819">
      <w:pPr>
        <w:ind w:firstLine="567"/>
        <w:jc w:val="both"/>
      </w:pPr>
      <w:r>
        <w:t>Анализ поведения подобных организационных структур может способствовать совершенствованию следующих управленческих стратегий:</w:t>
      </w:r>
    </w:p>
    <w:p w:rsidR="00A43819" w:rsidRDefault="00A43819" w:rsidP="00A43819">
      <w:pPr>
        <w:ind w:firstLine="567"/>
        <w:jc w:val="both"/>
      </w:pPr>
    </w:p>
    <w:p w:rsidR="00A43819" w:rsidRDefault="00A43819" w:rsidP="00A43819">
      <w:pPr>
        <w:numPr>
          <w:ilvl w:val="0"/>
          <w:numId w:val="1"/>
        </w:numPr>
        <w:jc w:val="both"/>
      </w:pPr>
      <w:r>
        <w:t>сбалансированному распределению финансовых ресурсов между подразделениями;</w:t>
      </w:r>
    </w:p>
    <w:p w:rsidR="00A43819" w:rsidRDefault="00A43819" w:rsidP="00A43819">
      <w:pPr>
        <w:numPr>
          <w:ilvl w:val="0"/>
          <w:numId w:val="1"/>
        </w:numPr>
        <w:jc w:val="both"/>
      </w:pPr>
      <w:r>
        <w:t xml:space="preserve">устранению централизованного источника финансирования соответствующих подразделений (что отобразится на схеме </w:t>
      </w:r>
      <w:r>
        <w:rPr>
          <w:i/>
          <w:iCs/>
        </w:rPr>
        <w:t>ВФП</w:t>
      </w:r>
      <w:r>
        <w:t xml:space="preserve"> разделением контуров </w:t>
      </w:r>
      <w:proofErr w:type="spellStart"/>
      <w:r>
        <w:t>самоусиления</w:t>
      </w:r>
      <w:proofErr w:type="spellEnd"/>
      <w:r>
        <w:t>).</w:t>
      </w:r>
    </w:p>
    <w:p w:rsidR="00A43819" w:rsidRDefault="00A43819" w:rsidP="00A43819">
      <w:pPr>
        <w:jc w:val="both"/>
      </w:pPr>
    </w:p>
    <w:p w:rsidR="00A43819" w:rsidRDefault="00A43819" w:rsidP="00A43819">
      <w:pPr>
        <w:ind w:firstLine="567"/>
      </w:pPr>
      <w:r>
        <w:t>"</w:t>
      </w:r>
      <w:r>
        <w:rPr>
          <w:b/>
          <w:bCs/>
          <w:i/>
          <w:iCs/>
        </w:rPr>
        <w:t>А что, если</w:t>
      </w:r>
      <w:proofErr w:type="gramStart"/>
      <w:r>
        <w:rPr>
          <w:b/>
          <w:bCs/>
          <w:i/>
          <w:iCs/>
        </w:rPr>
        <w:t xml:space="preserve"> .</w:t>
      </w:r>
      <w:proofErr w:type="gramEnd"/>
      <w:r>
        <w:rPr>
          <w:b/>
          <w:bCs/>
          <w:i/>
          <w:iCs/>
        </w:rPr>
        <w:t xml:space="preserve"> . .</w:t>
      </w:r>
      <w:r>
        <w:t>"  изменить стартовую долю финансовых ресурсов подразделения 1 и понаблюдать за их ростом в зависимости от доли ресурсов, выделяемых на развитие?  И как при этом в динамике будут соотноситься объемы финансирования подразделений?</w:t>
      </w:r>
    </w:p>
    <w:p w:rsidR="00A43819" w:rsidRPr="00A43819" w:rsidRDefault="00A43819" w:rsidP="00A43819">
      <w:pPr>
        <w:ind w:firstLine="567"/>
      </w:pPr>
      <w:r>
        <w:rPr>
          <w:noProof/>
          <w:sz w:val="20"/>
          <w:lang w:eastAsia="ru-RU"/>
        </w:rPr>
        <w:lastRenderedPageBreak/>
        <w:drawing>
          <wp:anchor distT="0" distB="0" distL="114300" distR="114300" simplePos="0" relativeHeight="251663360" behindDoc="0" locked="0" layoutInCell="1" allowOverlap="0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5271770" cy="7028815"/>
            <wp:effectExtent l="0" t="0" r="5080" b="635"/>
            <wp:wrapSquare wrapText="bothSides"/>
            <wp:docPr id="8" name="Рисунок 8" descr="m4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4_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702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28"/>
      </w:tblGrid>
      <w:tr w:rsidR="00A43819" w:rsidTr="00EB5196">
        <w:tblPrEx>
          <w:tblCellMar>
            <w:top w:w="0" w:type="dxa"/>
            <w:bottom w:w="0" w:type="dxa"/>
          </w:tblCellMar>
        </w:tblPrEx>
        <w:trPr>
          <w:cantSplit/>
          <w:trHeight w:val="1134"/>
        </w:trPr>
        <w:tc>
          <w:tcPr>
            <w:tcW w:w="8528" w:type="dxa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:rsidR="00A43819" w:rsidRDefault="00A43819" w:rsidP="00EB5196">
            <w:pPr>
              <w:ind w:left="113" w:right="113"/>
              <w:rPr>
                <w:b/>
                <w:bCs/>
                <w:i/>
                <w:iCs/>
                <w:sz w:val="32"/>
                <w:u w:val="single"/>
                <w:lang w:val="en-US"/>
              </w:rPr>
            </w:pPr>
            <w:proofErr w:type="spellStart"/>
            <w:r>
              <w:rPr>
                <w:b/>
                <w:bCs/>
                <w:i/>
                <w:iCs/>
                <w:sz w:val="32"/>
                <w:u w:val="single"/>
                <w:lang w:val="en-US"/>
              </w:rPr>
              <w:t>Ithink</w:t>
            </w:r>
            <w:proofErr w:type="spellEnd"/>
          </w:p>
        </w:tc>
      </w:tr>
    </w:tbl>
    <w:p w:rsidR="00A43819" w:rsidRDefault="00A43819" w:rsidP="00A43819">
      <w:pPr>
        <w:rPr>
          <w:b/>
          <w:bCs/>
          <w:i/>
          <w:iCs/>
          <w:sz w:val="32"/>
          <w:u w:val="single"/>
          <w:lang w:val="en-US"/>
        </w:rPr>
      </w:pPr>
    </w:p>
    <w:p w:rsidR="00A43819" w:rsidRDefault="00A43819" w:rsidP="00A43819">
      <w:pPr>
        <w:rPr>
          <w:b/>
          <w:bCs/>
          <w:i/>
          <w:iCs/>
          <w:sz w:val="32"/>
          <w:u w:val="single"/>
          <w:lang w:val="en-US"/>
        </w:rPr>
      </w:pPr>
      <w:r>
        <w:rPr>
          <w:b/>
          <w:bCs/>
          <w:i/>
          <w:iCs/>
          <w:sz w:val="32"/>
          <w:u w:val="single"/>
          <w:lang w:val="en-US"/>
        </w:rPr>
        <w:br w:type="page"/>
      </w:r>
      <w:r>
        <w:rPr>
          <w:noProof/>
          <w:sz w:val="20"/>
          <w:lang w:eastAsia="ru-RU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5279390" cy="7919720"/>
            <wp:effectExtent l="19050" t="19050" r="16510" b="24130"/>
            <wp:wrapSquare wrapText="bothSides"/>
            <wp:docPr id="7" name="Рисунок 7" descr="m4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4_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791972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i/>
          <w:iCs/>
          <w:sz w:val="32"/>
          <w:u w:val="single"/>
          <w:lang w:val="en-US"/>
        </w:rPr>
        <w:br w:type="page"/>
      </w:r>
      <w:r>
        <w:rPr>
          <w:noProof/>
          <w:sz w:val="20"/>
          <w:lang w:eastAsia="ru-RU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5279390" cy="8006715"/>
            <wp:effectExtent l="19050" t="19050" r="16510" b="13335"/>
            <wp:wrapSquare wrapText="bothSides"/>
            <wp:docPr id="6" name="Рисунок 6" descr="m4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4_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800671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i/>
          <w:iCs/>
          <w:sz w:val="32"/>
          <w:u w:val="single"/>
          <w:lang w:val="en-US"/>
        </w:rPr>
        <w:br w:type="page"/>
      </w:r>
    </w:p>
    <w:p w:rsidR="00A43819" w:rsidRDefault="00A43819" w:rsidP="00A43819">
      <w:pPr>
        <w:rPr>
          <w:b/>
          <w:bCs/>
          <w:i/>
          <w:iCs/>
          <w:sz w:val="32"/>
          <w:u w:val="single"/>
          <w:lang w:val="en-US"/>
        </w:rPr>
      </w:pPr>
      <w:r>
        <w:rPr>
          <w:noProof/>
          <w:sz w:val="20"/>
          <w:lang w:eastAsia="ru-RU"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5271770" cy="5391150"/>
            <wp:effectExtent l="19050" t="19050" r="24130" b="19050"/>
            <wp:wrapSquare wrapText="bothSides"/>
            <wp:docPr id="5" name="Рисунок 5" descr="m4_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4_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53911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A205F" w:rsidRDefault="00A43819" w:rsidP="00A43819">
      <w:r>
        <w:rPr>
          <w:noProof/>
          <w:sz w:val="20"/>
        </w:rPr>
        <w:t xml:space="preserve"> </w:t>
      </w:r>
      <w:r>
        <w:br w:type="page"/>
      </w:r>
      <w:bookmarkStart w:id="18" w:name="_GoBack"/>
      <w:bookmarkEnd w:id="18"/>
    </w:p>
    <w:sectPr w:rsidR="009A20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1F6278"/>
    <w:multiLevelType w:val="hybridMultilevel"/>
    <w:tmpl w:val="D26AC78C"/>
    <w:lvl w:ilvl="0" w:tplc="8F7AA6A0"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3819"/>
    <w:rsid w:val="009A205F"/>
    <w:rsid w:val="00A43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3819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2">
    <w:name w:val="heading 2"/>
    <w:basedOn w:val="a"/>
    <w:next w:val="a"/>
    <w:link w:val="20"/>
    <w:qFormat/>
    <w:rsid w:val="00A43819"/>
    <w:pPr>
      <w:keepNext/>
      <w:outlineLvl w:val="1"/>
    </w:pPr>
    <w:rPr>
      <w:b/>
      <w:bCs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A4381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A43819"/>
    <w:rPr>
      <w:rFonts w:ascii="Times New Roman" w:eastAsia="Times New Roman" w:hAnsi="Times New Roman" w:cs="Times New Roman"/>
      <w:sz w:val="24"/>
      <w:szCs w:val="20"/>
    </w:rPr>
  </w:style>
  <w:style w:type="paragraph" w:styleId="a5">
    <w:name w:val="Body Text Indent"/>
    <w:basedOn w:val="a"/>
    <w:link w:val="a6"/>
    <w:rsid w:val="00A43819"/>
    <w:pPr>
      <w:ind w:firstLine="567"/>
      <w:jc w:val="both"/>
    </w:pPr>
  </w:style>
  <w:style w:type="character" w:customStyle="1" w:styleId="a6">
    <w:name w:val="Основной текст с отступом Знак"/>
    <w:basedOn w:val="a0"/>
    <w:link w:val="a5"/>
    <w:rsid w:val="00A43819"/>
    <w:rPr>
      <w:rFonts w:ascii="Times New Roman" w:eastAsia="Times New Roman" w:hAnsi="Times New Roman" w:cs="Times New Roman"/>
      <w:sz w:val="24"/>
      <w:szCs w:val="20"/>
    </w:rPr>
  </w:style>
  <w:style w:type="paragraph" w:styleId="a7">
    <w:name w:val="Body Text"/>
    <w:basedOn w:val="a"/>
    <w:link w:val="a8"/>
    <w:rsid w:val="00A43819"/>
    <w:pPr>
      <w:jc w:val="center"/>
    </w:pPr>
    <w:rPr>
      <w:b/>
      <w:lang w:eastAsia="ru-RU"/>
    </w:rPr>
  </w:style>
  <w:style w:type="character" w:customStyle="1" w:styleId="a8">
    <w:name w:val="Основной текст Знак"/>
    <w:basedOn w:val="a0"/>
    <w:link w:val="a7"/>
    <w:rsid w:val="00A43819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A43819"/>
    <w:rPr>
      <w:rFonts w:ascii="Times New Roman" w:eastAsia="Times New Roman" w:hAnsi="Times New Roman" w:cs="Times New Roman"/>
      <w:b/>
      <w:bCs/>
      <w:sz w:val="24"/>
      <w:szCs w:val="2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3819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2">
    <w:name w:val="heading 2"/>
    <w:basedOn w:val="a"/>
    <w:next w:val="a"/>
    <w:link w:val="20"/>
    <w:qFormat/>
    <w:rsid w:val="00A43819"/>
    <w:pPr>
      <w:keepNext/>
      <w:outlineLvl w:val="1"/>
    </w:pPr>
    <w:rPr>
      <w:b/>
      <w:bCs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A4381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A43819"/>
    <w:rPr>
      <w:rFonts w:ascii="Times New Roman" w:eastAsia="Times New Roman" w:hAnsi="Times New Roman" w:cs="Times New Roman"/>
      <w:sz w:val="24"/>
      <w:szCs w:val="20"/>
    </w:rPr>
  </w:style>
  <w:style w:type="paragraph" w:styleId="a5">
    <w:name w:val="Body Text Indent"/>
    <w:basedOn w:val="a"/>
    <w:link w:val="a6"/>
    <w:rsid w:val="00A43819"/>
    <w:pPr>
      <w:ind w:firstLine="567"/>
      <w:jc w:val="both"/>
    </w:pPr>
  </w:style>
  <w:style w:type="character" w:customStyle="1" w:styleId="a6">
    <w:name w:val="Основной текст с отступом Знак"/>
    <w:basedOn w:val="a0"/>
    <w:link w:val="a5"/>
    <w:rsid w:val="00A43819"/>
    <w:rPr>
      <w:rFonts w:ascii="Times New Roman" w:eastAsia="Times New Roman" w:hAnsi="Times New Roman" w:cs="Times New Roman"/>
      <w:sz w:val="24"/>
      <w:szCs w:val="20"/>
    </w:rPr>
  </w:style>
  <w:style w:type="paragraph" w:styleId="a7">
    <w:name w:val="Body Text"/>
    <w:basedOn w:val="a"/>
    <w:link w:val="a8"/>
    <w:rsid w:val="00A43819"/>
    <w:pPr>
      <w:jc w:val="center"/>
    </w:pPr>
    <w:rPr>
      <w:b/>
      <w:lang w:eastAsia="ru-RU"/>
    </w:rPr>
  </w:style>
  <w:style w:type="character" w:customStyle="1" w:styleId="a8">
    <w:name w:val="Основной текст Знак"/>
    <w:basedOn w:val="a0"/>
    <w:link w:val="a7"/>
    <w:rsid w:val="00A43819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A43819"/>
    <w:rPr>
      <w:rFonts w:ascii="Times New Roman" w:eastAsia="Times New Roman" w:hAnsi="Times New Roman" w:cs="Times New Roman"/>
      <w:b/>
      <w:bCs/>
      <w:sz w:val="24"/>
      <w:szCs w:val="2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757</Words>
  <Characters>4316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Кузнецова Елена Владимировна</dc:creator>
  <cp:lastModifiedBy>Кузнецова Елена Владимировна</cp:lastModifiedBy>
  <cp:revision>1</cp:revision>
  <dcterms:created xsi:type="dcterms:W3CDTF">2014-09-20T09:09:00Z</dcterms:created>
  <dcterms:modified xsi:type="dcterms:W3CDTF">2014-09-20T09:12:00Z</dcterms:modified>
</cp:coreProperties>
</file>