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48E5" w14:textId="73E471AC" w:rsidR="00702B17" w:rsidRPr="00702B17" w:rsidRDefault="00702B17" w:rsidP="00702B17">
      <w:pPr>
        <w:pStyle w:val="Titre"/>
      </w:pPr>
      <w:r>
        <w:t>Scénario technique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391"/>
        <w:gridCol w:w="4534"/>
        <w:gridCol w:w="851"/>
        <w:gridCol w:w="851"/>
        <w:gridCol w:w="3367"/>
      </w:tblGrid>
      <w:tr w:rsidR="00702B17" w14:paraId="1FFD16D0" w14:textId="77777777" w:rsidTr="00C155DA">
        <w:trPr>
          <w:trHeight w:val="557"/>
        </w:trPr>
        <w:tc>
          <w:tcPr>
            <w:tcW w:w="1569" w:type="pct"/>
            <w:shd w:val="clear" w:color="auto" w:fill="BFBFBF" w:themeFill="background1" w:themeFillShade="BF"/>
            <w:vAlign w:val="center"/>
          </w:tcPr>
          <w:p w14:paraId="30049C20" w14:textId="77777777" w:rsidR="00702B17" w:rsidRDefault="00702B17" w:rsidP="00C155DA">
            <w:pPr>
              <w:jc w:val="center"/>
            </w:pPr>
            <w:r>
              <w:t>Action</w:t>
            </w:r>
          </w:p>
        </w:tc>
        <w:tc>
          <w:tcPr>
            <w:tcW w:w="1620" w:type="pct"/>
            <w:shd w:val="clear" w:color="auto" w:fill="BFBFBF" w:themeFill="background1" w:themeFillShade="BF"/>
            <w:vAlign w:val="center"/>
          </w:tcPr>
          <w:p w14:paraId="3BE6457A" w14:textId="77777777" w:rsidR="00702B17" w:rsidRDefault="00702B17" w:rsidP="00C155DA">
            <w:pPr>
              <w:jc w:val="center"/>
            </w:pPr>
            <w:r>
              <w:t>Résultats attendus</w:t>
            </w:r>
          </w:p>
        </w:tc>
        <w:tc>
          <w:tcPr>
            <w:tcW w:w="304" w:type="pct"/>
            <w:shd w:val="clear" w:color="auto" w:fill="BFBFBF" w:themeFill="background1" w:themeFillShade="BF"/>
            <w:vAlign w:val="center"/>
          </w:tcPr>
          <w:p w14:paraId="0C042899" w14:textId="77777777" w:rsidR="00702B17" w:rsidRDefault="00702B17" w:rsidP="00C155DA">
            <w:pPr>
              <w:jc w:val="center"/>
            </w:pPr>
            <w:r>
              <w:t>OK</w:t>
            </w:r>
          </w:p>
        </w:tc>
        <w:tc>
          <w:tcPr>
            <w:tcW w:w="304" w:type="pct"/>
            <w:shd w:val="clear" w:color="auto" w:fill="BFBFBF" w:themeFill="background1" w:themeFillShade="BF"/>
            <w:vAlign w:val="center"/>
          </w:tcPr>
          <w:p w14:paraId="16962FCE" w14:textId="77777777" w:rsidR="00702B17" w:rsidRDefault="00702B17" w:rsidP="00C155DA">
            <w:pPr>
              <w:jc w:val="center"/>
            </w:pPr>
            <w:r>
              <w:t>KO</w:t>
            </w:r>
          </w:p>
        </w:tc>
        <w:tc>
          <w:tcPr>
            <w:tcW w:w="1203" w:type="pct"/>
            <w:shd w:val="clear" w:color="auto" w:fill="BFBFBF" w:themeFill="background1" w:themeFillShade="BF"/>
            <w:vAlign w:val="center"/>
          </w:tcPr>
          <w:p w14:paraId="1AB4AA7C" w14:textId="77777777" w:rsidR="00702B17" w:rsidRDefault="00702B17" w:rsidP="00C155DA">
            <w:pPr>
              <w:jc w:val="center"/>
            </w:pPr>
            <w:r>
              <w:t>Commentaires</w:t>
            </w:r>
          </w:p>
        </w:tc>
      </w:tr>
      <w:tr w:rsidR="00702B17" w14:paraId="7CFF08CF" w14:textId="77777777" w:rsidTr="00C155DA">
        <w:tc>
          <w:tcPr>
            <w:tcW w:w="1569" w:type="pct"/>
          </w:tcPr>
          <w:p w14:paraId="4B60F324" w14:textId="33F4FAAD" w:rsidR="00702B17" w:rsidRDefault="00702B17" w:rsidP="00C155DA">
            <w:r>
              <w:t>Lorsque le programme est lancé, l’onglet Service/Vaccin est affiché</w:t>
            </w:r>
          </w:p>
        </w:tc>
        <w:tc>
          <w:tcPr>
            <w:tcW w:w="1620" w:type="pct"/>
          </w:tcPr>
          <w:p w14:paraId="615C9427" w14:textId="49FB7D4A" w:rsidR="00702B17" w:rsidRDefault="009328E8" w:rsidP="00C155DA">
            <w:r>
              <w:t xml:space="preserve">L’application est </w:t>
            </w:r>
            <w:r w:rsidR="00F8289A">
              <w:t>démarrée sur l’onglet Service/Vaccin</w:t>
            </w:r>
          </w:p>
        </w:tc>
        <w:tc>
          <w:tcPr>
            <w:tcW w:w="304" w:type="pct"/>
          </w:tcPr>
          <w:p w14:paraId="37AC8179" w14:textId="77777777" w:rsidR="00702B17" w:rsidRDefault="00702B17" w:rsidP="00C155DA"/>
        </w:tc>
        <w:tc>
          <w:tcPr>
            <w:tcW w:w="304" w:type="pct"/>
          </w:tcPr>
          <w:p w14:paraId="6FEFC89C" w14:textId="77777777" w:rsidR="00702B17" w:rsidRDefault="00702B17" w:rsidP="00C155DA"/>
        </w:tc>
        <w:tc>
          <w:tcPr>
            <w:tcW w:w="1203" w:type="pct"/>
          </w:tcPr>
          <w:p w14:paraId="5CEFF7B7" w14:textId="77777777" w:rsidR="00702B17" w:rsidRDefault="00702B17" w:rsidP="00C155DA"/>
        </w:tc>
      </w:tr>
      <w:tr w:rsidR="00702B17" w14:paraId="3AC38770" w14:textId="77777777" w:rsidTr="00C155DA">
        <w:tc>
          <w:tcPr>
            <w:tcW w:w="1569" w:type="pct"/>
          </w:tcPr>
          <w:p w14:paraId="5F01EB87" w14:textId="58417C70" w:rsidR="00702B17" w:rsidRDefault="00702B17" w:rsidP="00C155DA">
            <w:r>
              <w:t>Lors de la soumission de n’importe quelle formulaire, l’application doit rediriger l’utilisateur</w:t>
            </w:r>
            <w:r w:rsidR="0016718A">
              <w:t xml:space="preserve"> sur le même onglet avec les champs réinitialisés aux valeurs par défaut</w:t>
            </w:r>
          </w:p>
        </w:tc>
        <w:tc>
          <w:tcPr>
            <w:tcW w:w="1620" w:type="pct"/>
          </w:tcPr>
          <w:p w14:paraId="67B57D79" w14:textId="7E14C30A" w:rsidR="00702B17" w:rsidRDefault="00F8289A" w:rsidP="00C155DA">
            <w:r>
              <w:t>Après soumission, je ne change pas d’onglet et tous les champs sont réinitialisés par défaut</w:t>
            </w:r>
          </w:p>
        </w:tc>
        <w:tc>
          <w:tcPr>
            <w:tcW w:w="304" w:type="pct"/>
          </w:tcPr>
          <w:p w14:paraId="389B6638" w14:textId="77777777" w:rsidR="00702B17" w:rsidRDefault="00702B17" w:rsidP="00C155DA"/>
        </w:tc>
        <w:tc>
          <w:tcPr>
            <w:tcW w:w="304" w:type="pct"/>
          </w:tcPr>
          <w:p w14:paraId="3CAD5553" w14:textId="77777777" w:rsidR="00702B17" w:rsidRDefault="00702B17" w:rsidP="00C155DA"/>
        </w:tc>
        <w:tc>
          <w:tcPr>
            <w:tcW w:w="1203" w:type="pct"/>
          </w:tcPr>
          <w:p w14:paraId="60AF28F7" w14:textId="77777777" w:rsidR="00702B17" w:rsidRDefault="00702B17" w:rsidP="00C155DA"/>
        </w:tc>
      </w:tr>
      <w:tr w:rsidR="00702B17" w14:paraId="1C382986" w14:textId="77777777" w:rsidTr="00C155DA">
        <w:tc>
          <w:tcPr>
            <w:tcW w:w="1569" w:type="pct"/>
          </w:tcPr>
          <w:p w14:paraId="7A2FA941" w14:textId="4681AB95" w:rsidR="00702B17" w:rsidRDefault="0016718A" w:rsidP="00C155DA">
            <w:r>
              <w:t>Il est impossible de valider le formulaire d’un service si le nombre de ce dernier n’est pas suffisant dans la BDD</w:t>
            </w:r>
          </w:p>
        </w:tc>
        <w:tc>
          <w:tcPr>
            <w:tcW w:w="1620" w:type="pct"/>
          </w:tcPr>
          <w:p w14:paraId="016111B2" w14:textId="77777777" w:rsidR="00702B17" w:rsidRDefault="00F8289A" w:rsidP="00C155DA">
            <w:r>
              <w:t>Soit le bouton Validation est grisé (</w:t>
            </w:r>
            <w:proofErr w:type="spellStart"/>
            <w:r>
              <w:t>disable</w:t>
            </w:r>
            <w:proofErr w:type="spellEnd"/>
            <w:r>
              <w:t>)</w:t>
            </w:r>
          </w:p>
          <w:p w14:paraId="117D0D17" w14:textId="29B8E819" w:rsidR="00F8289A" w:rsidRDefault="00F8289A" w:rsidP="00C155DA">
            <w:r>
              <w:t xml:space="preserve">Soit après avoir cliqué sur le bouton Validation, une alerte s’affiche en m’indiquant la non-validité de </w:t>
            </w:r>
            <w:r w:rsidR="005304C2">
              <w:t>l</w:t>
            </w:r>
            <w:r>
              <w:t>a demande</w:t>
            </w:r>
          </w:p>
        </w:tc>
        <w:tc>
          <w:tcPr>
            <w:tcW w:w="304" w:type="pct"/>
          </w:tcPr>
          <w:p w14:paraId="056BE32E" w14:textId="77777777" w:rsidR="00702B17" w:rsidRDefault="00702B17" w:rsidP="00C155DA"/>
        </w:tc>
        <w:tc>
          <w:tcPr>
            <w:tcW w:w="304" w:type="pct"/>
          </w:tcPr>
          <w:p w14:paraId="16F71B8D" w14:textId="77777777" w:rsidR="00702B17" w:rsidRDefault="00702B17" w:rsidP="00C155DA"/>
        </w:tc>
        <w:tc>
          <w:tcPr>
            <w:tcW w:w="1203" w:type="pct"/>
          </w:tcPr>
          <w:p w14:paraId="20E8C0C6" w14:textId="77777777" w:rsidR="00702B17" w:rsidRDefault="00702B17" w:rsidP="00C155DA"/>
        </w:tc>
      </w:tr>
      <w:tr w:rsidR="00702B17" w14:paraId="1FCBEE41" w14:textId="77777777" w:rsidTr="00C155DA">
        <w:tc>
          <w:tcPr>
            <w:tcW w:w="1569" w:type="pct"/>
          </w:tcPr>
          <w:p w14:paraId="319DB8FF" w14:textId="6E2BB0BD" w:rsidR="00702B17" w:rsidRDefault="00F8289A" w:rsidP="00C155DA">
            <w:r>
              <w:t xml:space="preserve">L’utilisateur </w:t>
            </w:r>
            <w:r w:rsidR="00D10678">
              <w:t>ajoute</w:t>
            </w:r>
            <w:r>
              <w:t xml:space="preserve"> de</w:t>
            </w:r>
            <w:r w:rsidR="00D10678">
              <w:t>s</w:t>
            </w:r>
            <w:r>
              <w:t xml:space="preserve"> données dans le stock</w:t>
            </w:r>
            <w:r w:rsidR="0026566D">
              <w:t xml:space="preserve"> en utilisant un Laboratoire déjà existant</w:t>
            </w:r>
          </w:p>
        </w:tc>
        <w:tc>
          <w:tcPr>
            <w:tcW w:w="1620" w:type="pct"/>
          </w:tcPr>
          <w:p w14:paraId="0ACED4C6" w14:textId="0FA77F4F" w:rsidR="00702B17" w:rsidRDefault="00F8289A" w:rsidP="00C155DA">
            <w:r>
              <w:t xml:space="preserve">La ligne dans </w:t>
            </w:r>
            <w:r w:rsidR="00D10678">
              <w:t>la base de données associées est mise à jour</w:t>
            </w:r>
          </w:p>
        </w:tc>
        <w:tc>
          <w:tcPr>
            <w:tcW w:w="304" w:type="pct"/>
          </w:tcPr>
          <w:p w14:paraId="3BC56401" w14:textId="77777777" w:rsidR="00702B17" w:rsidRDefault="00702B17" w:rsidP="00C155DA"/>
        </w:tc>
        <w:tc>
          <w:tcPr>
            <w:tcW w:w="304" w:type="pct"/>
          </w:tcPr>
          <w:p w14:paraId="1E9A5D6C" w14:textId="77777777" w:rsidR="00702B17" w:rsidRDefault="00702B17" w:rsidP="00C155DA"/>
        </w:tc>
        <w:tc>
          <w:tcPr>
            <w:tcW w:w="1203" w:type="pct"/>
          </w:tcPr>
          <w:p w14:paraId="22FEB0A8" w14:textId="77777777" w:rsidR="00702B17" w:rsidRDefault="00702B17" w:rsidP="00C155DA"/>
        </w:tc>
      </w:tr>
      <w:tr w:rsidR="0026566D" w14:paraId="19F73FCF" w14:textId="77777777" w:rsidTr="00C155DA">
        <w:tc>
          <w:tcPr>
            <w:tcW w:w="1569" w:type="pct"/>
          </w:tcPr>
          <w:p w14:paraId="5E158275" w14:textId="526E7AFB" w:rsidR="0026566D" w:rsidRDefault="0026566D" w:rsidP="00C155DA">
            <w:r>
              <w:t>L’utilisateur ajoute des données dans le stock en ajoutant un nouveau Laboratoire</w:t>
            </w:r>
          </w:p>
        </w:tc>
        <w:tc>
          <w:tcPr>
            <w:tcW w:w="1620" w:type="pct"/>
          </w:tcPr>
          <w:p w14:paraId="7A3AB870" w14:textId="65753299" w:rsidR="0026566D" w:rsidRDefault="0026566D" w:rsidP="00C155DA">
            <w:r>
              <w:t>Dans la BDD un nouveau laboratoire est apparu</w:t>
            </w:r>
          </w:p>
        </w:tc>
        <w:tc>
          <w:tcPr>
            <w:tcW w:w="304" w:type="pct"/>
          </w:tcPr>
          <w:p w14:paraId="39C29D25" w14:textId="77777777" w:rsidR="0026566D" w:rsidRDefault="0026566D" w:rsidP="00C155DA"/>
        </w:tc>
        <w:tc>
          <w:tcPr>
            <w:tcW w:w="304" w:type="pct"/>
          </w:tcPr>
          <w:p w14:paraId="7A13630A" w14:textId="77777777" w:rsidR="0026566D" w:rsidRDefault="0026566D" w:rsidP="00C155DA"/>
        </w:tc>
        <w:tc>
          <w:tcPr>
            <w:tcW w:w="1203" w:type="pct"/>
          </w:tcPr>
          <w:p w14:paraId="54CB653A" w14:textId="77777777" w:rsidR="0026566D" w:rsidRDefault="0026566D" w:rsidP="00C155DA"/>
        </w:tc>
      </w:tr>
      <w:tr w:rsidR="0026566D" w14:paraId="409A55C7" w14:textId="77777777" w:rsidTr="00C155DA">
        <w:tc>
          <w:tcPr>
            <w:tcW w:w="1569" w:type="pct"/>
          </w:tcPr>
          <w:p w14:paraId="7AAF9914" w14:textId="54B6A4F7" w:rsidR="0026566D" w:rsidRDefault="0026566D" w:rsidP="00C155DA">
            <w:r>
              <w:t>L’utilisateur ajoute des données dans le stock en utilisant le champs un nouveau Laboratoire alors que le Laboratoire existe dans la BDD</w:t>
            </w:r>
          </w:p>
        </w:tc>
        <w:tc>
          <w:tcPr>
            <w:tcW w:w="1620" w:type="pct"/>
          </w:tcPr>
          <w:p w14:paraId="3D90936B" w14:textId="756A3900" w:rsidR="0026566D" w:rsidRDefault="0026566D" w:rsidP="00C155DA">
            <w:r>
              <w:t xml:space="preserve">La ligne dans la base de données associées est mise à jour et le Laboratoire n’est pas </w:t>
            </w:r>
            <w:r w:rsidR="0075271C">
              <w:t>dupliqué</w:t>
            </w:r>
          </w:p>
        </w:tc>
        <w:tc>
          <w:tcPr>
            <w:tcW w:w="304" w:type="pct"/>
          </w:tcPr>
          <w:p w14:paraId="6E745326" w14:textId="77777777" w:rsidR="0026566D" w:rsidRDefault="0026566D" w:rsidP="00C155DA"/>
        </w:tc>
        <w:tc>
          <w:tcPr>
            <w:tcW w:w="304" w:type="pct"/>
          </w:tcPr>
          <w:p w14:paraId="7FA6CC7E" w14:textId="77777777" w:rsidR="0026566D" w:rsidRDefault="0026566D" w:rsidP="00C155DA"/>
        </w:tc>
        <w:tc>
          <w:tcPr>
            <w:tcW w:w="1203" w:type="pct"/>
          </w:tcPr>
          <w:p w14:paraId="3CFFE8FF" w14:textId="77777777" w:rsidR="0026566D" w:rsidRDefault="0026566D" w:rsidP="00C155DA"/>
        </w:tc>
      </w:tr>
      <w:tr w:rsidR="00702B17" w14:paraId="3174A2AB" w14:textId="77777777" w:rsidTr="00C155DA">
        <w:tc>
          <w:tcPr>
            <w:tcW w:w="1569" w:type="pct"/>
          </w:tcPr>
          <w:p w14:paraId="6D80098E" w14:textId="73613E3A" w:rsidR="00702B17" w:rsidRDefault="00783444" w:rsidP="00C155DA">
            <w:r>
              <w:t>L’utilisateur exécute un service</w:t>
            </w:r>
            <w:r w:rsidR="00D704DA">
              <w:t xml:space="preserve"> en utilisant un client déjà existant</w:t>
            </w:r>
          </w:p>
        </w:tc>
        <w:tc>
          <w:tcPr>
            <w:tcW w:w="1620" w:type="pct"/>
          </w:tcPr>
          <w:p w14:paraId="63FB7389" w14:textId="7989BA61" w:rsidR="00702B17" w:rsidRDefault="00783444" w:rsidP="00C155DA">
            <w:r>
              <w:t>La colonne « nombre » de la ligne dans la BDD associés est réduite du nombre présent dans la requête.</w:t>
            </w:r>
          </w:p>
        </w:tc>
        <w:tc>
          <w:tcPr>
            <w:tcW w:w="304" w:type="pct"/>
          </w:tcPr>
          <w:p w14:paraId="408C3ECA" w14:textId="77777777" w:rsidR="00702B17" w:rsidRDefault="00702B17" w:rsidP="00C155DA"/>
        </w:tc>
        <w:tc>
          <w:tcPr>
            <w:tcW w:w="304" w:type="pct"/>
          </w:tcPr>
          <w:p w14:paraId="5F519410" w14:textId="77777777" w:rsidR="00702B17" w:rsidRDefault="00702B17" w:rsidP="00C155DA"/>
        </w:tc>
        <w:tc>
          <w:tcPr>
            <w:tcW w:w="1203" w:type="pct"/>
          </w:tcPr>
          <w:p w14:paraId="57AA0AFE" w14:textId="77777777" w:rsidR="00702B17" w:rsidRDefault="00702B17" w:rsidP="00C155DA"/>
        </w:tc>
      </w:tr>
      <w:tr w:rsidR="00D704DA" w14:paraId="3FD74A3F" w14:textId="77777777" w:rsidTr="00C155DA">
        <w:tc>
          <w:tcPr>
            <w:tcW w:w="1569" w:type="pct"/>
          </w:tcPr>
          <w:p w14:paraId="42727FBE" w14:textId="65A6690B" w:rsidR="00D704DA" w:rsidRDefault="00D704DA" w:rsidP="00C155DA">
            <w:r>
              <w:t>L’utilisateur exécute un service en utilisant un nouveau client</w:t>
            </w:r>
          </w:p>
        </w:tc>
        <w:tc>
          <w:tcPr>
            <w:tcW w:w="1620" w:type="pct"/>
          </w:tcPr>
          <w:p w14:paraId="3D9B7138" w14:textId="06225749" w:rsidR="00D704DA" w:rsidRDefault="00D704DA" w:rsidP="00C155DA">
            <w:r>
              <w:t xml:space="preserve">Dans la table client, ce nouveau client est </w:t>
            </w:r>
            <w:r w:rsidR="004F3CC0">
              <w:t>apparu</w:t>
            </w:r>
          </w:p>
        </w:tc>
        <w:tc>
          <w:tcPr>
            <w:tcW w:w="304" w:type="pct"/>
          </w:tcPr>
          <w:p w14:paraId="0F5338FA" w14:textId="77777777" w:rsidR="00D704DA" w:rsidRDefault="00D704DA" w:rsidP="00C155DA"/>
        </w:tc>
        <w:tc>
          <w:tcPr>
            <w:tcW w:w="304" w:type="pct"/>
          </w:tcPr>
          <w:p w14:paraId="06BD9B2D" w14:textId="77777777" w:rsidR="00D704DA" w:rsidRDefault="00D704DA" w:rsidP="00C155DA"/>
        </w:tc>
        <w:tc>
          <w:tcPr>
            <w:tcW w:w="1203" w:type="pct"/>
          </w:tcPr>
          <w:p w14:paraId="32F6C459" w14:textId="77777777" w:rsidR="00D704DA" w:rsidRDefault="00D704DA" w:rsidP="00C155DA"/>
        </w:tc>
      </w:tr>
    </w:tbl>
    <w:p w14:paraId="5EAAA67E" w14:textId="77777777" w:rsidR="00702B17" w:rsidRPr="00EC221A" w:rsidRDefault="00702B17" w:rsidP="00EC221A"/>
    <w:sectPr w:rsidR="00702B17" w:rsidRPr="00EC221A" w:rsidSect="00EC221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77"/>
    <w:rsid w:val="000204BF"/>
    <w:rsid w:val="0016718A"/>
    <w:rsid w:val="00230DE3"/>
    <w:rsid w:val="0026566D"/>
    <w:rsid w:val="003644E6"/>
    <w:rsid w:val="003F5678"/>
    <w:rsid w:val="004E3F7F"/>
    <w:rsid w:val="004F3CC0"/>
    <w:rsid w:val="005304C2"/>
    <w:rsid w:val="00702B17"/>
    <w:rsid w:val="0075271C"/>
    <w:rsid w:val="00783444"/>
    <w:rsid w:val="009328E8"/>
    <w:rsid w:val="00AF4797"/>
    <w:rsid w:val="00BE739E"/>
    <w:rsid w:val="00CF3526"/>
    <w:rsid w:val="00D10678"/>
    <w:rsid w:val="00D704DA"/>
    <w:rsid w:val="00D75532"/>
    <w:rsid w:val="00EC221A"/>
    <w:rsid w:val="00F37477"/>
    <w:rsid w:val="00F8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15DC"/>
  <w15:chartTrackingRefBased/>
  <w15:docId w15:val="{4271C7BC-3549-440F-AB89-0290B06F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37477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EC2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02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ben</dc:creator>
  <cp:keywords/>
  <dc:description/>
  <cp:lastModifiedBy>ben ben</cp:lastModifiedBy>
  <cp:revision>8</cp:revision>
  <dcterms:created xsi:type="dcterms:W3CDTF">2022-01-20T09:12:00Z</dcterms:created>
  <dcterms:modified xsi:type="dcterms:W3CDTF">2022-01-21T07:27:00Z</dcterms:modified>
</cp:coreProperties>
</file>