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TS2E Documentation Checklist</w:t>
      </w:r>
    </w:p>
    <w:p>
      <w:r>
        <w:rPr>
          <w:rFonts w:ascii="Arial" w:hAnsi="Arial"/>
          <w:sz w:val="18"/>
        </w:rPr>
        <w:t>Items to document across the lifecycle of LLM-generated survey responses. Complete the Answer column for each item, or write n/a where an item does not apply. Answers may cross-reference a section of the manuscript rather than repeating text.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rPr>
          <w:tblHeader/>
        </w:trPr>
        <w:tc>
          <w:tcPr>
            <w:tcW w:type="dxa" w:w="1247"/>
            <w:shd w:val="clear" w:fill="E6E6E6"/>
            <w:vAlign w:val="top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1928"/>
            <w:shd w:val="clear" w:fill="E6E6E6"/>
            <w:vAlign w:val="top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2041"/>
            <w:shd w:val="clear" w:fill="E6E6E6"/>
            <w:vAlign w:val="top"/>
          </w:tcPr>
          <w:p>
            <w:r>
              <w:rPr>
                <w:rFonts w:ascii="Arial" w:hAnsi="Arial"/>
                <w:b/>
                <w:sz w:val="18"/>
              </w:rPr>
              <w:t>Sub-category</w:t>
            </w:r>
          </w:p>
        </w:tc>
        <w:tc>
          <w:tcPr>
            <w:tcW w:type="dxa" w:w="4309"/>
            <w:shd w:val="clear" w:fill="E6E6E6"/>
            <w:vAlign w:val="top"/>
          </w:tcPr>
          <w:p>
            <w:r>
              <w:rPr>
                <w:rFonts w:ascii="Arial" w:hAnsi="Arial"/>
                <w:b/>
                <w:sz w:val="18"/>
              </w:rPr>
              <w:t>Item and explanation</w:t>
            </w:r>
          </w:p>
        </w:tc>
        <w:tc>
          <w:tcPr>
            <w:tcW w:type="dxa" w:w="4309"/>
            <w:shd w:val="clear" w:fill="E6E6E6"/>
            <w:vAlign w:val="top"/>
          </w:tcPr>
          <w:p>
            <w:r>
              <w:rPr>
                <w:rFonts w:ascii="Arial" w:hAnsi="Arial"/>
                <w:b/>
                <w:sz w:val="18"/>
              </w:rPr>
              <w:t>Answer</w:t>
            </w:r>
          </w:p>
        </w:tc>
      </w:tr>
      <w:tr>
        <w:tc>
          <w:tcPr>
            <w:tcW w:type="dxa" w:w="1247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P. Preliminaries</w:t>
            </w:r>
          </w:p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P1. Goal of simulation</w:t>
            </w:r>
          </w:p>
          <w:p>
            <w:r>
              <w:rPr>
                <w:rFonts w:ascii="Arial" w:hAnsi="Arial"/>
                <w:b w:val="0"/>
                <w:sz w:val="18"/>
              </w:rPr>
              <w:t>How will the synthetic responses be used?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P1.1 Pretesting</w:t>
            </w:r>
          </w:p>
          <w:p>
            <w:r>
              <w:rPr>
                <w:rFonts w:ascii="Arial" w:hAnsi="Arial"/>
                <w:b w:val="0"/>
                <w:sz w:val="18"/>
              </w:rPr>
              <w:t>The synthetic responses are used only to improve an instrument later fielded to humans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041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P1.2 Synthetic Responses as Data</w:t>
            </w:r>
          </w:p>
          <w:p>
            <w:r>
              <w:rPr>
                <w:rFonts w:ascii="Arial" w:hAnsi="Arial"/>
                <w:b w:val="0"/>
                <w:sz w:val="18"/>
              </w:rPr>
              <w:t>The synthetic responses are used for research (scientific and/or commercial) or decision-making</w:t>
            </w:r>
          </w:p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P.1.2.1 Purpose of Study</w:t>
            </w:r>
          </w:p>
          <w:p>
            <w:r>
              <w:rPr>
                <w:rFonts w:ascii="Arial" w:hAnsi="Arial"/>
                <w:b w:val="0"/>
                <w:sz w:val="18"/>
              </w:rPr>
              <w:t>The substantive research goal and whether the aim is descriptive or relational.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P.1.2.2 Degree of Substitution</w:t>
            </w:r>
          </w:p>
          <w:p>
            <w:r>
              <w:rPr>
                <w:rFonts w:ascii="Arial" w:hAnsi="Arial"/>
                <w:b w:val="0"/>
                <w:sz w:val="18"/>
              </w:rPr>
              <w:t>full replacement, a hybrid mix (e.g., imputation), or augmentation of a human sample.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P.1.2.3 High-Stakes Case?</w:t>
            </w:r>
          </w:p>
          <w:p>
            <w:r>
              <w:rPr>
                <w:rFonts w:ascii="Arial" w:hAnsi="Arial"/>
                <w:b w:val="0"/>
                <w:sz w:val="18"/>
              </w:rPr>
              <w:t>Whether errors could drive consequential real-world decisions; high stakes raise the required rigor and disclosure.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4309"/>
            <w:gridSpan w:val="3"/>
            <w:vAlign w:val="top"/>
          </w:tcPr>
          <w:p>
            <w:r>
              <w:rPr>
                <w:rFonts w:ascii="Arial" w:hAnsi="Arial"/>
                <w:b/>
                <w:sz w:val="18"/>
              </w:rPr>
              <w:t>P.2 Hypotheses or Research Questions</w:t>
            </w:r>
          </w:p>
          <w:p>
            <w:r>
              <w:rPr>
                <w:rFonts w:ascii="Arial" w:hAnsi="Arial"/>
                <w:b w:val="0"/>
                <w:sz w:val="18"/>
              </w:rPr>
              <w:t>That are being tested through the simulation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4309"/>
            <w:gridSpan w:val="3"/>
            <w:vAlign w:val="top"/>
          </w:tcPr>
          <w:p>
            <w:r>
              <w:rPr>
                <w:rFonts w:ascii="Arial" w:hAnsi="Arial"/>
                <w:b/>
                <w:sz w:val="18"/>
              </w:rPr>
              <w:t>P.3 Construct</w:t>
            </w:r>
          </w:p>
          <w:p>
            <w:r>
              <w:rPr>
                <w:rFonts w:ascii="Arial" w:hAnsi="Arial"/>
                <w:b w:val="0"/>
                <w:sz w:val="18"/>
              </w:rPr>
              <w:t>The underlying concept the survey measures, decomposed into facets if multidimensional, with the estimand stated precisely.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4309"/>
            <w:gridSpan w:val="3"/>
            <w:vAlign w:val="top"/>
          </w:tcPr>
          <w:p>
            <w:r>
              <w:rPr>
                <w:rFonts w:ascii="Arial" w:hAnsi="Arial"/>
                <w:b/>
                <w:sz w:val="18"/>
              </w:rPr>
              <w:t>P.4 Target Population and Relevant Subgroups</w:t>
            </w:r>
          </w:p>
          <w:p>
            <w:r>
              <w:rPr>
                <w:rFonts w:ascii="Arial" w:hAnsi="Arial"/>
                <w:b w:val="0"/>
                <w:sz w:val="18"/>
              </w:rPr>
              <w:t>Whose responses the simulation should generalize to, plus any subgroups needing separate estimates or comparison, as well as the temporal content to which these findings apply.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1247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Pre-data collection</w:t>
            </w:r>
          </w:p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Q. Questionnaire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Q1.1 Exact Question Phrasing(s)</w:t>
            </w:r>
          </w:p>
          <w:p>
            <w:r>
              <w:rPr>
                <w:rFonts w:ascii="Arial" w:hAnsi="Arial"/>
                <w:b w:val="0"/>
                <w:sz w:val="18"/>
              </w:rPr>
              <w:t>The verbatim wording of each item shown to the LLM, including instructions; reuse should cite source.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Q1.2 Questionnaire Presentation</w:t>
            </w:r>
          </w:p>
          <w:p>
            <w:r>
              <w:rPr>
                <w:rFonts w:ascii="Arial" w:hAnsi="Arial"/>
                <w:b w:val="0"/>
                <w:sz w:val="18"/>
              </w:rPr>
              <w:t>How items are organized and delivered — one at a time, as a battery, or all in one prompt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Q1.3 Question Variations</w:t>
            </w:r>
          </w:p>
          <w:p>
            <w:r>
              <w:rPr>
                <w:rFonts w:ascii="Arial" w:hAnsi="Arial"/>
                <w:b w:val="0"/>
                <w:sz w:val="18"/>
              </w:rPr>
              <w:t>Any alternative phrasings used for robustness or as experimental conditions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Q1.4 Answer Option Variations</w:t>
            </w:r>
          </w:p>
          <w:p>
            <w:r>
              <w:rPr>
                <w:rFonts w:ascii="Arial" w:hAnsi="Arial"/>
                <w:b w:val="0"/>
                <w:sz w:val="18"/>
              </w:rPr>
              <w:t>Alternative response-option sets, e.g., scale length, labels, ordering, and whether “don't know”/“refused” are offered.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Q1.5 Rationale for Questionnaire</w:t>
            </w:r>
          </w:p>
          <w:p>
            <w:r>
              <w:rPr>
                <w:rFonts w:ascii="Arial" w:hAnsi="Arial"/>
                <w:b w:val="0"/>
                <w:sz w:val="18"/>
              </w:rPr>
              <w:t>Justification for the item choices and any pretesting evidence (cognitive testing, pilots, prior validation) that they capture the construct.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S. Simulation Units</w:t>
            </w:r>
          </w:p>
          <w:p>
            <w:r>
              <w:rPr>
                <w:rFonts w:ascii="Arial" w:hAnsi="Arial"/>
                <w:b w:val="0"/>
                <w:sz w:val="18"/>
              </w:rPr>
              <w:t>The unit of observation in the simulation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S.1 Unit Description</w:t>
            </w:r>
          </w:p>
          <w:p>
            <w:r>
              <w:rPr>
                <w:rFonts w:ascii="Arial" w:hAnsi="Arial"/>
                <w:b w:val="0"/>
                <w:sz w:val="18"/>
              </w:rPr>
              <w:t>The list of entities that can be simulated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S.2 Sample Size</w:t>
            </w:r>
          </w:p>
          <w:p>
            <w:r>
              <w:rPr>
                <w:rFonts w:ascii="Arial" w:hAnsi="Arial"/>
                <w:b w:val="0"/>
                <w:sz w:val="18"/>
              </w:rPr>
              <w:t>The number of entities simulated and how it was set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S.3 Sampling Procedure</w:t>
            </w:r>
          </w:p>
          <w:p>
            <w:r>
              <w:rPr>
                <w:rFonts w:ascii="Arial" w:hAnsi="Arial"/>
                <w:b w:val="0"/>
                <w:sz w:val="18"/>
              </w:rPr>
              <w:t>How units were selected from the frame, with any stratification and the random seed. Also state if the sampling is probabilistic, i.e., every frame member had a known, non-zero selection chance.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PC. Persona</w:t>
            </w:r>
          </w:p>
          <w:p>
            <w:r>
              <w:rPr>
                <w:rFonts w:ascii="Arial" w:hAnsi="Arial"/>
                <w:b w:val="0"/>
                <w:sz w:val="18"/>
              </w:rPr>
              <w:t>The prompt-based persona used to steer LLMs during inference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PC.1 Format</w:t>
            </w:r>
          </w:p>
          <w:p>
            <w:r>
              <w:rPr>
                <w:rFonts w:ascii="Arial" w:hAnsi="Arial"/>
                <w:b w:val="0"/>
                <w:sz w:val="18"/>
              </w:rPr>
              <w:t>The grammatical and structural form the persona takes in the prompt.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PC.2 Persona Characteristics</w:t>
            </w:r>
          </w:p>
          <w:p>
            <w:r>
              <w:rPr>
                <w:rFonts w:ascii="Arial" w:hAnsi="Arial"/>
                <w:b w:val="0"/>
                <w:sz w:val="18"/>
              </w:rPr>
              <w:t>Which attributes compose the persona and where their values come from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PC.3 Rationale for Persona Content and Format</w:t>
            </w:r>
          </w:p>
          <w:p>
            <w:r>
              <w:rPr>
                <w:rFonts w:ascii="Arial" w:hAnsi="Arial"/>
                <w:b w:val="0"/>
                <w:sz w:val="18"/>
              </w:rPr>
              <w:t>Justification for the attribute set and format, ideally with evidence that they improve fidelity.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PR. Prompts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PR.1 (C1 in GUIDE-LLM) Exact Prompt</w:t>
            </w:r>
          </w:p>
          <w:p>
            <w:r>
              <w:rPr>
                <w:rFonts w:ascii="Arial" w:hAnsi="Arial"/>
                <w:b w:val="0"/>
                <w:sz w:val="18"/>
              </w:rPr>
              <w:t>The verbatim text of the full prompt, including any in-context examples, exactly as sent to the model.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PR.2 System vs. User Prompt</w:t>
            </w:r>
          </w:p>
          <w:p>
            <w:r>
              <w:rPr>
                <w:rFonts w:ascii="Arial" w:hAnsi="Arial"/>
                <w:b w:val="0"/>
                <w:sz w:val="18"/>
              </w:rPr>
              <w:t>Which prompt channel carries which content, and whether both are used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PR.3 Specialization</w:t>
            </w:r>
          </w:p>
          <w:p>
            <w:r>
              <w:rPr>
                <w:rFonts w:ascii="Arial" w:hAnsi="Arial"/>
                <w:b w:val="0"/>
                <w:sz w:val="18"/>
              </w:rPr>
              <w:t>Task-specific augmentations, e.g., few-shot examples, retrieved background, or injected temporal context.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PR.4 Reasoning</w:t>
            </w:r>
          </w:p>
          <w:p>
            <w:r>
              <w:rPr>
                <w:rFonts w:ascii="Arial" w:hAnsi="Arial"/>
                <w:b w:val="0"/>
                <w:sz w:val="18"/>
              </w:rPr>
              <w:t>Whether and how the model is prompted to reason before answering, and whether the trace is kept.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1247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Data collection</w:t>
            </w:r>
          </w:p>
        </w:tc>
        <w:tc>
          <w:tcPr>
            <w:tcW w:type="dxa" w:w="4309"/>
            <w:gridSpan w:val="3"/>
            <w:vAlign w:val="top"/>
          </w:tcPr>
          <w:p>
            <w:r>
              <w:rPr>
                <w:rFonts w:ascii="Arial" w:hAnsi="Arial"/>
                <w:b/>
                <w:sz w:val="18"/>
              </w:rPr>
              <w:t>NR. Number of Runs</w:t>
            </w:r>
          </w:p>
          <w:p>
            <w:r>
              <w:rPr>
                <w:rFonts w:ascii="Arial" w:hAnsi="Arial"/>
                <w:b w:val="0"/>
                <w:sz w:val="18"/>
              </w:rPr>
              <w:t>How many independent generations per unit.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LLM(s)</w:t>
            </w:r>
          </w:p>
        </w:tc>
        <w:tc>
          <w:tcPr>
            <w:tcW w:type="dxa" w:w="2041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LLM.1 Model(s) Chosen</w:t>
            </w:r>
          </w:p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Link</w:t>
            </w:r>
          </w:p>
          <w:p>
            <w:r>
              <w:rPr>
                <w:rFonts w:ascii="Arial" w:hAnsi="Arial"/>
                <w:b w:val="0"/>
                <w:sz w:val="18"/>
              </w:rPr>
              <w:t>A precise pointer to the exact model and version, e.g., API string, model card, or checkpoint hash.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Rationale</w:t>
            </w:r>
          </w:p>
          <w:p>
            <w:r>
              <w:rPr>
                <w:rFonts w:ascii="Arial" w:hAnsi="Arial"/>
                <w:b w:val="0"/>
                <w:sz w:val="18"/>
              </w:rPr>
              <w:t>The reasons for choosing the specific LLM(s), e.g. performance aspects, privacy or reproducibility aspects, etc.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041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LLM.2 Training Data</w:t>
            </w:r>
          </w:p>
          <w:p>
            <w:r>
              <w:rPr>
                <w:rFonts w:ascii="Arial" w:hAnsi="Arial"/>
                <w:b w:val="0"/>
                <w:sz w:val="18"/>
              </w:rPr>
              <w:t>Information about the LLM’s training data (pre-training, post-training)</w:t>
            </w:r>
          </w:p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Knowledge Cut-off</w:t>
            </w:r>
          </w:p>
          <w:p>
            <w:r>
              <w:rPr>
                <w:rFonts w:ascii="Arial" w:hAnsi="Arial"/>
                <w:b w:val="0"/>
                <w:sz w:val="18"/>
              </w:rPr>
              <w:t>The date past which the model has no training knowledge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Training Data Availability</w:t>
            </w:r>
          </w:p>
          <w:p>
            <w:r>
              <w:rPr>
                <w:rFonts w:ascii="Arial" w:hAnsi="Arial"/>
                <w:b w:val="0"/>
                <w:sz w:val="18"/>
              </w:rPr>
              <w:t>How much is publicly known about the training corpus and its curation.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041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LLM.3 Model Details</w:t>
            </w:r>
          </w:p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Open vs. Proprietary</w:t>
            </w:r>
          </w:p>
          <w:p>
            <w:r>
              <w:rPr>
                <w:rFonts w:ascii="Arial" w:hAnsi="Arial"/>
                <w:b w:val="0"/>
                <w:sz w:val="18"/>
              </w:rPr>
              <w:t>Whether the model is open or a proprietary system accessed through a vendor.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Instruct/Aligned vs. Base</w:t>
            </w:r>
          </w:p>
          <w:p>
            <w:r>
              <w:rPr>
                <w:rFonts w:ascii="Arial" w:hAnsi="Arial"/>
                <w:b w:val="0"/>
                <w:sz w:val="18"/>
              </w:rPr>
              <w:t>Whether the model is instruction-tuned/aligned or a base model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Language Capabilities</w:t>
            </w:r>
          </w:p>
          <w:p>
            <w:r>
              <w:rPr>
                <w:rFonts w:ascii="Arial" w:hAnsi="Arial"/>
                <w:b w:val="0"/>
                <w:sz w:val="18"/>
              </w:rPr>
              <w:t>Languages the model handles well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Temperature</w:t>
            </w:r>
          </w:p>
          <w:p>
            <w:r>
              <w:rPr>
                <w:rFonts w:ascii="Arial" w:hAnsi="Arial"/>
                <w:b w:val="0"/>
                <w:sz w:val="18"/>
              </w:rPr>
              <w:t>The sampling-temperature setting controls randomness and the variance of the LLM outputs, and therefore, of the simulated distribution.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Access Mode</w:t>
            </w:r>
          </w:p>
          <w:p>
            <w:r>
              <w:rPr>
                <w:rFonts w:ascii="Arial" w:hAnsi="Arial"/>
                <w:b w:val="0"/>
                <w:sz w:val="18"/>
              </w:rPr>
              <w:t>How the model was reached, e.g., locally (self-hosted), direct API, hosted interface, or embedded in a survey platform.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RAG-enabled</w:t>
            </w:r>
          </w:p>
          <w:p>
            <w:r>
              <w:rPr>
                <w:rFonts w:ascii="Arial" w:hAnsi="Arial"/>
                <w:b w:val="0"/>
                <w:sz w:val="18"/>
              </w:rPr>
              <w:t>Whether retrieval supplemented the model with external documents at inference, and the corpus used.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vAlign w:val="top"/>
          </w:tcPr>
          <w:p>
            <w:r>
              <w:rPr>
                <w:rFonts w:ascii="Arial" w:hAnsi="Arial"/>
                <w:b/>
                <w:sz w:val="18"/>
              </w:rPr>
              <w:t>Custom fine-tuning or steering</w:t>
            </w:r>
          </w:p>
          <w:p>
            <w:r>
              <w:rPr>
                <w:rFonts w:ascii="Arial" w:hAnsi="Arial"/>
                <w:b w:val="0"/>
                <w:sz w:val="18"/>
              </w:rPr>
              <w:t>Any customization beyond prompting, e.g., fine-tuning, adapters, or activation steering and the data used.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RG. Response Generation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RG.1 Output Mode</w:t>
            </w:r>
          </w:p>
          <w:p>
            <w:r>
              <w:rPr>
                <w:rFonts w:ascii="Arial" w:hAnsi="Arial"/>
                <w:b w:val="0"/>
                <w:sz w:val="18"/>
              </w:rPr>
              <w:t>The form the response takes, e.g., free text, structured JSON, a forced token, or log-probabilities over options.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RG.2 Decoding Parameters</w:t>
            </w:r>
          </w:p>
          <w:p>
            <w:r>
              <w:rPr>
                <w:rFonts w:ascii="Arial" w:hAnsi="Arial"/>
                <w:b w:val="0"/>
                <w:sz w:val="18"/>
              </w:rPr>
              <w:t>Decoding settings beyond temperature — max_tokens, top_p, penalties, stop sequences, seed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1247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Post-data collection</w:t>
            </w:r>
          </w:p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RP. Response Processing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RP.1 LLM-as-judge</w:t>
            </w:r>
          </w:p>
          <w:p>
            <w:r>
              <w:rPr>
                <w:rFonts w:ascii="Arial" w:hAnsi="Arial"/>
                <w:b w:val="0"/>
                <w:sz w:val="18"/>
              </w:rPr>
              <w:t>Whether an LLM interprets or classifies the raw outputs (e.g., mapping free text to a category)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RP.2 Other Automatic Classifier</w:t>
            </w:r>
          </w:p>
          <w:p>
            <w:r>
              <w:rPr>
                <w:rFonts w:ascii="Arial" w:hAnsi="Arial"/>
                <w:b w:val="0"/>
                <w:sz w:val="18"/>
              </w:rPr>
              <w:t>Any non-LLM processing — regex, exact/fuzzy matching, dictionaries, or trained classifiers — and its failure modes.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RW. Respondent Weighting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RW.1 Source of Adjustment Weights</w:t>
            </w:r>
          </w:p>
          <w:p>
            <w:r>
              <w:rPr>
                <w:rFonts w:ascii="Arial" w:hAnsi="Arial"/>
                <w:b w:val="0"/>
                <w:sz w:val="18"/>
              </w:rPr>
              <w:t>Where weights come from, e.g., reused from the human survey, newly built, or none.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RW.2 Weighting Approach</w:t>
            </w:r>
          </w:p>
          <w:p>
            <w:r>
              <w:rPr>
                <w:rFonts w:ascii="Arial" w:hAnsi="Arial"/>
                <w:b w:val="0"/>
                <w:sz w:val="18"/>
              </w:rPr>
              <w:t>The weighting method and adjustment variables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1928"/>
            <w:vMerge w:val="restart"/>
            <w:vAlign w:val="top"/>
          </w:tcPr>
          <w:p>
            <w:r>
              <w:rPr>
                <w:rFonts w:ascii="Arial" w:hAnsi="Arial"/>
                <w:b/>
                <w:sz w:val="18"/>
              </w:rPr>
              <w:t>E. Evaluation</w:t>
            </w:r>
          </w:p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E.1 Reference Responses</w:t>
            </w:r>
          </w:p>
          <w:p>
            <w:r>
              <w:rPr>
                <w:rFonts w:ascii="Arial" w:hAnsi="Arial"/>
                <w:b w:val="0"/>
                <w:sz w:val="18"/>
              </w:rPr>
              <w:t>The ‘ground truth’ compared against, and its potential limits, i.e., it may sit in training data or itself be error-laden.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E.2 Evaluation Metric</w:t>
            </w:r>
          </w:p>
          <w:p>
            <w:r>
              <w:rPr>
                <w:rFonts w:ascii="Arial" w:hAnsi="Arial"/>
                <w:b w:val="0"/>
                <w:sz w:val="18"/>
              </w:rPr>
              <w:t>The metric(s) and the level (individual, distribution, relationship)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E.3 Rationale for Metric and Reference</w:t>
            </w:r>
          </w:p>
          <w:p>
            <w:r>
              <w:rPr>
                <w:rFonts w:ascii="Arial" w:hAnsi="Arial"/>
                <w:b w:val="0"/>
                <w:sz w:val="18"/>
              </w:rPr>
              <w:t>Justification that the metric and reference fit the estimand and stakes, and what they do not capture.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E.4 Subgroup Analysis</w:t>
            </w:r>
          </w:p>
          <w:p>
            <w:r>
              <w:rPr>
                <w:rFonts w:ascii="Arial" w:hAnsi="Arial"/>
                <w:b w:val="0"/>
                <w:sz w:val="18"/>
              </w:rPr>
              <w:t>Whether alignment is reported by subgroup.</w:t>
            </w:r>
          </w:p>
        </w:tc>
        <w:tc>
          <w:tcPr>
            <w:tcW w:type="dxa" w:w="4309"/>
            <w:vAlign w:val="top"/>
          </w:tcPr>
          <w:p/>
        </w:tc>
      </w:tr>
      <w:tr>
        <w:tc>
          <w:tcPr>
            <w:tcW w:type="dxa" w:w="2828"/>
            <w:vMerge/>
          </w:tcPr>
          <w:p/>
        </w:tc>
        <w:tc>
          <w:tcPr>
            <w:tcW w:type="dxa" w:w="2828"/>
            <w:vMerge/>
          </w:tcPr>
          <w:p/>
        </w:tc>
        <w:tc>
          <w:tcPr>
            <w:tcW w:type="dxa" w:w="4309"/>
            <w:gridSpan w:val="2"/>
            <w:vAlign w:val="top"/>
          </w:tcPr>
          <w:p>
            <w:r>
              <w:rPr>
                <w:rFonts w:ascii="Arial" w:hAnsi="Arial"/>
                <w:b/>
                <w:sz w:val="18"/>
              </w:rPr>
              <w:t>E.5 Inter-run Variance</w:t>
            </w:r>
          </w:p>
          <w:p>
            <w:r>
              <w:rPr>
                <w:rFonts w:ascii="Arial" w:hAnsi="Arial"/>
                <w:b w:val="0"/>
                <w:sz w:val="18"/>
              </w:rPr>
              <w:t>Whether variability across repeated runs is reported.</w:t>
            </w:r>
          </w:p>
        </w:tc>
        <w:tc>
          <w:tcPr>
            <w:tcW w:type="dxa" w:w="4309"/>
            <w:vAlign w:val="top"/>
          </w:tcPr>
          <w:p/>
        </w:tc>
      </w:tr>
    </w:tbl>
    <w:p/>
    <w:p>
      <w:r>
        <w:rPr>
          <w:rFonts w:ascii="Arial" w:hAnsi="Arial"/>
          <w:sz w:val="18"/>
        </w:rPr>
        <w:t>Additionally, fill out D1 (Data inputs &amp; privacy), F1 (Reproducibility) and G1 (Competing interests) from GUIDE-LLM (https://llm-checklist.com/extensions/).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