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8DF619C" w:rsidR="000006BF" w:rsidRPr="00C81AF1" w:rsidRDefault="00000000" w:rsidP="00AC6950">
      <w:pPr>
        <w:pStyle w:val="Heading1"/>
        <w:spacing w:before="240" w:after="240"/>
        <w:jc w:val="center"/>
        <w:rPr>
          <w:rFonts w:ascii="Courier New" w:eastAsia="NanumMyeongjo" w:hAnsi="Courier New" w:cs="Courier New"/>
        </w:rPr>
      </w:pPr>
      <w:bookmarkStart w:id="0" w:name="_o96gg215rrau" w:colFirst="0" w:colLast="0"/>
      <w:bookmarkEnd w:id="0"/>
      <w:r w:rsidRPr="00C81AF1">
        <w:rPr>
          <w:rFonts w:ascii="Courier New" w:eastAsia="NanumMyeongjo" w:hAnsi="Courier New" w:cs="Courier New"/>
        </w:rPr>
        <w:t>Compliance checklist</w:t>
      </w:r>
    </w:p>
    <w:p w14:paraId="00000002" w14:textId="77777777" w:rsidR="000006BF" w:rsidRPr="00C81AF1" w:rsidRDefault="00000000" w:rsidP="00AC6950">
      <w:pPr>
        <w:pStyle w:val="Heading1"/>
        <w:keepLines w:val="0"/>
        <w:spacing w:before="240" w:after="240" w:line="240" w:lineRule="auto"/>
        <w:jc w:val="both"/>
        <w:rPr>
          <w:rFonts w:ascii="Courier New" w:eastAsia="NanumMyeongjo" w:hAnsi="Courier New" w:cs="Courier New"/>
          <w:b/>
          <w:bCs/>
          <w:sz w:val="28"/>
          <w:szCs w:val="28"/>
        </w:rPr>
      </w:pPr>
      <w:bookmarkStart w:id="1" w:name="_2c30zvmj8t6" w:colFirst="0" w:colLast="0"/>
      <w:bookmarkEnd w:id="1"/>
      <w:r w:rsidRPr="00C81AF1">
        <w:rPr>
          <w:rFonts w:ascii="Courier New" w:eastAsia="NanumMyeongjo" w:hAnsi="Courier New" w:cs="Courier New"/>
          <w:sz w:val="24"/>
          <w:szCs w:val="24"/>
        </w:rPr>
        <w:t xml:space="preserve">_____ </w:t>
      </w:r>
      <w:r w:rsidRPr="00C81AF1">
        <w:rPr>
          <w:rFonts w:ascii="Courier New" w:eastAsia="NanumMyeongjo" w:hAnsi="Courier New" w:cs="Courier New"/>
          <w:b/>
          <w:bCs/>
          <w:sz w:val="28"/>
          <w:szCs w:val="28"/>
        </w:rPr>
        <w:t>The Federal Energy Regulatory Commission - North American Electric</w:t>
      </w:r>
    </w:p>
    <w:p w14:paraId="00000003" w14:textId="77777777" w:rsidR="000006BF" w:rsidRPr="00C81AF1" w:rsidRDefault="00000000" w:rsidP="00AC6950">
      <w:pPr>
        <w:spacing w:before="240" w:after="240" w:line="240" w:lineRule="auto"/>
        <w:jc w:val="both"/>
        <w:rPr>
          <w:rFonts w:ascii="Courier New" w:eastAsia="NanumMyeongjo" w:hAnsi="Courier New" w:cs="Courier New"/>
          <w:b/>
          <w:bCs/>
          <w:sz w:val="28"/>
          <w:szCs w:val="28"/>
        </w:rPr>
      </w:pPr>
      <w:r w:rsidRPr="00C81AF1">
        <w:rPr>
          <w:rFonts w:ascii="Courier New" w:eastAsia="NanumMyeongjo" w:hAnsi="Courier New" w:cs="Courier New"/>
          <w:b/>
          <w:bCs/>
          <w:sz w:val="28"/>
          <w:szCs w:val="28"/>
        </w:rPr>
        <w:t xml:space="preserve">             Reliability Corporation (FERC-NERC)</w:t>
      </w:r>
    </w:p>
    <w:p w14:paraId="00000004" w14:textId="77777777" w:rsidR="000006BF" w:rsidRPr="00C81AF1" w:rsidRDefault="00000000" w:rsidP="00AC6950">
      <w:pPr>
        <w:pBdr>
          <w:bottom w:val="none" w:sz="0" w:space="10" w:color="auto"/>
        </w:pBdr>
        <w:spacing w:before="240" w:after="240" w:line="360" w:lineRule="auto"/>
        <w:ind w:left="720"/>
        <w:jc w:val="both"/>
        <w:rPr>
          <w:rFonts w:ascii="Courier New" w:eastAsia="NanumMyeongjo" w:hAnsi="Courier New" w:cs="Courier New"/>
          <w:sz w:val="24"/>
          <w:szCs w:val="24"/>
        </w:rPr>
      </w:pPr>
      <w:r w:rsidRPr="00C81AF1">
        <w:rPr>
          <w:rFonts w:ascii="Courier New" w:eastAsia="NanumMyeongjo" w:hAnsi="Courier New" w:cs="Courier New"/>
          <w:sz w:val="24"/>
          <w:szCs w:val="24"/>
        </w:rPr>
        <w:t>This regulation applies to organizations that work with electricity or that are  involved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Federal Energy Regulatory Commission (FERC).</w:t>
      </w:r>
    </w:p>
    <w:p w14:paraId="22A23593" w14:textId="77777777" w:rsidR="0042091E" w:rsidRPr="00C81AF1" w:rsidRDefault="00000000" w:rsidP="00AC6950">
      <w:pPr>
        <w:pBdr>
          <w:bottom w:val="none" w:sz="0" w:space="10" w:color="auto"/>
        </w:pBdr>
        <w:spacing w:before="240" w:after="240" w:line="360" w:lineRule="auto"/>
        <w:ind w:left="720"/>
        <w:jc w:val="both"/>
        <w:rPr>
          <w:rFonts w:ascii="Courier New" w:eastAsia="NanumMyeongjo" w:hAnsi="Courier New" w:cs="Courier New"/>
          <w:color w:val="0D0D0D"/>
          <w:shd w:val="clear" w:color="auto" w:fill="FFFFFF"/>
        </w:rPr>
      </w:pPr>
      <w:r w:rsidRPr="00C81AF1">
        <w:rPr>
          <w:rFonts w:ascii="Courier New" w:eastAsia="NanumMyeongjo" w:hAnsi="Courier New" w:cs="Courier New"/>
          <w:b/>
          <w:bCs/>
          <w:sz w:val="24"/>
          <w:szCs w:val="24"/>
        </w:rPr>
        <w:t>Explanation</w:t>
      </w:r>
      <w:r w:rsidRPr="00C81AF1">
        <w:rPr>
          <w:rFonts w:ascii="Courier New" w:eastAsia="NanumMyeongjo" w:hAnsi="Courier New" w:cs="Courier New"/>
          <w:sz w:val="24"/>
          <w:szCs w:val="24"/>
        </w:rPr>
        <w:t xml:space="preserve">: </w:t>
      </w:r>
      <w:r w:rsidR="0042091E" w:rsidRPr="00C81AF1">
        <w:rPr>
          <w:rFonts w:ascii="Courier New" w:eastAsia="NanumMyeongjo" w:hAnsi="Courier New" w:cs="Courier New"/>
          <w:color w:val="0D0D0D"/>
          <w:shd w:val="clear" w:color="auto" w:fill="FFFFFF"/>
        </w:rPr>
        <w:t xml:space="preserve">NA - </w:t>
      </w:r>
      <w:proofErr w:type="spellStart"/>
      <w:r w:rsidR="0042091E" w:rsidRPr="00C81AF1">
        <w:rPr>
          <w:rFonts w:ascii="Courier New" w:eastAsia="NanumMyeongjo" w:hAnsi="Courier New" w:cs="Courier New"/>
          <w:color w:val="0D0D0D"/>
          <w:shd w:val="clear" w:color="auto" w:fill="FFFFFF"/>
        </w:rPr>
        <w:t>Botium</w:t>
      </w:r>
      <w:proofErr w:type="spellEnd"/>
      <w:r w:rsidR="0042091E" w:rsidRPr="00C81AF1">
        <w:rPr>
          <w:rFonts w:ascii="Courier New" w:eastAsia="NanumMyeongjo" w:hAnsi="Courier New" w:cs="Courier New"/>
          <w:color w:val="0D0D0D"/>
          <w:shd w:val="clear" w:color="auto" w:fill="FFFFFF"/>
        </w:rPr>
        <w:t xml:space="preserve"> Toys does not work directly with the power grid or electricity generation, making FERC-NERC regulations not applicable to their operations.</w:t>
      </w:r>
    </w:p>
    <w:p w14:paraId="00000006" w14:textId="54B2A9B4" w:rsidR="000006BF" w:rsidRPr="00C81AF1" w:rsidRDefault="00797F55" w:rsidP="00AC6950">
      <w:pPr>
        <w:pBdr>
          <w:bottom w:val="none" w:sz="0" w:space="10" w:color="auto"/>
        </w:pBdr>
        <w:spacing w:before="240" w:after="240" w:line="360" w:lineRule="auto"/>
        <w:ind w:left="720"/>
        <w:jc w:val="both"/>
        <w:rPr>
          <w:rFonts w:ascii="Courier New" w:eastAsia="NanumMyeongjo" w:hAnsi="Courier New" w:cs="Courier New"/>
          <w:b/>
          <w:bCs/>
          <w:sz w:val="28"/>
          <w:szCs w:val="28"/>
        </w:rPr>
      </w:pPr>
      <w:r w:rsidRPr="00C81AF1">
        <w:rPr>
          <w:rFonts w:ascii="Courier New" w:eastAsia="NanumMyeongjo" w:hAnsi="Courier New" w:cs="Courier New"/>
          <w:b/>
          <w:bCs/>
          <w:sz w:val="28"/>
          <w:szCs w:val="28"/>
        </w:rPr>
        <w:t>___X__ General Data Protection Regulation (GDPR)</w:t>
      </w:r>
    </w:p>
    <w:p w14:paraId="00000007" w14:textId="77777777" w:rsidR="000006BF" w:rsidRPr="00C81AF1" w:rsidRDefault="00000000" w:rsidP="00AC6950">
      <w:pPr>
        <w:pBdr>
          <w:bottom w:val="none" w:sz="0" w:space="10" w:color="auto"/>
        </w:pBdr>
        <w:spacing w:before="240" w:after="240" w:line="360" w:lineRule="auto"/>
        <w:ind w:left="720"/>
        <w:jc w:val="both"/>
        <w:rPr>
          <w:rFonts w:ascii="Courier New" w:eastAsia="NanumMyeongjo" w:hAnsi="Courier New" w:cs="Courier New"/>
          <w:sz w:val="24"/>
          <w:szCs w:val="24"/>
        </w:rPr>
      </w:pPr>
      <w:r w:rsidRPr="00C81AF1">
        <w:rPr>
          <w:rFonts w:ascii="Courier New" w:eastAsia="NanumMyeongjo" w:hAnsi="Courier New" w:cs="Courier New"/>
          <w:sz w:val="24"/>
          <w:szCs w:val="24"/>
        </w:rPr>
        <w:t>GDPR is a European Union (E.U.) general data regulation that protects the processing of E.U. citizens’ data and their right to privacy in and out of E.U. territory. Additionally, if a breach occurs and a E.U. citizen’s data is compromised, they must be informed within 72 hours of the incident.</w:t>
      </w:r>
    </w:p>
    <w:p w14:paraId="6B8ACE39" w14:textId="77777777" w:rsidR="0042091E" w:rsidRPr="00C81AF1" w:rsidRDefault="00000000" w:rsidP="00AC6950">
      <w:pPr>
        <w:pBdr>
          <w:bottom w:val="none" w:sz="0" w:space="10" w:color="auto"/>
        </w:pBdr>
        <w:spacing w:before="240" w:after="240" w:line="360" w:lineRule="auto"/>
        <w:ind w:left="720"/>
        <w:jc w:val="both"/>
        <w:rPr>
          <w:rFonts w:ascii="Courier New" w:eastAsia="NanumMyeongjo" w:hAnsi="Courier New" w:cs="Courier New"/>
          <w:sz w:val="24"/>
          <w:szCs w:val="24"/>
        </w:rPr>
      </w:pPr>
      <w:r w:rsidRPr="00C81AF1">
        <w:rPr>
          <w:rFonts w:ascii="Courier New" w:eastAsia="NanumMyeongjo" w:hAnsi="Courier New" w:cs="Courier New"/>
          <w:b/>
          <w:bCs/>
          <w:sz w:val="24"/>
          <w:szCs w:val="24"/>
        </w:rPr>
        <w:t>Explanation</w:t>
      </w:r>
      <w:r w:rsidRPr="00C81AF1">
        <w:rPr>
          <w:rFonts w:ascii="Courier New" w:eastAsia="NanumMyeongjo" w:hAnsi="Courier New" w:cs="Courier New"/>
          <w:sz w:val="24"/>
          <w:szCs w:val="24"/>
        </w:rPr>
        <w:t xml:space="preserve">: </w:t>
      </w:r>
      <w:proofErr w:type="spellStart"/>
      <w:r w:rsidR="0042091E" w:rsidRPr="00C81AF1">
        <w:rPr>
          <w:rFonts w:ascii="Courier New" w:eastAsia="NanumMyeongjo" w:hAnsi="Courier New" w:cs="Courier New"/>
          <w:sz w:val="24"/>
          <w:szCs w:val="24"/>
        </w:rPr>
        <w:t>Botium</w:t>
      </w:r>
      <w:proofErr w:type="spellEnd"/>
      <w:r w:rsidR="0042091E" w:rsidRPr="00C81AF1">
        <w:rPr>
          <w:rFonts w:ascii="Courier New" w:eastAsia="NanumMyeongjo" w:hAnsi="Courier New" w:cs="Courier New"/>
          <w:sz w:val="24"/>
          <w:szCs w:val="24"/>
        </w:rPr>
        <w:t xml:space="preserve"> Toys engages in online sales and collects personal information from customers globally, including those in the E.U. Adhering to GDPR is essential to protect the privacy of E.U. citizens and avoid substantial fines.</w:t>
      </w:r>
    </w:p>
    <w:p w14:paraId="00000009" w14:textId="4BDC70E7" w:rsidR="000006BF" w:rsidRPr="00C81AF1" w:rsidRDefault="00797F55" w:rsidP="00AC6950">
      <w:pPr>
        <w:pBdr>
          <w:bottom w:val="none" w:sz="0" w:space="10" w:color="auto"/>
        </w:pBdr>
        <w:spacing w:before="240" w:after="240" w:line="360" w:lineRule="auto"/>
        <w:ind w:left="720"/>
        <w:jc w:val="both"/>
        <w:rPr>
          <w:rFonts w:ascii="Courier New" w:eastAsia="NanumMyeongjo" w:hAnsi="Courier New" w:cs="Courier New"/>
          <w:b/>
          <w:bCs/>
          <w:sz w:val="28"/>
          <w:szCs w:val="28"/>
        </w:rPr>
      </w:pPr>
      <w:r w:rsidRPr="00C81AF1">
        <w:rPr>
          <w:rFonts w:ascii="Courier New" w:eastAsia="NanumMyeongjo" w:hAnsi="Courier New" w:cs="Courier New"/>
          <w:b/>
          <w:bCs/>
          <w:sz w:val="28"/>
          <w:szCs w:val="28"/>
        </w:rPr>
        <w:lastRenderedPageBreak/>
        <w:t>___X__ Payment Card Industry Data Security Standard (PCI DSS)</w:t>
      </w:r>
    </w:p>
    <w:p w14:paraId="0000000A" w14:textId="77777777" w:rsidR="000006BF" w:rsidRPr="00C81AF1" w:rsidRDefault="00000000" w:rsidP="00AC6950">
      <w:pPr>
        <w:pBdr>
          <w:bottom w:val="none" w:sz="0" w:space="10" w:color="auto"/>
        </w:pBdr>
        <w:spacing w:before="240" w:after="240" w:line="360" w:lineRule="auto"/>
        <w:ind w:left="720"/>
        <w:jc w:val="both"/>
        <w:rPr>
          <w:rFonts w:ascii="Courier New" w:eastAsia="NanumMyeongjo" w:hAnsi="Courier New" w:cs="Courier New"/>
          <w:sz w:val="24"/>
          <w:szCs w:val="24"/>
        </w:rPr>
      </w:pPr>
      <w:r w:rsidRPr="00C81AF1">
        <w:rPr>
          <w:rFonts w:ascii="Courier New" w:eastAsia="NanumMyeongjo" w:hAnsi="Courier New" w:cs="Courier New"/>
          <w:sz w:val="24"/>
          <w:szCs w:val="24"/>
        </w:rPr>
        <w:t>PCI DSS is an international security standard meant to ensure that organizations storing, accepting, processing, and transmitting credit card information do so in a secure environment.</w:t>
      </w:r>
    </w:p>
    <w:p w14:paraId="6751927F" w14:textId="77777777" w:rsidR="0042091E" w:rsidRPr="00C81AF1" w:rsidRDefault="00000000" w:rsidP="00AC6950">
      <w:pPr>
        <w:pBdr>
          <w:bottom w:val="none" w:sz="0" w:space="10" w:color="auto"/>
        </w:pBdr>
        <w:spacing w:before="240" w:after="240" w:line="360" w:lineRule="auto"/>
        <w:ind w:left="720"/>
        <w:jc w:val="both"/>
        <w:rPr>
          <w:rFonts w:ascii="Courier New" w:eastAsia="NanumMyeongjo" w:hAnsi="Courier New" w:cs="Courier New"/>
          <w:sz w:val="24"/>
          <w:szCs w:val="24"/>
        </w:rPr>
      </w:pPr>
      <w:r w:rsidRPr="00C81AF1">
        <w:rPr>
          <w:rFonts w:ascii="Courier New" w:eastAsia="NanumMyeongjo" w:hAnsi="Courier New" w:cs="Courier New"/>
          <w:b/>
          <w:bCs/>
          <w:sz w:val="24"/>
          <w:szCs w:val="24"/>
        </w:rPr>
        <w:t>Explanation</w:t>
      </w:r>
      <w:r w:rsidRPr="00C81AF1">
        <w:rPr>
          <w:rFonts w:ascii="Courier New" w:eastAsia="NanumMyeongjo" w:hAnsi="Courier New" w:cs="Courier New"/>
          <w:sz w:val="24"/>
          <w:szCs w:val="24"/>
        </w:rPr>
        <w:t xml:space="preserve">: </w:t>
      </w:r>
      <w:r w:rsidR="0042091E" w:rsidRPr="00C81AF1">
        <w:rPr>
          <w:rFonts w:ascii="Courier New" w:eastAsia="NanumMyeongjo" w:hAnsi="Courier New" w:cs="Courier New"/>
          <w:sz w:val="24"/>
          <w:szCs w:val="24"/>
        </w:rPr>
        <w:t xml:space="preserve">As </w:t>
      </w:r>
      <w:proofErr w:type="spellStart"/>
      <w:r w:rsidR="0042091E" w:rsidRPr="00C81AF1">
        <w:rPr>
          <w:rFonts w:ascii="Courier New" w:eastAsia="NanumMyeongjo" w:hAnsi="Courier New" w:cs="Courier New"/>
          <w:sz w:val="24"/>
          <w:szCs w:val="24"/>
        </w:rPr>
        <w:t>Botium</w:t>
      </w:r>
      <w:proofErr w:type="spellEnd"/>
      <w:r w:rsidR="0042091E" w:rsidRPr="00C81AF1">
        <w:rPr>
          <w:rFonts w:ascii="Courier New" w:eastAsia="NanumMyeongjo" w:hAnsi="Courier New" w:cs="Courier New"/>
          <w:sz w:val="24"/>
          <w:szCs w:val="24"/>
        </w:rPr>
        <w:t xml:space="preserve"> Toys accepts and processes credit card payments from customers, compliance with PCI DSS is mandatory to secure payment transactions and protect against data breaches.</w:t>
      </w:r>
    </w:p>
    <w:p w14:paraId="0000000C" w14:textId="29BAFB82" w:rsidR="000006BF" w:rsidRPr="00C81AF1" w:rsidRDefault="00797F55" w:rsidP="00AC6950">
      <w:pPr>
        <w:pBdr>
          <w:bottom w:val="none" w:sz="0" w:space="10" w:color="auto"/>
        </w:pBdr>
        <w:spacing w:before="240" w:after="240" w:line="360" w:lineRule="auto"/>
        <w:ind w:left="720"/>
        <w:jc w:val="both"/>
        <w:rPr>
          <w:rFonts w:ascii="Courier New" w:eastAsia="NanumMyeongjo" w:hAnsi="Courier New" w:cs="Courier New"/>
          <w:b/>
          <w:bCs/>
          <w:sz w:val="28"/>
          <w:szCs w:val="28"/>
        </w:rPr>
      </w:pPr>
      <w:r w:rsidRPr="00C81AF1">
        <w:rPr>
          <w:rFonts w:ascii="Courier New" w:eastAsia="NanumMyeongjo" w:hAnsi="Courier New" w:cs="Courier New"/>
          <w:b/>
          <w:bCs/>
          <w:sz w:val="28"/>
          <w:szCs w:val="28"/>
        </w:rPr>
        <w:t>____ The Health Insurance Portability and Accountability Act (HIPAA)</w:t>
      </w:r>
    </w:p>
    <w:p w14:paraId="0000000D" w14:textId="77777777" w:rsidR="000006BF" w:rsidRPr="00C81AF1" w:rsidRDefault="00000000" w:rsidP="00AC6950">
      <w:pPr>
        <w:pBdr>
          <w:bottom w:val="none" w:sz="0" w:space="10" w:color="auto"/>
        </w:pBdr>
        <w:spacing w:before="240" w:after="240" w:line="360" w:lineRule="auto"/>
        <w:ind w:left="720"/>
        <w:jc w:val="both"/>
        <w:rPr>
          <w:rFonts w:ascii="Courier New" w:eastAsia="NanumMyeongjo" w:hAnsi="Courier New" w:cs="Courier New"/>
          <w:sz w:val="24"/>
          <w:szCs w:val="24"/>
        </w:rPr>
      </w:pPr>
      <w:r w:rsidRPr="00C81AF1">
        <w:rPr>
          <w:rFonts w:ascii="Courier New" w:eastAsia="NanumMyeongjo" w:hAnsi="Courier New" w:cs="Courier New"/>
          <w:sz w:val="24"/>
          <w:szCs w:val="24"/>
        </w:rPr>
        <w:t>HIPAA is a federal law established in 1996 to protect U.S. patients' health information. This law prohibits patient information from being shared without their consent. Organizations have a legal obligation to inform patients of a breach.</w:t>
      </w:r>
    </w:p>
    <w:p w14:paraId="765B4600" w14:textId="77777777" w:rsidR="0042091E" w:rsidRPr="00C81AF1" w:rsidRDefault="00000000" w:rsidP="00AC6950">
      <w:pPr>
        <w:pBdr>
          <w:bottom w:val="none" w:sz="0" w:space="10" w:color="auto"/>
        </w:pBdr>
        <w:spacing w:before="240" w:after="240" w:line="360" w:lineRule="auto"/>
        <w:ind w:left="720"/>
        <w:jc w:val="both"/>
        <w:rPr>
          <w:rFonts w:ascii="Courier New" w:eastAsia="NanumMyeongjo" w:hAnsi="Courier New" w:cs="Courier New"/>
          <w:sz w:val="24"/>
          <w:szCs w:val="24"/>
        </w:rPr>
      </w:pPr>
      <w:r w:rsidRPr="00C81AF1">
        <w:rPr>
          <w:rFonts w:ascii="Courier New" w:eastAsia="NanumMyeongjo" w:hAnsi="Courier New" w:cs="Courier New"/>
          <w:b/>
          <w:bCs/>
          <w:sz w:val="24"/>
          <w:szCs w:val="24"/>
        </w:rPr>
        <w:t>Explanation</w:t>
      </w:r>
      <w:r w:rsidRPr="00C81AF1">
        <w:rPr>
          <w:rFonts w:ascii="Courier New" w:eastAsia="NanumMyeongjo" w:hAnsi="Courier New" w:cs="Courier New"/>
          <w:sz w:val="24"/>
          <w:szCs w:val="24"/>
        </w:rPr>
        <w:t xml:space="preserve">: </w:t>
      </w:r>
      <w:r w:rsidR="0042091E" w:rsidRPr="00C81AF1">
        <w:rPr>
          <w:rFonts w:ascii="Courier New" w:eastAsia="NanumMyeongjo" w:hAnsi="Courier New" w:cs="Courier New"/>
          <w:sz w:val="24"/>
          <w:szCs w:val="24"/>
        </w:rPr>
        <w:t xml:space="preserve">NA - </w:t>
      </w:r>
      <w:proofErr w:type="spellStart"/>
      <w:r w:rsidR="0042091E" w:rsidRPr="00C81AF1">
        <w:rPr>
          <w:rFonts w:ascii="Courier New" w:eastAsia="NanumMyeongjo" w:hAnsi="Courier New" w:cs="Courier New"/>
          <w:sz w:val="24"/>
          <w:szCs w:val="24"/>
        </w:rPr>
        <w:t>Botium</w:t>
      </w:r>
      <w:proofErr w:type="spellEnd"/>
      <w:r w:rsidR="0042091E" w:rsidRPr="00C81AF1">
        <w:rPr>
          <w:rFonts w:ascii="Courier New" w:eastAsia="NanumMyeongjo" w:hAnsi="Courier New" w:cs="Courier New"/>
          <w:sz w:val="24"/>
          <w:szCs w:val="24"/>
        </w:rPr>
        <w:t xml:space="preserve"> Toys does not deal with health information, so HIPAA does not apply to their business operations.</w:t>
      </w:r>
    </w:p>
    <w:p w14:paraId="0000000F" w14:textId="1991CF7D" w:rsidR="000006BF" w:rsidRPr="00C81AF1" w:rsidRDefault="00000000" w:rsidP="00AC6950">
      <w:pPr>
        <w:pBdr>
          <w:bottom w:val="none" w:sz="0" w:space="10" w:color="auto"/>
        </w:pBdr>
        <w:spacing w:before="240" w:after="240" w:line="360" w:lineRule="auto"/>
        <w:ind w:left="720"/>
        <w:jc w:val="both"/>
        <w:rPr>
          <w:rFonts w:ascii="Courier New" w:eastAsia="NanumMyeongjo" w:hAnsi="Courier New" w:cs="Courier New"/>
          <w:b/>
          <w:bCs/>
          <w:sz w:val="28"/>
          <w:szCs w:val="28"/>
        </w:rPr>
      </w:pPr>
      <w:r w:rsidRPr="00C81AF1">
        <w:rPr>
          <w:rFonts w:ascii="Courier New" w:eastAsia="NanumMyeongjo" w:hAnsi="Courier New" w:cs="Courier New"/>
          <w:b/>
          <w:bCs/>
          <w:sz w:val="28"/>
          <w:szCs w:val="28"/>
        </w:rPr>
        <w:t>System and Organizations Controls (SOC type 1, SOC type 2)</w:t>
      </w:r>
    </w:p>
    <w:p w14:paraId="00000010" w14:textId="20DD1FF4" w:rsidR="000006BF" w:rsidRPr="00C81AF1" w:rsidRDefault="00797F55" w:rsidP="00AC6950">
      <w:pPr>
        <w:pBdr>
          <w:bottom w:val="none" w:sz="0" w:space="10" w:color="auto"/>
        </w:pBdr>
        <w:spacing w:before="240" w:after="240" w:line="360" w:lineRule="auto"/>
        <w:ind w:left="720"/>
        <w:jc w:val="both"/>
        <w:rPr>
          <w:rFonts w:ascii="Courier New" w:eastAsia="NanumMyeongjo" w:hAnsi="Courier New" w:cs="Courier New"/>
          <w:sz w:val="24"/>
          <w:szCs w:val="24"/>
        </w:rPr>
      </w:pPr>
      <w:r w:rsidRPr="00C81AF1">
        <w:rPr>
          <w:rFonts w:ascii="Courier New" w:eastAsia="NanumMyeongjo" w:hAnsi="Courier New" w:cs="Courier New"/>
          <w:b/>
          <w:bCs/>
          <w:sz w:val="24"/>
          <w:szCs w:val="24"/>
        </w:rPr>
        <w:t xml:space="preserve">___X__ </w:t>
      </w:r>
      <w:r w:rsidRPr="00C81AF1">
        <w:rPr>
          <w:rFonts w:ascii="Courier New" w:eastAsia="NanumMyeongjo" w:hAnsi="Courier New" w:cs="Courier New"/>
          <w:sz w:val="24"/>
          <w:szCs w:val="24"/>
        </w:rPr>
        <w:t xml:space="preserve">The SOC1 and SOC2 are a series of reports that focus on an organization's user access policies at different organizational levels. They are used to assess an organization’s financial compliance and levels of risk. They </w:t>
      </w:r>
      <w:r w:rsidRPr="00C81AF1">
        <w:rPr>
          <w:rFonts w:ascii="Courier New" w:eastAsia="NanumMyeongjo" w:hAnsi="Courier New" w:cs="Courier New"/>
          <w:sz w:val="24"/>
          <w:szCs w:val="24"/>
        </w:rPr>
        <w:lastRenderedPageBreak/>
        <w:t>also cover confidentiality, privacy, integrity, availability, security, and overall data safety. Control failures in these areas can lead to fraud.</w:t>
      </w:r>
    </w:p>
    <w:p w14:paraId="00000012" w14:textId="221E99A4" w:rsidR="000006BF" w:rsidRPr="00C81AF1" w:rsidRDefault="00000000" w:rsidP="00AC6950">
      <w:pPr>
        <w:pBdr>
          <w:bottom w:val="none" w:sz="0" w:space="10" w:color="auto"/>
        </w:pBdr>
        <w:spacing w:before="240" w:after="240" w:line="360" w:lineRule="auto"/>
        <w:ind w:left="720"/>
        <w:jc w:val="both"/>
        <w:rPr>
          <w:rFonts w:ascii="Courier New" w:eastAsia="NanumMyeongjo" w:hAnsi="Courier New" w:cs="Courier New"/>
        </w:rPr>
      </w:pPr>
      <w:r w:rsidRPr="00C81AF1">
        <w:rPr>
          <w:rFonts w:ascii="Courier New" w:eastAsia="NanumMyeongjo" w:hAnsi="Courier New" w:cs="Courier New"/>
          <w:b/>
          <w:bCs/>
          <w:sz w:val="24"/>
          <w:szCs w:val="24"/>
        </w:rPr>
        <w:t>Explanation</w:t>
      </w:r>
      <w:r w:rsidRPr="00C81AF1">
        <w:rPr>
          <w:rFonts w:ascii="Courier New" w:eastAsia="NanumMyeongjo" w:hAnsi="Courier New" w:cs="Courier New"/>
          <w:sz w:val="24"/>
          <w:szCs w:val="24"/>
        </w:rPr>
        <w:t xml:space="preserve">: </w:t>
      </w:r>
      <w:r w:rsidR="0042091E" w:rsidRPr="00C81AF1">
        <w:rPr>
          <w:rFonts w:ascii="Courier New" w:eastAsia="NanumMyeongjo" w:hAnsi="Courier New" w:cs="Courier New"/>
          <w:sz w:val="24"/>
          <w:szCs w:val="24"/>
        </w:rPr>
        <w:t xml:space="preserve">Implementing SOC1 and SOC2 controls may be beneficial for </w:t>
      </w:r>
      <w:proofErr w:type="spellStart"/>
      <w:r w:rsidR="0042091E" w:rsidRPr="00C81AF1">
        <w:rPr>
          <w:rFonts w:ascii="Courier New" w:eastAsia="NanumMyeongjo" w:hAnsi="Courier New" w:cs="Courier New"/>
          <w:sz w:val="24"/>
          <w:szCs w:val="24"/>
        </w:rPr>
        <w:t>Botium</w:t>
      </w:r>
      <w:proofErr w:type="spellEnd"/>
      <w:r w:rsidR="0042091E" w:rsidRPr="00C81AF1">
        <w:rPr>
          <w:rFonts w:ascii="Courier New" w:eastAsia="NanumMyeongjo" w:hAnsi="Courier New" w:cs="Courier New"/>
          <w:sz w:val="24"/>
          <w:szCs w:val="24"/>
        </w:rPr>
        <w:t xml:space="preserve"> Toys to ensure the integrity and security of their financial and customer data. This is particularly important as the company grows and scales its operations internationally, requiring robust data safety measures.</w:t>
      </w:r>
    </w:p>
    <w:p w14:paraId="16BBC5C1" w14:textId="77777777" w:rsidR="00AC6950" w:rsidRPr="00C81AF1" w:rsidRDefault="00AC6950">
      <w:pPr>
        <w:pBdr>
          <w:bottom w:val="none" w:sz="0" w:space="10" w:color="auto"/>
        </w:pBdr>
        <w:spacing w:before="240" w:after="240" w:line="360" w:lineRule="auto"/>
        <w:ind w:left="720"/>
        <w:rPr>
          <w:rFonts w:ascii="Courier New" w:eastAsia="Google Sans" w:hAnsi="Courier New" w:cs="Courier New"/>
        </w:rPr>
      </w:pPr>
    </w:p>
    <w:sectPr w:rsidR="00AC6950" w:rsidRPr="00C81A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anumMyeongjo">
    <w:panose1 w:val="02020603020101020101"/>
    <w:charset w:val="81"/>
    <w:family w:val="auto"/>
    <w:pitch w:val="variable"/>
    <w:sig w:usb0="800002A7" w:usb1="09D7FCFB" w:usb2="00000010" w:usb3="00000000" w:csb0="00280001" w:csb1="00000000"/>
  </w:font>
  <w:font w:name="Google San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6BF"/>
    <w:rsid w:val="000006BF"/>
    <w:rsid w:val="0042091E"/>
    <w:rsid w:val="00463517"/>
    <w:rsid w:val="00797F55"/>
    <w:rsid w:val="00A43631"/>
    <w:rsid w:val="00AC6950"/>
    <w:rsid w:val="00C81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ECA950"/>
  <w15:docId w15:val="{E7254EA1-F983-2140-8FF9-7608B87C5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Destaalem Seyoum</cp:lastModifiedBy>
  <cp:revision>2</cp:revision>
  <dcterms:created xsi:type="dcterms:W3CDTF">2024-03-28T06:24:00Z</dcterms:created>
  <dcterms:modified xsi:type="dcterms:W3CDTF">2024-03-28T06:24:00Z</dcterms:modified>
</cp:coreProperties>
</file>