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B57B" w14:textId="5F1C0164" w:rsidR="005E388B" w:rsidRPr="004531E1" w:rsidRDefault="005E388B" w:rsidP="005E388B">
      <w:pPr>
        <w:shd w:val="clear" w:color="auto" w:fill="FFFFFF"/>
        <w:spacing w:after="0" w:line="240" w:lineRule="auto"/>
        <w:ind w:left="1290"/>
        <w:rPr>
          <w:rFonts w:eastAsia="Times New Roman" w:cstheme="minorHAnsi"/>
          <w:b/>
          <w:bCs/>
          <w:color w:val="FF0000"/>
          <w:sz w:val="32"/>
          <w:szCs w:val="32"/>
        </w:rPr>
      </w:pPr>
      <w:r w:rsidRPr="004531E1">
        <w:rPr>
          <w:rFonts w:eastAsia="Times New Roman" w:cstheme="minorHAnsi"/>
          <w:b/>
          <w:bCs/>
          <w:color w:val="FF0000"/>
          <w:sz w:val="32"/>
          <w:szCs w:val="32"/>
        </w:rPr>
        <w:t>Roles, Users and Group Requirements</w:t>
      </w:r>
      <w:r w:rsidR="004531E1">
        <w:rPr>
          <w:rFonts w:eastAsia="Times New Roman" w:cstheme="minorHAnsi"/>
          <w:b/>
          <w:bCs/>
          <w:color w:val="FF0000"/>
          <w:sz w:val="32"/>
          <w:szCs w:val="32"/>
        </w:rPr>
        <w:t xml:space="preserve"> for BECU B2B Direct Connect Configuration</w:t>
      </w:r>
    </w:p>
    <w:p w14:paraId="181A4CC2" w14:textId="77777777" w:rsidR="005E388B" w:rsidRPr="005E388B" w:rsidRDefault="005E388B" w:rsidP="005E388B">
      <w:pPr>
        <w:shd w:val="clear" w:color="auto" w:fill="FFFFFF"/>
        <w:spacing w:after="0" w:line="240" w:lineRule="auto"/>
        <w:ind w:left="1290"/>
        <w:rPr>
          <w:rFonts w:eastAsia="Times New Roman" w:cstheme="minorHAnsi"/>
          <w:b/>
          <w:bCs/>
          <w:color w:val="171717"/>
          <w:sz w:val="32"/>
          <w:szCs w:val="32"/>
        </w:rPr>
      </w:pPr>
    </w:p>
    <w:p w14:paraId="4B6B2DA8" w14:textId="3B1118C8" w:rsidR="005E388B" w:rsidRPr="005E388B" w:rsidRDefault="005E388B" w:rsidP="005E388B">
      <w:pPr>
        <w:rPr>
          <w:sz w:val="24"/>
          <w:szCs w:val="24"/>
        </w:rPr>
      </w:pPr>
      <w:r w:rsidRPr="005E388B">
        <w:rPr>
          <w:sz w:val="24"/>
          <w:szCs w:val="24"/>
        </w:rPr>
        <w:t>For B2B Configuration, a</w:t>
      </w:r>
      <w:r w:rsidR="006D5B04">
        <w:rPr>
          <w:sz w:val="24"/>
          <w:szCs w:val="24"/>
        </w:rPr>
        <w:t xml:space="preserve"> </w:t>
      </w:r>
      <w:r w:rsidRPr="005E388B">
        <w:rPr>
          <w:sz w:val="24"/>
          <w:szCs w:val="24"/>
        </w:rPr>
        <w:t>cross tenant access settings will be configured</w:t>
      </w:r>
      <w:r w:rsidR="00AC35FC" w:rsidRPr="005E388B">
        <w:rPr>
          <w:sz w:val="24"/>
          <w:szCs w:val="24"/>
        </w:rPr>
        <w:t xml:space="preserve"> in the Azure portal, </w:t>
      </w:r>
      <w:r w:rsidRPr="005E388B">
        <w:rPr>
          <w:sz w:val="24"/>
          <w:szCs w:val="24"/>
        </w:rPr>
        <w:t>this configuration will need elevated access to the azure environment</w:t>
      </w:r>
      <w:r w:rsidR="006D5B04">
        <w:rPr>
          <w:sz w:val="24"/>
          <w:szCs w:val="24"/>
        </w:rPr>
        <w:t>. Below are the role requirements and permissions for B2B Direct connect configuration.</w:t>
      </w:r>
    </w:p>
    <w:p w14:paraId="2878DC04" w14:textId="77777777" w:rsidR="005E388B" w:rsidRPr="005E388B" w:rsidRDefault="005E388B" w:rsidP="005E388B">
      <w:pPr>
        <w:rPr>
          <w:sz w:val="24"/>
          <w:szCs w:val="24"/>
        </w:rPr>
      </w:pPr>
      <w:r w:rsidRPr="004531E1">
        <w:rPr>
          <w:b/>
          <w:bCs/>
          <w:color w:val="FF0000"/>
          <w:sz w:val="24"/>
          <w:szCs w:val="24"/>
        </w:rPr>
        <w:t>Role requirement</w:t>
      </w:r>
      <w:r w:rsidRPr="005E388B">
        <w:rPr>
          <w:sz w:val="24"/>
          <w:szCs w:val="24"/>
        </w:rPr>
        <w:t xml:space="preserve">: </w:t>
      </w:r>
      <w:r w:rsidR="00AC35FC" w:rsidRPr="005E388B">
        <w:rPr>
          <w:i/>
          <w:iCs/>
          <w:sz w:val="24"/>
          <w:szCs w:val="24"/>
        </w:rPr>
        <w:t>Global administrator or Security administrator role.</w:t>
      </w:r>
    </w:p>
    <w:p w14:paraId="75414319" w14:textId="3C5147EF" w:rsidR="00AC35FC" w:rsidRDefault="005E388B" w:rsidP="005E388B">
      <w:pPr>
        <w:rPr>
          <w:sz w:val="24"/>
          <w:szCs w:val="24"/>
        </w:rPr>
      </w:pPr>
      <w:r w:rsidRPr="004531E1">
        <w:rPr>
          <w:b/>
          <w:bCs/>
          <w:color w:val="FF0000"/>
          <w:sz w:val="24"/>
          <w:szCs w:val="24"/>
        </w:rPr>
        <w:t>Note:</w:t>
      </w:r>
      <w:r w:rsidR="00AC35FC" w:rsidRPr="005E388B">
        <w:rPr>
          <w:sz w:val="24"/>
          <w:szCs w:val="24"/>
        </w:rPr>
        <w:t xml:space="preserve"> </w:t>
      </w:r>
      <w:r w:rsidR="00AC35FC" w:rsidRPr="005E388B">
        <w:rPr>
          <w:i/>
          <w:iCs/>
          <w:sz w:val="24"/>
          <w:szCs w:val="24"/>
        </w:rPr>
        <w:t>Teams administrators</w:t>
      </w:r>
      <w:r w:rsidR="00AC35FC" w:rsidRPr="005E388B">
        <w:rPr>
          <w:sz w:val="24"/>
          <w:szCs w:val="24"/>
        </w:rPr>
        <w:t xml:space="preserve"> can read cross-tenant access settings, but they can't update these settings.</w:t>
      </w:r>
    </w:p>
    <w:p w14:paraId="15418135" w14:textId="4ED3CD28" w:rsidR="005E388B" w:rsidRPr="004531E1" w:rsidRDefault="005E388B" w:rsidP="005E388B">
      <w:pPr>
        <w:rPr>
          <w:color w:val="FF0000"/>
          <w:sz w:val="24"/>
          <w:szCs w:val="24"/>
        </w:rPr>
      </w:pPr>
      <w:r w:rsidRPr="004531E1">
        <w:rPr>
          <w:b/>
          <w:bCs/>
          <w:color w:val="FF0000"/>
          <w:sz w:val="24"/>
          <w:szCs w:val="24"/>
        </w:rPr>
        <w:t>Role description</w:t>
      </w:r>
      <w:r w:rsidRPr="004531E1">
        <w:rPr>
          <w:color w:val="FF0000"/>
          <w:sz w:val="24"/>
          <w:szCs w:val="24"/>
        </w:rPr>
        <w:t xml:space="preserve">: </w:t>
      </w:r>
    </w:p>
    <w:p w14:paraId="2E7250EC" w14:textId="1398E0C5" w:rsidR="005E388B" w:rsidRPr="005E388B" w:rsidRDefault="005E388B" w:rsidP="005E388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E388B">
        <w:rPr>
          <w:b/>
          <w:bCs/>
          <w:sz w:val="24"/>
          <w:szCs w:val="24"/>
        </w:rPr>
        <w:t>Global Administrator</w:t>
      </w:r>
    </w:p>
    <w:p w14:paraId="6AF3AFAB" w14:textId="01CC432A" w:rsidR="005E388B" w:rsidRDefault="005E388B" w:rsidP="005E388B">
      <w:pPr>
        <w:pStyle w:val="ListParagraph"/>
        <w:rPr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Can manage all aspects of Azure AD and Microsoft services that use Azure AD identities.</w:t>
      </w:r>
    </w:p>
    <w:p w14:paraId="2EB6CC35" w14:textId="207F5F7D" w:rsidR="005E388B" w:rsidRDefault="005E388B" w:rsidP="005E388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E388B">
        <w:rPr>
          <w:b/>
          <w:bCs/>
          <w:sz w:val="24"/>
          <w:szCs w:val="24"/>
        </w:rPr>
        <w:t>Security Administrator</w:t>
      </w:r>
    </w:p>
    <w:p w14:paraId="517F0152" w14:textId="3BFCC7D9" w:rsidR="005E388B" w:rsidRPr="005E388B" w:rsidRDefault="005E388B" w:rsidP="005E388B">
      <w:pPr>
        <w:pStyle w:val="ListParagraph"/>
        <w:rPr>
          <w:b/>
          <w:bCs/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Can read security information and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reports and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manage configuration in Azure AD and Office 365.</w:t>
      </w:r>
    </w:p>
    <w:p w14:paraId="36FEEC8B" w14:textId="38689935" w:rsidR="005E388B" w:rsidRDefault="005E388B" w:rsidP="005E388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E388B">
        <w:rPr>
          <w:b/>
          <w:bCs/>
          <w:sz w:val="24"/>
          <w:szCs w:val="24"/>
        </w:rPr>
        <w:t>Teams Administrator</w:t>
      </w:r>
    </w:p>
    <w:p w14:paraId="1FCA6185" w14:textId="6B8BA865" w:rsidR="005E388B" w:rsidRDefault="005E388B" w:rsidP="005E388B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Can manage the Microsoft Teams service.</w:t>
      </w:r>
    </w:p>
    <w:p w14:paraId="3D2B7862" w14:textId="47B624BD" w:rsidR="005E388B" w:rsidRDefault="005E388B" w:rsidP="005E388B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14:paraId="31AC3809" w14:textId="27F5C9BA" w:rsidR="005E388B" w:rsidRPr="00E85D6B" w:rsidRDefault="00E85D6B" w:rsidP="00E85D6B">
      <w:pPr>
        <w:rPr>
          <w:sz w:val="24"/>
          <w:szCs w:val="24"/>
        </w:rPr>
      </w:pPr>
      <w:r w:rsidRPr="00E85D6B">
        <w:rPr>
          <w:b/>
          <w:bCs/>
          <w:color w:val="FF0000"/>
          <w:sz w:val="24"/>
          <w:szCs w:val="24"/>
        </w:rPr>
        <w:t>Licensing:</w:t>
      </w:r>
      <w:r>
        <w:rPr>
          <w:b/>
          <w:bCs/>
          <w:sz w:val="24"/>
          <w:szCs w:val="24"/>
        </w:rPr>
        <w:t xml:space="preserve"> </w:t>
      </w:r>
      <w:r w:rsidRPr="00E85D6B">
        <w:rPr>
          <w:sz w:val="24"/>
          <w:szCs w:val="24"/>
        </w:rPr>
        <w:t xml:space="preserve">To configure trust settings or access settings to a specific groups, users or applications, </w:t>
      </w:r>
      <w:r w:rsidRPr="00E85D6B">
        <w:rPr>
          <w:b/>
          <w:bCs/>
          <w:sz w:val="24"/>
          <w:szCs w:val="24"/>
        </w:rPr>
        <w:t>Azure AD Premium P1 License</w:t>
      </w:r>
      <w:r w:rsidRPr="00E85D6B">
        <w:rPr>
          <w:sz w:val="24"/>
          <w:szCs w:val="24"/>
        </w:rPr>
        <w:t xml:space="preserve"> is required.</w:t>
      </w:r>
    </w:p>
    <w:p w14:paraId="34AB8C8D" w14:textId="54BF64B3" w:rsidR="005E388B" w:rsidRPr="004531E1" w:rsidRDefault="005E388B" w:rsidP="00AC35FC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32"/>
          <w:szCs w:val="32"/>
        </w:rPr>
      </w:pPr>
      <w:r w:rsidRPr="004531E1">
        <w:rPr>
          <w:rFonts w:asciiTheme="minorHAnsi" w:hAnsiTheme="minorHAnsi" w:cstheme="minorHAnsi"/>
          <w:color w:val="FF0000"/>
          <w:sz w:val="32"/>
          <w:szCs w:val="32"/>
        </w:rPr>
        <w:t>Test Users and Groups</w:t>
      </w:r>
    </w:p>
    <w:p w14:paraId="4D871373" w14:textId="62631A4E" w:rsidR="005E388B" w:rsidRDefault="005E388B" w:rsidP="00AC35FC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E3A8E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To test</w:t>
      </w:r>
      <w:r w:rsidR="00DE3A8E" w:rsidRPr="00DE3A8E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user access after B2B Direct connect configuration, set of test users and groups will be created.</w:t>
      </w:r>
    </w:p>
    <w:p w14:paraId="376DF80F" w14:textId="77777777" w:rsidR="00D55812" w:rsidRPr="004531E1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32"/>
          <w:szCs w:val="32"/>
        </w:rPr>
      </w:pPr>
      <w:r w:rsidRPr="004531E1">
        <w:rPr>
          <w:rFonts w:asciiTheme="minorHAnsi" w:hAnsiTheme="minorHAnsi" w:cstheme="minorHAnsi"/>
          <w:color w:val="FF0000"/>
          <w:sz w:val="32"/>
          <w:szCs w:val="32"/>
        </w:rPr>
        <w:t>Test Groups to be created</w:t>
      </w:r>
    </w:p>
    <w:p w14:paraId="10D21E42" w14:textId="77D2F2E1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Testgroup1_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Reader</w:t>
      </w:r>
    </w:p>
    <w:p w14:paraId="67DF9667" w14:textId="3A2FDE40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Testgroup2_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Owner</w:t>
      </w:r>
    </w:p>
    <w:p w14:paraId="4C7ECC3C" w14:textId="6032487A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Testgroup3_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User</w:t>
      </w:r>
    </w:p>
    <w:p w14:paraId="7B765E68" w14:textId="3418B3CC" w:rsidR="00DE3A8E" w:rsidRPr="004531E1" w:rsidRDefault="00DE3A8E" w:rsidP="00AC35FC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32"/>
          <w:szCs w:val="32"/>
        </w:rPr>
      </w:pPr>
      <w:r w:rsidRPr="004531E1">
        <w:rPr>
          <w:rFonts w:asciiTheme="minorHAnsi" w:hAnsiTheme="minorHAnsi" w:cstheme="minorHAnsi"/>
          <w:color w:val="FF0000"/>
          <w:sz w:val="32"/>
          <w:szCs w:val="32"/>
        </w:rPr>
        <w:t>Test Users to be created</w:t>
      </w:r>
    </w:p>
    <w:p w14:paraId="23EFB1F8" w14:textId="198EA1B7" w:rsidR="00DE3A8E" w:rsidRPr="004531E1" w:rsidRDefault="00DE3A8E" w:rsidP="00AC35FC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</w:rPr>
      </w:pPr>
      <w:r w:rsidRPr="004531E1">
        <w:rPr>
          <w:rFonts w:asciiTheme="minorHAnsi" w:hAnsiTheme="minorHAnsi" w:cstheme="minorHAnsi"/>
          <w:color w:val="FF0000"/>
          <w:sz w:val="28"/>
          <w:szCs w:val="28"/>
        </w:rPr>
        <w:t>Testuser1</w:t>
      </w:r>
    </w:p>
    <w:p w14:paraId="0FDEB6F6" w14:textId="4F8D0F71" w:rsidR="000C2E43" w:rsidRPr="00D55812" w:rsidRDefault="000C2E43" w:rsidP="00AC35FC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lastRenderedPageBreak/>
        <w:t>This user will be placed in Testgroup1_Reader group, this group will be granted the Global reader role to that tenant. The user will assume the Global reader role</w:t>
      </w:r>
    </w:p>
    <w:p w14:paraId="70A3CFA1" w14:textId="332A1D16" w:rsidR="000C2E43" w:rsidRDefault="00D55812" w:rsidP="00AC35FC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  <w:r w:rsidRPr="00D55812">
        <w:rPr>
          <w:rFonts w:asciiTheme="minorHAnsi" w:hAnsiTheme="minorHAnsi" w:cstheme="minorHAnsi"/>
          <w:color w:val="171717"/>
          <w:sz w:val="24"/>
          <w:szCs w:val="24"/>
        </w:rPr>
        <w:t xml:space="preserve">Global </w:t>
      </w:r>
      <w:r w:rsidR="000C2E43" w:rsidRPr="00D55812">
        <w:rPr>
          <w:rFonts w:asciiTheme="minorHAnsi" w:hAnsiTheme="minorHAnsi" w:cstheme="minorHAnsi"/>
          <w:color w:val="171717"/>
          <w:sz w:val="24"/>
          <w:szCs w:val="24"/>
        </w:rPr>
        <w:t>Reader role:</w:t>
      </w:r>
      <w:r>
        <w:rPr>
          <w:rFonts w:asciiTheme="minorHAnsi" w:hAnsiTheme="minorHAnsi" w:cstheme="minorHAnsi"/>
          <w:color w:val="171717"/>
          <w:sz w:val="32"/>
          <w:szCs w:val="32"/>
        </w:rPr>
        <w:t xml:space="preserve"> 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  <w:shd w:val="clear" w:color="auto" w:fill="FFFFFF"/>
        </w:rPr>
        <w:t>Can read everything that a Global Administrator can, but not update anything</w:t>
      </w:r>
    </w:p>
    <w:p w14:paraId="6DE42E75" w14:textId="09B75F22" w:rsidR="00DE3A8E" w:rsidRPr="004531E1" w:rsidRDefault="00DE3A8E" w:rsidP="00AC35FC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</w:rPr>
      </w:pPr>
      <w:r w:rsidRPr="004531E1">
        <w:rPr>
          <w:rFonts w:asciiTheme="minorHAnsi" w:hAnsiTheme="minorHAnsi" w:cstheme="minorHAnsi"/>
          <w:color w:val="FF0000"/>
          <w:sz w:val="28"/>
          <w:szCs w:val="28"/>
        </w:rPr>
        <w:t>Testuser2</w:t>
      </w:r>
    </w:p>
    <w:p w14:paraId="797A1A52" w14:textId="219470DE" w:rsidR="000C2E43" w:rsidRPr="00D55812" w:rsidRDefault="000C2E43" w:rsidP="000C2E43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This user will be placed in Testgroup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2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_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Owner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group, this group will be granted the 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Global administrator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role to that tenant. The user will assume the 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Global administrator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role</w:t>
      </w:r>
    </w:p>
    <w:p w14:paraId="5AC95977" w14:textId="374CDDDC" w:rsidR="000C2E43" w:rsidRPr="00D55812" w:rsidRDefault="000C2E43" w:rsidP="00AC35FC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color w:val="171717"/>
          <w:sz w:val="24"/>
          <w:szCs w:val="24"/>
        </w:rPr>
        <w:t>Global Administrator role</w:t>
      </w:r>
      <w:r>
        <w:rPr>
          <w:rFonts w:asciiTheme="minorHAnsi" w:hAnsiTheme="minorHAnsi" w:cstheme="minorHAnsi"/>
          <w:color w:val="171717"/>
          <w:sz w:val="32"/>
          <w:szCs w:val="32"/>
        </w:rPr>
        <w:t>:</w:t>
      </w:r>
      <w:r w:rsidR="00D55812">
        <w:rPr>
          <w:rFonts w:asciiTheme="minorHAnsi" w:hAnsiTheme="minorHAnsi" w:cstheme="minorHAnsi"/>
          <w:color w:val="171717"/>
          <w:sz w:val="32"/>
          <w:szCs w:val="32"/>
        </w:rPr>
        <w:t xml:space="preserve"> </w:t>
      </w:r>
      <w:r w:rsidR="00D55812"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  <w:shd w:val="clear" w:color="auto" w:fill="FFFFFF"/>
        </w:rPr>
        <w:t>Can manage all aspects of Azure AD and Microsoft services that use Azure AD identities</w:t>
      </w:r>
    </w:p>
    <w:p w14:paraId="4F1A6C93" w14:textId="6A6263F8" w:rsidR="00DE3A8E" w:rsidRPr="004531E1" w:rsidRDefault="00DE3A8E" w:rsidP="00AC35FC">
      <w:pPr>
        <w:pStyle w:val="Heading2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</w:rPr>
      </w:pPr>
      <w:r w:rsidRPr="004531E1">
        <w:rPr>
          <w:rFonts w:asciiTheme="minorHAnsi" w:hAnsiTheme="minorHAnsi" w:cstheme="minorHAnsi"/>
          <w:color w:val="FF0000"/>
          <w:sz w:val="28"/>
          <w:szCs w:val="28"/>
        </w:rPr>
        <w:t>Testuser3</w:t>
      </w:r>
    </w:p>
    <w:p w14:paraId="753A99E9" w14:textId="2CF9439C" w:rsidR="000C2E43" w:rsidRPr="00D55812" w:rsidRDefault="000C2E43" w:rsidP="000C2E43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This user will be placed in Testgroup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3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_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User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group, this group will be granted the 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User administrator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role to that tenant. The user will assume the 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User administrator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role</w:t>
      </w:r>
    </w:p>
    <w:p w14:paraId="642F65FF" w14:textId="56A33BCF" w:rsidR="000C2E43" w:rsidRDefault="000C2E43" w:rsidP="000C2E43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  <w:r w:rsidRPr="00D55812">
        <w:rPr>
          <w:rFonts w:asciiTheme="minorHAnsi" w:hAnsiTheme="minorHAnsi" w:cstheme="minorHAnsi"/>
          <w:color w:val="171717"/>
          <w:sz w:val="24"/>
          <w:szCs w:val="24"/>
        </w:rPr>
        <w:t>User Administrator role</w:t>
      </w:r>
      <w:r>
        <w:rPr>
          <w:rFonts w:asciiTheme="minorHAnsi" w:hAnsiTheme="minorHAnsi" w:cstheme="minorHAnsi"/>
          <w:color w:val="171717"/>
          <w:sz w:val="32"/>
          <w:szCs w:val="32"/>
        </w:rPr>
        <w:t>:</w:t>
      </w:r>
      <w:r w:rsidR="00D55812">
        <w:rPr>
          <w:rFonts w:asciiTheme="minorHAnsi" w:hAnsiTheme="minorHAnsi" w:cstheme="minorHAnsi"/>
          <w:color w:val="171717"/>
          <w:sz w:val="32"/>
          <w:szCs w:val="32"/>
        </w:rPr>
        <w:t xml:space="preserve"> </w:t>
      </w:r>
      <w:r w:rsidR="00D55812" w:rsidRPr="00D55812">
        <w:rPr>
          <w:rFonts w:asciiTheme="minorHAnsi" w:hAnsiTheme="minorHAnsi" w:cstheme="minorHAnsi"/>
          <w:b w:val="0"/>
          <w:bCs w:val="0"/>
          <w:color w:val="171717"/>
          <w:sz w:val="24"/>
          <w:szCs w:val="24"/>
          <w:shd w:val="clear" w:color="auto" w:fill="FFFFFF"/>
        </w:rPr>
        <w:t>Can manage all aspects of users and groups, including resetting passwords for limited admins</w:t>
      </w:r>
      <w:r w:rsidR="00D55812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</w:p>
    <w:p w14:paraId="5BA21CE0" w14:textId="77777777" w:rsidR="000C2E43" w:rsidRDefault="000C2E43" w:rsidP="00AC35FC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</w:p>
    <w:p w14:paraId="616A2B19" w14:textId="5F710352" w:rsidR="00DE3A8E" w:rsidRDefault="00DE3A8E" w:rsidP="00AC35FC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</w:p>
    <w:p w14:paraId="6E014ADC" w14:textId="555EE766" w:rsidR="006070D3" w:rsidRDefault="00DE3A8E" w:rsidP="00D55812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  <w:r>
        <w:rPr>
          <w:rFonts w:asciiTheme="minorHAnsi" w:hAnsiTheme="minorHAnsi" w:cstheme="minorHAnsi"/>
          <w:noProof/>
          <w:color w:val="171717"/>
          <w:sz w:val="32"/>
          <w:szCs w:val="32"/>
        </w:rPr>
        <mc:AlternateContent>
          <mc:Choice Requires="wpc">
            <w:drawing>
              <wp:inline distT="0" distB="0" distL="0" distR="0" wp14:anchorId="5C3ABC34" wp14:editId="75D3E83C">
                <wp:extent cx="5486400" cy="31496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662600" y="1494450"/>
                            <a:ext cx="914400" cy="40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CBB62" w14:textId="6EE493CE" w:rsidR="000C2E43" w:rsidRDefault="000C2E43" w:rsidP="000C2E43">
                              <w:pPr>
                                <w:jc w:val="center"/>
                              </w:pPr>
                              <w:r>
                                <w:t>Testuser1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75500" y="1475400"/>
                            <a:ext cx="914400" cy="416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0176E" w14:textId="29620787" w:rsidR="000C2E43" w:rsidRDefault="000C2E43" w:rsidP="000C2E43">
                              <w:pPr>
                                <w:jc w:val="center"/>
                              </w:pPr>
                              <w:r>
                                <w:t>Testuser2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64600" y="1443650"/>
                            <a:ext cx="914400" cy="44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E462B" w14:textId="114E57E0" w:rsidR="000C2E43" w:rsidRDefault="000C2E43" w:rsidP="000C2E43">
                              <w:pPr>
                                <w:jc w:val="center"/>
                              </w:pPr>
                              <w:r>
                                <w:t>Testuser3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73050"/>
                            <a:ext cx="1193800" cy="679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B3AD6" w14:textId="77777777" w:rsidR="00DE3A8E" w:rsidRDefault="00DE3A8E" w:rsidP="00DE3A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TestGroup1_Reader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292100"/>
                            <a:ext cx="1361100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94980" w14:textId="2608B5F8" w:rsidR="00DE3A8E" w:rsidRDefault="00DE3A8E" w:rsidP="00DE3A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TestGroup</w:t>
                              </w:r>
                              <w:r w:rsidR="000C2E43"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_</w:t>
                              </w:r>
                              <w:r w:rsidR="000C2E43">
                                <w:rPr>
                                  <w:rFonts w:ascii="Calibri" w:eastAsia="Calibri" w:hAnsi="Calibri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311150"/>
                            <a:ext cx="1272200" cy="58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5E2D0" w14:textId="7500E922" w:rsidR="00DE3A8E" w:rsidRDefault="00DE3A8E" w:rsidP="00DE3A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TestGroup</w:t>
                              </w:r>
                              <w:r w:rsidR="000C2E43"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_</w:t>
                              </w:r>
                              <w:r w:rsidR="000C2E43">
                                <w:rPr>
                                  <w:rFonts w:ascii="Calibri" w:eastAsia="Calibri" w:hAnsi="Calibri"/>
                                </w:rPr>
                                <w:t>Contributor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60450" y="965200"/>
                            <a:ext cx="12700" cy="51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656500" y="965495"/>
                            <a:ext cx="12700" cy="509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390050" y="922950"/>
                            <a:ext cx="12700" cy="509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3ABC34" id="Canvas 5" o:spid="_x0000_s1026" editas="canvas" style="width:6in;height:248pt;mso-position-horizontal-relative:char;mso-position-vertical-relative:line" coordsize="54864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1496;visibility:visible;mso-wrap-style:square" filled="t">
                  <v:fill o:detectmouseclick="t"/>
                  <v:path o:connecttype="none"/>
                </v:shape>
                <v:rect id="Rectangle 9" o:spid="_x0000_s1028" style="position:absolute;left:6626;top:14944;width:9144;height:4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EFCBB62" w14:textId="6EE493CE" w:rsidR="000C2E43" w:rsidRDefault="000C2E43" w:rsidP="000C2E43">
                        <w:pPr>
                          <w:jc w:val="center"/>
                        </w:pPr>
                        <w:r>
                          <w:t>Testuser1</w:t>
                        </w:r>
                      </w:p>
                    </w:txbxContent>
                  </v:textbox>
                </v:rect>
                <v:rect id="Rectangle 10" o:spid="_x0000_s1029" style="position:absolute;left:22755;top:14754;width:9144;height:4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7A00176E" w14:textId="29620787" w:rsidR="000C2E43" w:rsidRDefault="000C2E43" w:rsidP="000C2E43">
                        <w:pPr>
                          <w:jc w:val="center"/>
                        </w:pPr>
                        <w:r>
                          <w:t>Testuser2</w:t>
                        </w:r>
                      </w:p>
                    </w:txbxContent>
                  </v:textbox>
                </v:rect>
                <v:rect id="Rectangle 11" o:spid="_x0000_s1030" style="position:absolute;left:39646;top:14436;width:9144;height: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739E462B" w14:textId="114E57E0" w:rsidR="000C2E43" w:rsidRDefault="000C2E43" w:rsidP="000C2E43">
                        <w:pPr>
                          <w:jc w:val="center"/>
                        </w:pPr>
                        <w:r>
                          <w:t>Testuser3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4572;top:2730;width:11938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118B3AD6" w14:textId="77777777" w:rsidR="00DE3A8E" w:rsidRDefault="00DE3A8E" w:rsidP="00DE3A8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TestGroup1_Reader</w:t>
                        </w:r>
                      </w:p>
                    </w:txbxContent>
                  </v:textbox>
                </v:shape>
                <v:shape id="Text Box 2" o:spid="_x0000_s1032" type="#_x0000_t202" style="position:absolute;left:20193;top:2921;width:13611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1E94980" w14:textId="2608B5F8" w:rsidR="00DE3A8E" w:rsidRDefault="00DE3A8E" w:rsidP="00DE3A8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TestGroup</w:t>
                        </w:r>
                        <w:r w:rsidR="000C2E43">
                          <w:rPr>
                            <w:rFonts w:ascii="Calibri" w:eastAsia="Calibri" w:hAnsi="Calibri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</w:rPr>
                          <w:t>_</w:t>
                        </w:r>
                        <w:r w:rsidR="000C2E43">
                          <w:rPr>
                            <w:rFonts w:ascii="Calibri" w:eastAsia="Calibri" w:hAnsi="Calibri"/>
                          </w:rPr>
                          <w:t>Owner</w:t>
                        </w:r>
                      </w:p>
                    </w:txbxContent>
                  </v:textbox>
                </v:shape>
                <v:shape id="Text Box 2" o:spid="_x0000_s1033" type="#_x0000_t202" style="position:absolute;left:36830;top:3111;width:12722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245E2D0" w14:textId="7500E922" w:rsidR="00DE3A8E" w:rsidRDefault="00DE3A8E" w:rsidP="00DE3A8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TestGroup</w:t>
                        </w:r>
                        <w:r w:rsidR="000C2E43">
                          <w:rPr>
                            <w:rFonts w:ascii="Calibri" w:eastAsia="Calibri" w:hAnsi="Calibri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</w:rPr>
                          <w:t>_</w:t>
                        </w:r>
                        <w:r w:rsidR="000C2E43">
                          <w:rPr>
                            <w:rFonts w:ascii="Calibri" w:eastAsia="Calibri" w:hAnsi="Calibri"/>
                          </w:rPr>
                          <w:t>Contributor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4" type="#_x0000_t32" style="position:absolute;left:10604;top:9652;width:127;height:5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9" o:spid="_x0000_s1035" type="#_x0000_t32" style="position:absolute;left:26565;top:9654;width:127;height:5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6" type="#_x0000_t32" style="position:absolute;left:43900;top:9229;width:127;height:5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4E02246" w14:textId="2C316424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8"/>
          <w:szCs w:val="28"/>
        </w:rPr>
      </w:pPr>
      <w:r w:rsidRPr="004531E1">
        <w:rPr>
          <w:rFonts w:asciiTheme="minorHAnsi" w:hAnsiTheme="minorHAnsi" w:cstheme="minorHAnsi"/>
          <w:color w:val="171717"/>
          <w:sz w:val="28"/>
          <w:szCs w:val="28"/>
        </w:rPr>
        <w:lastRenderedPageBreak/>
        <w:t>Below are links to different Azure built in roles that can be tested for different access requests</w:t>
      </w:r>
      <w:r w:rsidRPr="00D55812">
        <w:rPr>
          <w:rFonts w:asciiTheme="minorHAnsi" w:hAnsiTheme="minorHAnsi" w:cstheme="minorHAnsi"/>
          <w:b w:val="0"/>
          <w:bCs w:val="0"/>
          <w:color w:val="171717"/>
          <w:sz w:val="28"/>
          <w:szCs w:val="28"/>
        </w:rPr>
        <w:t>.</w:t>
      </w:r>
    </w:p>
    <w:p w14:paraId="7DDB93AA" w14:textId="47D622F1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171717"/>
          <w:sz w:val="28"/>
          <w:szCs w:val="28"/>
        </w:rPr>
      </w:pPr>
      <w:hyperlink r:id="rId7" w:history="1">
        <w:r w:rsidRPr="00D55812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 xml:space="preserve">Azure AD built-in roles - Azure Active Directory - Microsoft </w:t>
        </w:r>
        <w:proofErr w:type="spellStart"/>
        <w:r w:rsidRPr="00D55812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>Entra</w:t>
        </w:r>
        <w:proofErr w:type="spellEnd"/>
        <w:r w:rsidRPr="00D55812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 xml:space="preserve"> | Microsoft Learn</w:t>
        </w:r>
      </w:hyperlink>
    </w:p>
    <w:p w14:paraId="59669C58" w14:textId="77777777" w:rsidR="00D55812" w:rsidRPr="00D55812" w:rsidRDefault="00D55812" w:rsidP="00D55812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</w:p>
    <w:sectPr w:rsidR="00D55812" w:rsidRPr="00D5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5C22" w14:textId="77777777" w:rsidR="00375148" w:rsidRDefault="00375148" w:rsidP="00616671">
      <w:pPr>
        <w:spacing w:after="0" w:line="240" w:lineRule="auto"/>
      </w:pPr>
      <w:r>
        <w:separator/>
      </w:r>
    </w:p>
  </w:endnote>
  <w:endnote w:type="continuationSeparator" w:id="0">
    <w:p w14:paraId="763F1C9B" w14:textId="77777777" w:rsidR="00375148" w:rsidRDefault="00375148" w:rsidP="0061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FC74" w14:textId="77777777" w:rsidR="00375148" w:rsidRDefault="00375148" w:rsidP="00616671">
      <w:pPr>
        <w:spacing w:after="0" w:line="240" w:lineRule="auto"/>
      </w:pPr>
      <w:r>
        <w:separator/>
      </w:r>
    </w:p>
  </w:footnote>
  <w:footnote w:type="continuationSeparator" w:id="0">
    <w:p w14:paraId="4EA99A98" w14:textId="77777777" w:rsidR="00375148" w:rsidRDefault="00375148" w:rsidP="0061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751"/>
    <w:multiLevelType w:val="hybridMultilevel"/>
    <w:tmpl w:val="92DA2476"/>
    <w:lvl w:ilvl="0" w:tplc="8546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C7F"/>
    <w:multiLevelType w:val="multilevel"/>
    <w:tmpl w:val="78A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D2243"/>
    <w:multiLevelType w:val="multilevel"/>
    <w:tmpl w:val="59C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71"/>
    <w:rsid w:val="000142C1"/>
    <w:rsid w:val="000C2E43"/>
    <w:rsid w:val="0016657C"/>
    <w:rsid w:val="00266902"/>
    <w:rsid w:val="00375148"/>
    <w:rsid w:val="004531E1"/>
    <w:rsid w:val="00574EE1"/>
    <w:rsid w:val="005E388B"/>
    <w:rsid w:val="00616671"/>
    <w:rsid w:val="006D5B04"/>
    <w:rsid w:val="00AC35FC"/>
    <w:rsid w:val="00D55812"/>
    <w:rsid w:val="00DE3A8E"/>
    <w:rsid w:val="00E8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DD382"/>
  <w15:chartTrackingRefBased/>
  <w15:docId w15:val="{E0FB3071-D43E-4D3D-B86B-64FC4895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35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35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ctive-directory/roles/permissions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Osatuyi, Desmond</dc:creator>
  <cp:keywords/>
  <dc:description/>
  <cp:lastModifiedBy>Osatuyi, Desmond</cp:lastModifiedBy>
  <cp:revision>7</cp:revision>
  <dcterms:created xsi:type="dcterms:W3CDTF">2022-09-27T20:03:00Z</dcterms:created>
  <dcterms:modified xsi:type="dcterms:W3CDTF">2022-09-28T01:06:00Z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2022-09-27T20:03:50Z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2b74e76c-976c-4a10-86f5-79a4d4c29788</vt:lpwstr>
  </property>
  <property fmtid="{D5CDD505-2E9C-101B-9397-08002B2CF9AE}" pid="8" name="MSIP_Label_ea60d57e-af5b-4752-ac57-3e4f28ca11dc_ContentBits">
    <vt:lpwstr>0</vt:lpwstr>
  </property>
</Properties>
</file>