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r>
        <w:rPr>
          <w:b/>
          <w:bCs/>
          <w:color w:val="1F3864"/>
          <w:sz w:val="22"/>
          <w:szCs w:val="22"/>
          <w:rFonts w:ascii="Calibri" w:cs="Calibri" w:eastAsia="Calibri" w:hAnsi="Calibri"/>
        </w:rPr>
        <w:t xml:space="preserve">EL CORAZON BODY CORPORATE</w:t>
      </w:r>
    </w:p>
    <w:p>
      <w:pPr>
        <w:spacing w:after="80"/>
      </w:pPr>
      <w:r>
        <w:rPr>
          <w:b/>
          <w:bCs/>
          <w:color w:val="1F3864"/>
          <w:sz w:val="52"/>
          <w:szCs w:val="52"/>
          <w:rFonts w:ascii="Calibri" w:cs="Calibri" w:eastAsia="Calibri" w:hAnsi="Calibri"/>
        </w:rPr>
        <w:t xml:space="preserve">Reserve Fund — Working Plan</w:t>
      </w:r>
    </w:p>
    <w:p>
      <w:pPr>
        <w:pBdr>
          <w:bottom w:val="single" w:color="1F3864" w:sz="12" w:space="6"/>
        </w:pBdr>
        <w:spacing w:after="400"/>
      </w:pPr>
      <w:r>
        <w:rPr>
          <w:color w:val="444444"/>
          <w:sz w:val="24"/>
          <w:szCs w:val="24"/>
          <w:rFonts w:ascii="Calibri" w:cs="Calibri" w:eastAsia="Calibri" w:hAnsi="Calibri"/>
        </w:rPr>
        <w:t xml:space="preserve">Two routes to establishing the fund: Option A — all owner contributions · Option B — levy contributions only</w:t>
      </w:r>
    </w:p>
    <w:p>
      <w:pPr>
        <w:spacing w:after="120" w:line="276"/>
      </w:pPr>
      <w:r>
        <w:rPr>
          <w:b/>
          <w:bCs/>
          <w:sz w:val="20"/>
          <w:szCs w:val="20"/>
          <w:rFonts w:ascii="Calibri" w:cs="Calibri" w:eastAsia="Calibri" w:hAnsi="Calibri"/>
        </w:rPr>
        <w:t xml:space="preserve">Prepared for: </w:t>
      </w:r>
      <w:r>
        <w:rPr>
          <w:sz w:val="20"/>
          <w:szCs w:val="20"/>
          <w:rFonts w:ascii="Calibri" w:cs="Calibri" w:eastAsia="Calibri" w:hAnsi="Calibri"/>
        </w:rPr>
        <w:t xml:space="preserve">the trustees, ahead of the September 2026 annual general meeting</w:t>
      </w:r>
    </w:p>
    <w:p>
      <w:pPr>
        <w:spacing w:after="120" w:line="276"/>
      </w:pPr>
      <w:r>
        <w:rPr>
          <w:b/>
          <w:bCs/>
          <w:sz w:val="20"/>
          <w:szCs w:val="20"/>
          <w:rFonts w:ascii="Calibri" w:cs="Calibri" w:eastAsia="Calibri" w:hAnsi="Calibri"/>
        </w:rPr>
        <w:t xml:space="preserve">Prepared by: </w:t>
      </w:r>
      <w:r>
        <w:rPr>
          <w:sz w:val="20"/>
          <w:szCs w:val="20"/>
          <w:rFonts w:ascii="Calibri" w:cs="Calibri" w:eastAsia="Calibri" w:hAnsi="Calibri"/>
        </w:rPr>
        <w:t xml:space="preserve">Devon Stanley, finance trustee</w:t>
      </w:r>
    </w:p>
    <w:p>
      <w:pPr>
        <w:spacing w:after="120" w:line="276"/>
      </w:pPr>
      <w:r>
        <w:rPr>
          <w:b/>
          <w:bCs/>
          <w:sz w:val="20"/>
          <w:szCs w:val="20"/>
          <w:rFonts w:ascii="Calibri" w:cs="Calibri" w:eastAsia="Calibri" w:hAnsi="Calibri"/>
        </w:rPr>
        <w:t xml:space="preserve">Date: </w:t>
      </w:r>
      <w:r>
        <w:rPr>
          <w:sz w:val="20"/>
          <w:szCs w:val="20"/>
          <w:rFonts w:ascii="Calibri" w:cs="Calibri" w:eastAsia="Calibri" w:hAnsi="Calibri"/>
        </w:rPr>
        <w:t xml:space="preserve">11 August 2026</w:t>
      </w:r>
    </w:p>
    <w:p>
      <w:pPr>
        <w:spacing w:after="120" w:line="276"/>
      </w:pPr>
      <w:r>
        <w:rPr>
          <w:b/>
          <w:bCs/>
          <w:sz w:val="20"/>
          <w:szCs w:val="20"/>
          <w:rFonts w:ascii="Calibri" w:cs="Calibri" w:eastAsia="Calibri" w:hAnsi="Calibri"/>
        </w:rPr>
        <w:t xml:space="preserve">Financial year in question: </w:t>
      </w:r>
      <w:r>
        <w:rPr>
          <w:sz w:val="20"/>
          <w:szCs w:val="20"/>
          <w:rFonts w:ascii="Calibri" w:cs="Calibri" w:eastAsia="Calibri" w:hAnsi="Calibri"/>
        </w:rPr>
        <w:t xml:space="preserve">FY 2026/2027 (1 August 2026 – 31 July 2027)</w:t>
      </w:r>
    </w:p>
    <w:p>
      <w:pPr>
        <w:spacing w:after="120" w:line="276"/>
      </w:pPr>
      <w:r>
        <w:rPr>
          <w:b/>
          <w:bCs/>
          <w:sz w:val="20"/>
          <w:szCs w:val="20"/>
          <w:rFonts w:ascii="Calibri" w:cs="Calibri" w:eastAsia="Calibri" w:hAnsi="Calibri"/>
        </w:rPr>
        <w:t xml:space="preserve">Status: </w:t>
      </w:r>
      <w:r>
        <w:rPr>
          <w:sz w:val="20"/>
          <w:szCs w:val="20"/>
          <w:rFonts w:ascii="Calibri" w:cs="Calibri" w:eastAsia="Calibri" w:hAnsi="Calibri"/>
        </w:rPr>
        <w:t xml:space="preserve">Working plan for decision. Nothing has been built and no money has been moved. The reserve fund does not yet exist.</w:t>
      </w:r>
    </w:p>
    <w:p>
      <w:pPr>
        <w:pBdr>
          <w:left w:val="single" w:color="1F3864" w:sz="18" w:space="8"/>
        </w:pBdr>
        <w:shd w:fill="E8EEF7" w:val="clear"/>
        <w:spacing w:before="140" w:after="160" w:line="276"/>
        <w:ind w:left="120" w:right="120"/>
      </w:pPr>
      <w:r>
        <w:rPr>
          <w:b/>
          <w:bCs/>
          <w:color w:val="1F3864"/>
          <w:sz w:val="20"/>
          <w:szCs w:val="20"/>
          <w:rFonts w:ascii="Calibri" w:cs="Calibri" w:eastAsia="Calibri" w:hAnsi="Calibri"/>
        </w:rPr>
        <w:t xml:space="preserve">Not legal advice. </w:t>
      </w:r>
      <w:r>
        <w:rPr>
          <w:sz w:val="20"/>
          <w:szCs w:val="20"/>
          <w:rFonts w:ascii="Calibri" w:cs="Calibri" w:eastAsia="Calibri" w:hAnsi="Calibri"/>
        </w:rPr>
        <w:t xml:space="preserve">Regulation 2 of the STSMA regulations does not define "contribution to the administrative fund", and the two readings set out here produce materially different figures. Confirm the reading with the scheme's accountant before the meeting votes. Every figure excludes VAT unless marked otherwise.</w:t>
      </w:r>
    </w:p>
    <w:p>
      <w:pPr>
        <w:pStyle w:val="Heading1"/>
        <w:keepNext/>
        <w:spacing w:before="360" w:after="160"/>
      </w:pPr>
      <w:r>
        <w:rPr>
          <w:b/>
          <w:bCs/>
          <w:color w:val="1F3864"/>
          <w:sz w:val="30"/>
          <w:szCs w:val="30"/>
          <w:rFonts w:ascii="Calibri" w:cs="Calibri" w:eastAsia="Calibri" w:hAnsi="Calibri"/>
        </w:rPr>
        <w:t xml:space="preserve">1. What this plan is for</w:t>
      </w:r>
    </w:p>
    <w:p>
      <w:pPr>
        <w:spacing w:after="120" w:line="276"/>
      </w:pPr>
      <w:r>
        <w:rPr>
          <w:sz w:val="20"/>
          <w:szCs w:val="20"/>
          <w:rFonts w:ascii="Calibri" w:cs="Calibri" w:eastAsia="Calibri" w:hAnsi="Calibri"/>
        </w:rPr>
        <w:t xml:space="preserve">The scheme is legally required to hold a reserve fund and does not have one. The balance is R 0.00, the ledger has no entries, and the FY 2026/2027 budget already carries a reserve line of R 40,592.60 that was calculated on the wrong quantity from the wrong year.</w:t>
      </w:r>
    </w:p>
    <w:p>
      <w:pPr>
        <w:spacing w:after="120" w:line="276"/>
      </w:pPr>
      <w:r>
        <w:rPr>
          <w:sz w:val="20"/>
          <w:szCs w:val="20"/>
          <w:rFonts w:ascii="Calibri" w:cs="Calibri" w:eastAsia="Calibri" w:hAnsi="Calibri"/>
        </w:rPr>
        <w:t xml:space="preserve">This plan sets out how to start the fund at the September AGM. It is deliberately written as two parallel options, because one unresolved legal question — what counts as a "contribution to the administrative fund" — changes every number in it:</w:t>
      </w:r>
    </w:p>
    <w:p>
      <w:pPr>
        <w:pStyle w:val="ListParagraph"/>
        <w:numPr>
          <w:ilvl w:val="0"/>
          <w:numId w:val="2"/>
        </w:numPr>
        <w:spacing w:after="80" w:line="276"/>
      </w:pPr>
      <w:r>
        <w:rPr>
          <w:sz w:val="20"/>
          <w:szCs w:val="20"/>
          <w:rFonts w:ascii="Calibri" w:cs="Calibri" w:eastAsia="Calibri" w:hAnsi="Calibri"/>
        </w:rPr>
        <w:t xml:space="preserve">Option A takes all owner contributions into account: the levy grid plus metered water and metered electricity recovered from owners.</w:t>
      </w:r>
    </w:p>
    <w:p>
      <w:pPr>
        <w:pStyle w:val="ListParagraph"/>
        <w:numPr>
          <w:ilvl w:val="0"/>
          <w:numId w:val="2"/>
        </w:numPr>
        <w:spacing w:after="80" w:line="276"/>
      </w:pPr>
      <w:r>
        <w:rPr>
          <w:sz w:val="20"/>
          <w:szCs w:val="20"/>
          <w:rFonts w:ascii="Calibri" w:cs="Calibri" w:eastAsia="Calibri" w:hAnsi="Calibri"/>
        </w:rPr>
        <w:t xml:space="preserve">Option B takes the levy grid only, on the reading that metered utility recoveries are a cost recovery rather than a contribution.</w:t>
      </w:r>
    </w:p>
    <w:p>
      <w:pPr>
        <w:spacing w:after="120" w:line="276"/>
      </w:pPr>
      <w:r>
        <w:rPr>
          <w:sz w:val="20"/>
          <w:szCs w:val="20"/>
          <w:rFonts w:ascii="Calibri" w:cs="Calibri" w:eastAsia="Calibri" w:hAnsi="Calibri"/>
        </w:rPr>
        <w:t xml:space="preserve">Everything downstream of that choice — the statutory minimum, the opening designation, next year's tier, and what the app has to compute — is set out separately for each. Section 7 compares them and section 8 sets out the work that is the same either way.</w:t>
      </w:r>
    </w:p>
    <w:p>
      <w:pPr>
        <w:pStyle w:val="Heading1"/>
        <w:keepNext/>
        <w:spacing w:before="360" w:after="160"/>
      </w:pPr>
      <w:r>
        <w:rPr>
          <w:b/>
          <w:bCs/>
          <w:color w:val="1F3864"/>
          <w:sz w:val="30"/>
          <w:szCs w:val="30"/>
          <w:rFonts w:ascii="Calibri" w:cs="Calibri" w:eastAsia="Calibri" w:hAnsi="Calibri"/>
        </w:rPr>
        <w:t xml:space="preserve">2. The rule, in one page</w:t>
      </w:r>
    </w:p>
    <w:p>
      <w:pPr>
        <w:pStyle w:val="Heading2"/>
        <w:keepNext/>
        <w:spacing w:before="260" w:after="120"/>
      </w:pPr>
      <w:r>
        <w:rPr>
          <w:b/>
          <w:bCs/>
          <w:color w:val="1F3864"/>
          <w:sz w:val="24"/>
          <w:szCs w:val="24"/>
          <w:rFonts w:ascii="Calibri" w:cs="Calibri" w:eastAsia="Calibri" w:hAnsi="Calibri"/>
        </w:rPr>
        <w:t xml:space="preserve">2.1 What the Acts require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cantSplit/>
          <w:tblHeader/>
        </w:trPr>
        <w:tc>
          <w:tcPr>
            <w:tcW w:type="dxa" w:w="234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Provision</w:t>
            </w:r>
          </w:p>
        </w:tc>
        <w:tc>
          <w:tcPr>
            <w:tcW w:type="dxa" w:w="666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Requirement</w:t>
            </w:r>
          </w:p>
        </w:tc>
      </w:tr>
      <w:tr>
        <w:trPr>
          <w:cantSplit/>
          <w:tblHeader w:val="false"/>
        </w:trPr>
        <w:tc>
          <w:tcPr>
            <w:tcW w:type="dxa" w:w="2340"/>
            <w:tcMar>
              <w:top w:type="dxa" w:w="60"/>
              <w:left w:type="dxa" w:w="90"/>
              <w:bottom w:type="dxa" w:w="60"/>
              <w:right w:type="dxa" w:w="90"/>
            </w:tcMar>
          </w:tcPr>
          <w:p>
            <w:pPr>
              <w:spacing w:after="0" w:line="260"/>
            </w:pPr>
            <w:r>
              <w:rPr>
                <w:b/>
                <w:bCs/>
                <w:sz w:val="19"/>
                <w:szCs w:val="19"/>
                <w:rFonts w:ascii="Calibri" w:cs="Calibri" w:eastAsia="Calibri" w:hAnsi="Calibri"/>
              </w:rPr>
              <w:t xml:space="preserve">STSMA s3(1)(b)</w:t>
            </w:r>
          </w:p>
        </w:tc>
        <w:tc>
          <w:tcPr>
            <w:tcW w:type="dxa" w:w="66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Establish and maintain a reserve fund reasonably sufficient to cover the cost of future maintenance, repair and replacement of common property.</w:t>
            </w:r>
          </w:p>
        </w:tc>
      </w:tr>
      <w:tr>
        <w:trPr>
          <w:cantSplit/>
          <w:tblHeader w:val="false"/>
        </w:trPr>
        <w:tc>
          <w:tcPr>
            <w:tcW w:type="dxa" w:w="234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Regulation 2</w:t>
            </w:r>
          </w:p>
        </w:tc>
        <w:tc>
          <w:tcPr>
            <w:tcW w:type="dxa" w:w="66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A tiered minimum annual contribution — see 2.2.</w:t>
            </w:r>
          </w:p>
        </w:tc>
      </w:tr>
      <w:tr>
        <w:trPr>
          <w:cantSplit/>
          <w:tblHeader w:val="false"/>
        </w:trPr>
        <w:tc>
          <w:tcPr>
            <w:tcW w:type="dxa" w:w="2340"/>
            <w:tcMar>
              <w:top w:type="dxa" w:w="60"/>
              <w:left w:type="dxa" w:w="90"/>
              <w:bottom w:type="dxa" w:w="60"/>
              <w:right w:type="dxa" w:w="90"/>
            </w:tcMar>
          </w:tcPr>
          <w:p>
            <w:pPr>
              <w:spacing w:after="0" w:line="260"/>
            </w:pPr>
            <w:r>
              <w:rPr>
                <w:b/>
                <w:bCs/>
                <w:sz w:val="19"/>
                <w:szCs w:val="19"/>
                <w:rFonts w:ascii="Calibri" w:cs="Calibri" w:eastAsia="Calibri" w:hAnsi="Calibri"/>
              </w:rPr>
              <w:t xml:space="preserve">PMR 22</w:t>
            </w:r>
          </w:p>
        </w:tc>
        <w:tc>
          <w:tcPr>
            <w:tcW w:type="dxa" w:w="66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A written maintenance, repair and replacement plan over at least ten years, approved at each AGM.</w:t>
            </w:r>
          </w:p>
        </w:tc>
      </w:tr>
      <w:tr>
        <w:trPr>
          <w:cantSplit/>
          <w:tblHeader w:val="false"/>
        </w:trPr>
        <w:tc>
          <w:tcPr>
            <w:tcW w:type="dxa" w:w="234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PMR 26(1)(b)</w:t>
            </w:r>
          </w:p>
        </w:tc>
        <w:tc>
          <w:tcPr>
            <w:tcW w:type="dxa" w:w="66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Separate books of account and separate bank accounts for the administrative and the reserve fund.</w:t>
            </w:r>
          </w:p>
        </w:tc>
      </w:tr>
      <w:tr>
        <w:trPr>
          <w:cantSplit/>
          <w:tblHeader w:val="false"/>
        </w:trPr>
        <w:tc>
          <w:tcPr>
            <w:tcW w:type="dxa" w:w="2340"/>
            <w:tcMar>
              <w:top w:type="dxa" w:w="60"/>
              <w:left w:type="dxa" w:w="90"/>
              <w:bottom w:type="dxa" w:w="60"/>
              <w:right w:type="dxa" w:w="90"/>
            </w:tcMar>
          </w:tcPr>
          <w:p>
            <w:pPr>
              <w:spacing w:after="0" w:line="260"/>
            </w:pPr>
            <w:r>
              <w:rPr>
                <w:b/>
                <w:bCs/>
                <w:sz w:val="19"/>
                <w:szCs w:val="19"/>
                <w:rFonts w:ascii="Calibri" w:cs="Calibri" w:eastAsia="Calibri" w:hAnsi="Calibri"/>
              </w:rPr>
              <w:t xml:space="preserve">PMR 21</w:t>
            </w:r>
          </w:p>
        </w:tc>
        <w:tc>
          <w:tcPr>
            <w:tcW w:type="dxa" w:w="66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Reserve funds may be invested, but only in secure investments.</w:t>
            </w:r>
          </w:p>
        </w:tc>
      </w:tr>
    </w:tbl>
    <w:p>
      <w:pPr>
        <w:pStyle w:val="Heading2"/>
        <w:keepNext/>
        <w:spacing w:before="260" w:after="120"/>
      </w:pPr>
      <w:r>
        <w:rPr>
          <w:b/>
          <w:bCs/>
          <w:color w:val="1F3864"/>
          <w:sz w:val="24"/>
          <w:szCs w:val="24"/>
          <w:rFonts w:ascii="Calibri" w:cs="Calibri" w:eastAsia="Calibri" w:hAnsi="Calibri"/>
        </w:rPr>
        <w:t xml:space="preserve">2.2 Regulation 2 — the three tiers</w:t>
      </w:r>
    </w:p>
    <w:p>
      <w:pPr>
        <w:spacing w:after="120" w:line="276"/>
      </w:pPr>
      <w:r>
        <w:rPr>
          <w:sz w:val="20"/>
          <w:szCs w:val="20"/>
          <w:rFonts w:ascii="Calibri" w:cs="Calibri" w:eastAsia="Calibri" w:hAnsi="Calibri"/>
        </w:rPr>
        <w:t xml:space="preserve">The test runs against the reserve balance at the end of the previous financial year, measured against that year's actual contributions to the administrative fund.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40"/>
        <w:gridCol w:w="4860"/>
      </w:tblGrid>
      <w:tr>
        <w:trPr>
          <w:cantSplit/>
          <w:tblHeader/>
        </w:trPr>
        <w:tc>
          <w:tcPr>
            <w:tcW w:type="dxa" w:w="414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Reserve at prior year end</w:t>
            </w:r>
          </w:p>
        </w:tc>
        <w:tc>
          <w:tcPr>
            <w:tcW w:type="dxa" w:w="486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Minimum contribution for the year being budgeted</w:t>
            </w:r>
          </w:p>
        </w:tc>
      </w:tr>
      <w:tr>
        <w:trPr>
          <w:cantSplit/>
          <w:tblHeader w:val="false"/>
        </w:trPr>
        <w:tc>
          <w:tcPr>
            <w:tcW w:type="dxa" w:w="4140"/>
            <w:tcMar>
              <w:top w:type="dxa" w:w="60"/>
              <w:left w:type="dxa" w:w="90"/>
              <w:bottom w:type="dxa" w:w="60"/>
              <w:right w:type="dxa" w:w="90"/>
            </w:tcMar>
          </w:tcPr>
          <w:p>
            <w:pPr>
              <w:spacing w:after="0" w:line="260"/>
            </w:pPr>
            <w:r>
              <w:rPr>
                <w:b/>
                <w:bCs/>
                <w:sz w:val="19"/>
                <w:szCs w:val="19"/>
                <w:rFonts w:ascii="Calibri" w:cs="Calibri" w:eastAsia="Calibri" w:hAnsi="Calibri"/>
              </w:rPr>
              <w:t xml:space="preserve">Tier 1 — less than 25% of prior year's actual admin contributions</w:t>
            </w:r>
          </w:p>
        </w:tc>
        <w:tc>
          <w:tcPr>
            <w:tcW w:type="dxa" w:w="48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15% of the budgeted admin contribution for the coming year</w:t>
            </w:r>
          </w:p>
        </w:tc>
      </w:tr>
      <w:tr>
        <w:trPr>
          <w:cantSplit/>
          <w:tblHeader w:val="false"/>
        </w:trPr>
        <w:tc>
          <w:tcPr>
            <w:tcW w:type="dxa" w:w="414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Tier 2 — more than 25% but less than 100%</w:t>
            </w:r>
          </w:p>
        </w:tc>
        <w:tc>
          <w:tcPr>
            <w:tcW w:type="dxa" w:w="48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At least the amount budgeted to be spent from the administrative fund on repairs and maintenance to common property that year</w:t>
            </w:r>
          </w:p>
        </w:tc>
      </w:tr>
      <w:tr>
        <w:trPr>
          <w:cantSplit/>
          <w:tblHeader w:val="false"/>
        </w:trPr>
        <w:tc>
          <w:tcPr>
            <w:tcW w:type="dxa" w:w="4140"/>
            <w:tcMar>
              <w:top w:type="dxa" w:w="60"/>
              <w:left w:type="dxa" w:w="90"/>
              <w:bottom w:type="dxa" w:w="60"/>
              <w:right w:type="dxa" w:w="90"/>
            </w:tcMar>
          </w:tcPr>
          <w:p>
            <w:pPr>
              <w:spacing w:after="0" w:line="260"/>
            </w:pPr>
            <w:r>
              <w:rPr>
                <w:b/>
                <w:bCs/>
                <w:sz w:val="19"/>
                <w:szCs w:val="19"/>
                <w:rFonts w:ascii="Calibri" w:cs="Calibri" w:eastAsia="Calibri" w:hAnsi="Calibri"/>
              </w:rPr>
              <w:t xml:space="preserve">Tier 3 — 100% or more</w:t>
            </w:r>
          </w:p>
        </w:tc>
        <w:tc>
          <w:tcPr>
            <w:tcW w:type="dxa" w:w="48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No minimum</w:t>
            </w:r>
          </w:p>
        </w:tc>
      </w:tr>
    </w:tbl>
    <w:p>
      <w:pPr>
        <w:pStyle w:val="Heading2"/>
        <w:keepNext/>
        <w:spacing w:before="260" w:after="120"/>
      </w:pPr>
      <w:r>
        <w:rPr>
          <w:b/>
          <w:bCs/>
          <w:color w:val="1F3864"/>
          <w:sz w:val="24"/>
          <w:szCs w:val="24"/>
          <w:rFonts w:ascii="Calibri" w:cs="Calibri" w:eastAsia="Calibri" w:hAnsi="Calibri"/>
        </w:rPr>
        <w:t xml:space="preserve">2.3 Three traps, all of them easy to fall into</w:t>
      </w:r>
    </w:p>
    <w:p>
      <w:pPr>
        <w:pStyle w:val="ListParagraph"/>
        <w:numPr>
          <w:ilvl w:val="0"/>
          <w:numId w:val="3"/>
        </w:numPr>
        <w:spacing w:after="100" w:line="276"/>
      </w:pPr>
      <w:r>
        <w:rPr>
          <w:sz w:val="20"/>
          <w:szCs w:val="20"/>
          <w:rFonts w:ascii="Calibri" w:cs="Calibri" w:eastAsia="Calibri" w:hAnsi="Calibri"/>
        </w:rPr>
        <w:t xml:space="preserve">Tier 2 is not "what you plan to spend from the reserve". It is what you budget to spend from the administrative fund on repairs and maintenance to common property. For FY 2026/2027 that is the R 8,000.00 R&amp;M line — small, but not nil.</w:t>
      </w:r>
    </w:p>
    <w:p>
      <w:pPr>
        <w:pStyle w:val="ListParagraph"/>
        <w:numPr>
          <w:ilvl w:val="0"/>
          <w:numId w:val="3"/>
        </w:numPr>
        <w:spacing w:after="100" w:line="276"/>
      </w:pPr>
      <w:r>
        <w:rPr>
          <w:sz w:val="20"/>
          <w:szCs w:val="20"/>
          <w:rFonts w:ascii="Calibri" w:cs="Calibri" w:eastAsia="Calibri" w:hAnsi="Calibri"/>
        </w:rPr>
        <w:t xml:space="preserve">Exactly 25% sits in a drafting gap. Paragraph (a) catches a reserve of less than 25%; paragraph (c) catches more than 25%. A balance of precisely 25% is caught by neither. Land above the line, never on it.</w:t>
      </w:r>
    </w:p>
    <w:p>
      <w:pPr>
        <w:pStyle w:val="ListParagraph"/>
        <w:numPr>
          <w:ilvl w:val="0"/>
          <w:numId w:val="3"/>
        </w:numPr>
        <w:spacing w:after="100" w:line="276"/>
      </w:pPr>
      <w:r>
        <w:rPr>
          <w:sz w:val="20"/>
          <w:szCs w:val="20"/>
          <w:rFonts w:ascii="Calibri" w:cs="Calibri" w:eastAsia="Calibri" w:hAnsi="Calibri"/>
        </w:rPr>
        <w:t xml:space="preserve">The threshold and the 15% use different bases. The threshold test is against last year's actual contributions; the 15% is of next year's budgeted contributions. Conflating the two is the error currently baked into the app.</w:t>
      </w:r>
    </w:p>
    <w:p>
      <w:pPr>
        <w:pStyle w:val="Heading1"/>
        <w:keepNext/>
        <w:spacing w:before="360" w:after="160"/>
      </w:pPr>
      <w:r>
        <w:rPr>
          <w:b/>
          <w:bCs/>
          <w:color w:val="1F3864"/>
          <w:sz w:val="30"/>
          <w:szCs w:val="30"/>
          <w:rFonts w:ascii="Calibri" w:cs="Calibri" w:eastAsia="Calibri" w:hAnsi="Calibri"/>
        </w:rPr>
        <w:t xml:space="preserve">3. Where the scheme stands today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760"/>
        <w:gridCol w:w="3240"/>
      </w:tblGrid>
      <w:tr>
        <w:trPr>
          <w:cantSplit/>
          <w:tblHeader/>
        </w:trPr>
        <w:tc>
          <w:tcPr>
            <w:tcW w:type="dxa" w:w="576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Position at 1 August 2026</w:t>
            </w:r>
          </w:p>
        </w:tc>
        <w:tc>
          <w:tcPr>
            <w:tcW w:type="dxa" w:w="324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Amount</w:t>
            </w:r>
          </w:p>
        </w:tc>
      </w:tr>
      <w:tr>
        <w:trPr>
          <w:cantSplit/>
          <w:tblHeader w:val="false"/>
        </w:trPr>
        <w:tc>
          <w:tcPr>
            <w:tcW w:type="dxa" w:w="57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Reserve fund balance</w:t>
            </w:r>
          </w:p>
        </w:tc>
        <w:tc>
          <w:tcPr>
            <w:tcW w:type="dxa" w:w="324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0.00</w:t>
            </w:r>
          </w:p>
        </w:tc>
      </w:tr>
      <w:tr>
        <w:trPr>
          <w:cantSplit/>
          <w:tblHeader w:val="false"/>
        </w:trPr>
        <w:tc>
          <w:tcPr>
            <w:tcW w:type="dxa" w:w="57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Reserve ledger entries</w:t>
            </w:r>
          </w:p>
        </w:tc>
        <w:tc>
          <w:tcPr>
            <w:tcW w:type="dxa" w:w="324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0</w:t>
            </w:r>
          </w:p>
        </w:tc>
      </w:tr>
      <w:tr>
        <w:trPr>
          <w:cantSplit/>
          <w:tblHeader w:val="false"/>
        </w:trPr>
        <w:tc>
          <w:tcPr>
            <w:tcW w:type="dxa" w:w="57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Components on the asset register</w:t>
            </w:r>
          </w:p>
        </w:tc>
        <w:tc>
          <w:tcPr>
            <w:tcW w:type="dxa" w:w="324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24</w:t>
            </w:r>
          </w:p>
        </w:tc>
      </w:tr>
      <w:tr>
        <w:trPr>
          <w:cantSplit/>
          <w:tblHeader w:val="false"/>
        </w:trPr>
        <w:tc>
          <w:tcPr>
            <w:tcW w:type="dxa" w:w="57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…of those with a replacement cost captured</w:t>
            </w:r>
          </w:p>
        </w:tc>
        <w:tc>
          <w:tcPr>
            <w:tcW w:type="dxa" w:w="324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0</w:t>
            </w:r>
          </w:p>
        </w:tc>
      </w:tr>
      <w:tr>
        <w:trPr>
          <w:cantSplit/>
          <w:tblHeader w:val="false"/>
        </w:trPr>
        <w:tc>
          <w:tcPr>
            <w:tcW w:type="dxa" w:w="57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Condition inspections recorded</w:t>
            </w:r>
          </w:p>
        </w:tc>
        <w:tc>
          <w:tcPr>
            <w:tcW w:type="dxa" w:w="324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0</w:t>
            </w:r>
          </w:p>
        </w:tc>
      </w:tr>
      <w:tr>
        <w:trPr>
          <w:cantSplit/>
          <w:tblHeader w:val="false"/>
        </w:trPr>
        <w:tc>
          <w:tcPr>
            <w:tcW w:type="dxa" w:w="57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Approved PMR 22 plan snapshots</w:t>
            </w:r>
          </w:p>
        </w:tc>
        <w:tc>
          <w:tcPr>
            <w:tcW w:type="dxa" w:w="324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0</w:t>
            </w:r>
          </w:p>
        </w:tc>
      </w:tr>
      <w:tr>
        <w:trPr>
          <w:cantSplit/>
          <w:tblHeader w:val="false"/>
        </w:trPr>
        <w:tc>
          <w:tcPr>
            <w:tcW w:type="dxa" w:w="5760"/>
            <w:shd w:fill="E8EEF7"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Cash held (single FNB account)</w:t>
            </w:r>
          </w:p>
        </w:tc>
        <w:tc>
          <w:tcPr>
            <w:tcW w:type="dxa" w:w="324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210 844.15</w:t>
            </w:r>
          </w:p>
        </w:tc>
      </w:tr>
      <w:tr>
        <w:trPr>
          <w:cantSplit/>
          <w:tblHeader w:val="false"/>
        </w:trPr>
        <w:tc>
          <w:tcPr>
            <w:tcW w:type="dxa" w:w="57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FY 2026/2027 budgeted administrative expenditure</w:t>
            </w:r>
          </w:p>
        </w:tc>
        <w:tc>
          <w:tcPr>
            <w:tcW w:type="dxa" w:w="324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270 617.34</w:t>
            </w:r>
          </w:p>
        </w:tc>
      </w:tr>
      <w:tr>
        <w:trPr>
          <w:cantSplit/>
          <w:tblHeader w:val="false"/>
        </w:trPr>
        <w:tc>
          <w:tcPr>
            <w:tcW w:type="dxa" w:w="57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…of which repairs &amp; maintenance to common property</w:t>
            </w:r>
          </w:p>
        </w:tc>
        <w:tc>
          <w:tcPr>
            <w:tcW w:type="dxa" w:w="324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8 000.00</w:t>
            </w:r>
          </w:p>
        </w:tc>
      </w:tr>
      <w:tr>
        <w:trPr>
          <w:cantSplit/>
          <w:tblHeader w:val="false"/>
        </w:trPr>
        <w:tc>
          <w:tcPr>
            <w:tcW w:type="dxa" w:w="57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FY 2026/2027 budgeted owner contributions (all)</w:t>
            </w:r>
          </w:p>
        </w:tc>
        <w:tc>
          <w:tcPr>
            <w:tcW w:type="dxa" w:w="324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266 789.56</w:t>
            </w:r>
          </w:p>
        </w:tc>
      </w:tr>
      <w:tr>
        <w:trPr>
          <w:cantSplit/>
          <w:tblHeader w:val="false"/>
        </w:trPr>
        <w:tc>
          <w:tcPr>
            <w:tcW w:type="dxa" w:w="576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FY 2026/2027 budgeted levy grid alone</w:t>
            </w:r>
          </w:p>
        </w:tc>
        <w:tc>
          <w:tcPr>
            <w:tcW w:type="dxa" w:w="324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150 015.96</w:t>
            </w:r>
          </w:p>
        </w:tc>
      </w:tr>
      <w:tr>
        <w:trPr>
          <w:cantSplit/>
          <w:tblHeader w:val="false"/>
        </w:trPr>
        <w:tc>
          <w:tcPr>
            <w:tcW w:type="dxa" w:w="576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Reserve line currently in the budget (incorrectly derived)</w:t>
            </w:r>
          </w:p>
        </w:tc>
        <w:tc>
          <w:tcPr>
            <w:tcW w:type="dxa" w:w="324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40 592.60</w:t>
            </w:r>
          </w:p>
        </w:tc>
      </w:tr>
    </w:tbl>
    <w:p>
      <w:pPr>
        <w:pBdr>
          <w:left w:val="single" w:color="1F3864" w:sz="18" w:space="8"/>
        </w:pBdr>
        <w:shd w:fill="E8EEF7" w:val="clear"/>
        <w:spacing w:before="140" w:after="160" w:line="276"/>
        <w:ind w:left="120" w:right="120"/>
      </w:pPr>
      <w:r>
        <w:rPr>
          <w:b/>
          <w:bCs/>
          <w:color w:val="1F3864"/>
          <w:sz w:val="20"/>
          <w:szCs w:val="20"/>
          <w:rFonts w:ascii="Calibri" w:cs="Calibri" w:eastAsia="Calibri" w:hAnsi="Calibri"/>
        </w:rPr>
        <w:t xml:space="preserve">The consequence of a nil balance: </w:t>
      </w:r>
      <w:r>
        <w:rPr>
          <w:sz w:val="20"/>
          <w:szCs w:val="20"/>
          <w:rFonts w:ascii="Calibri" w:cs="Calibri" w:eastAsia="Calibri" w:hAnsi="Calibri"/>
        </w:rPr>
        <w:t xml:space="preserve">because the reserve held R 0.00 at the end of FY 2025/2026, tier 1 applies and the FY 2026/2027 contribution is not optional under either option.</w:t>
      </w:r>
    </w:p>
    <w:p>
      <w:pPr>
        <w:pStyle w:val="Heading1"/>
        <w:keepNext/>
        <w:spacing w:before="360" w:after="160"/>
      </w:pPr>
      <w:r>
        <w:rPr>
          <w:b/>
          <w:bCs/>
          <w:color w:val="1F3864"/>
          <w:sz w:val="30"/>
          <w:szCs w:val="30"/>
          <w:rFonts w:ascii="Calibri" w:cs="Calibri" w:eastAsia="Calibri" w:hAnsi="Calibri"/>
        </w:rPr>
        <w:t xml:space="preserve">4. The fork: what counts as a "contribution"</w:t>
      </w:r>
    </w:p>
    <w:p>
      <w:pPr>
        <w:spacing w:after="120" w:line="276"/>
      </w:pPr>
      <w:r>
        <w:rPr>
          <w:sz w:val="20"/>
          <w:szCs w:val="20"/>
          <w:rFonts w:ascii="Calibri" w:cs="Calibri" w:eastAsia="Calibri" w:hAnsi="Calibri"/>
        </w:rPr>
        <w:t xml:space="preserve">Regulation 2 says 15% of "the total budgeted contribution to the administrative fund" and does not define the phrase. Section 3(1)(f) of the STSMA does define how contributions are raised: by levying them on owners "in proportion to the quotas of their respective sections".</w:t>
      </w:r>
    </w:p>
    <w:p>
      <w:pPr>
        <w:spacing w:after="120" w:line="276"/>
      </w:pPr>
      <w:r>
        <w:rPr>
          <w:b/>
          <w:bCs/>
          <w:sz w:val="20"/>
          <w:szCs w:val="20"/>
          <w:rFonts w:ascii="Calibri" w:cs="Calibri" w:eastAsia="Calibri" w:hAnsi="Calibri"/>
        </w:rPr>
        <w:t xml:space="preserve">The case for Option B (levy only). </w:t>
      </w:r>
      <w:r>
        <w:rPr>
          <w:sz w:val="20"/>
          <w:szCs w:val="20"/>
          <w:rFonts w:ascii="Calibri" w:cs="Calibri" w:eastAsia="Calibri" w:hAnsi="Calibri"/>
        </w:rPr>
        <w:t xml:space="preserve">El Corazon's metered water and electricity are not raised on participation quota — they are raised on each unit's own meter reading. On a strict reading of s3(1)(f) they are the recovery of a cost incurred on an owner's behalf, not a contribution, so the basis is the levy grid alone.</w:t>
      </w:r>
    </w:p>
    <w:p>
      <w:pPr>
        <w:spacing w:after="120" w:line="276"/>
      </w:pPr>
      <w:r>
        <w:rPr>
          <w:b/>
          <w:bCs/>
          <w:sz w:val="20"/>
          <w:szCs w:val="20"/>
          <w:rFonts w:ascii="Calibri" w:cs="Calibri" w:eastAsia="Calibri" w:hAnsi="Calibri"/>
        </w:rPr>
        <w:t xml:space="preserve">The case for Option A (all contributions). </w:t>
      </w:r>
      <w:r>
        <w:rPr>
          <w:sz w:val="20"/>
          <w:szCs w:val="20"/>
          <w:rFonts w:ascii="Calibri" w:cs="Calibri" w:eastAsia="Calibri" w:hAnsi="Calibri"/>
        </w:rPr>
        <w:t xml:space="preserve">The body corporate pays the whole council bill out of the administrative fund — s3(1)(a)(ii) names water and electricity expressly — and the money recovered from owners is what funds that expenditure. On that reading every rand owners pay is a contribution to the administrative fund.</w:t>
      </w:r>
    </w:p>
    <w:p>
      <w:pPr>
        <w:spacing w:after="120" w:line="276"/>
      </w:pPr>
      <w:r>
        <w:rPr>
          <w:sz w:val="20"/>
          <w:szCs w:val="20"/>
          <w:rFonts w:ascii="Calibri" w:cs="Calibri" w:eastAsia="Calibri" w:hAnsi="Calibri"/>
        </w:rPr>
        <w:t xml:space="preserve">Both readings are arguable and this plan does not resolve the question. Note that the gap is narrower than it first appears: the levy grid already contains the fixed utility charges — sewerage, the water demand levy, and common-property water and electricity. Only metered consumption sits outside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40"/>
        <w:gridCol w:w="2430"/>
        <w:gridCol w:w="2430"/>
      </w:tblGrid>
      <w:tr>
        <w:trPr>
          <w:cantSplit/>
          <w:tblHeader/>
        </w:trPr>
        <w:tc>
          <w:tcPr>
            <w:tcW w:type="dxa" w:w="414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FY 2026/2027 budgeted income</w:t>
            </w:r>
          </w:p>
        </w:tc>
        <w:tc>
          <w:tcPr>
            <w:tcW w:type="dxa" w:w="243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Amount</w:t>
            </w:r>
          </w:p>
        </w:tc>
        <w:tc>
          <w:tcPr>
            <w:tcW w:type="dxa" w:w="243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In the basis?</w:t>
            </w:r>
          </w:p>
        </w:tc>
      </w:tr>
      <w:tr>
        <w:trPr>
          <w:cantSplit/>
          <w:tblHeader w:val="false"/>
        </w:trPr>
        <w:tc>
          <w:tcPr>
            <w:tcW w:type="dxa" w:w="4140"/>
            <w:tcMar>
              <w:top w:type="dxa" w:w="60"/>
              <w:left w:type="dxa" w:w="90"/>
              <w:bottom w:type="dxa" w:w="60"/>
              <w:right w:type="dxa" w:w="90"/>
            </w:tcMar>
          </w:tcPr>
          <w:p>
            <w:pPr>
              <w:spacing w:after="0" w:line="260"/>
            </w:pPr>
            <w:r>
              <w:rPr>
                <w:sz w:val="19"/>
                <w:szCs w:val="19"/>
                <w:rFonts w:ascii="Calibri" w:cs="Calibri" w:eastAsia="Calibri" w:hAnsi="Calibri"/>
              </w:rPr>
              <w:t xml:space="preserve">Levy grid</w:t>
            </w:r>
          </w:p>
        </w:tc>
        <w:tc>
          <w:tcPr>
            <w:tcW w:type="dxa" w:w="2430"/>
            <w:tcMar>
              <w:top w:type="dxa" w:w="60"/>
              <w:left w:type="dxa" w:w="90"/>
              <w:bottom w:type="dxa" w:w="60"/>
              <w:right w:type="dxa" w:w="90"/>
            </w:tcMar>
          </w:tcPr>
          <w:p>
            <w:pPr>
              <w:spacing w:after="0" w:line="260"/>
              <w:jc w:val="right"/>
            </w:pPr>
            <w:r>
              <w:rPr>
                <w:sz w:val="19"/>
                <w:szCs w:val="19"/>
                <w:rFonts w:ascii="Calibri" w:cs="Calibri" w:eastAsia="Calibri" w:hAnsi="Calibri"/>
              </w:rPr>
              <w:t xml:space="preserve">R 150 015.96</w:t>
            </w:r>
          </w:p>
        </w:tc>
        <w:tc>
          <w:tcPr>
            <w:tcW w:type="dxa" w:w="2430"/>
            <w:tcMar>
              <w:top w:type="dxa" w:w="60"/>
              <w:left w:type="dxa" w:w="90"/>
              <w:bottom w:type="dxa" w:w="60"/>
              <w:right w:type="dxa" w:w="90"/>
            </w:tcMar>
          </w:tcPr>
          <w:p>
            <w:pPr>
              <w:spacing w:after="0" w:line="260"/>
            </w:pPr>
            <w:r>
              <w:rPr>
                <w:sz w:val="19"/>
                <w:szCs w:val="19"/>
                <w:rFonts w:ascii="Calibri" w:cs="Calibri" w:eastAsia="Calibri" w:hAnsi="Calibri"/>
              </w:rPr>
              <w:t xml:space="preserve">Both A and B</w:t>
            </w:r>
          </w:p>
        </w:tc>
      </w:tr>
      <w:tr>
        <w:trPr>
          <w:cantSplit/>
          <w:tblHeader w:val="false"/>
        </w:trPr>
        <w:tc>
          <w:tcPr>
            <w:tcW w:type="dxa" w:w="414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Metered water recovered</w:t>
            </w:r>
          </w:p>
        </w:tc>
        <w:tc>
          <w:tcPr>
            <w:tcW w:type="dxa" w:w="243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22 417.03</w:t>
            </w:r>
          </w:p>
        </w:tc>
        <w:tc>
          <w:tcPr>
            <w:tcW w:type="dxa" w:w="243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Option A only</w:t>
            </w:r>
          </w:p>
        </w:tc>
      </w:tr>
      <w:tr>
        <w:trPr>
          <w:cantSplit/>
          <w:tblHeader w:val="false"/>
        </w:trPr>
        <w:tc>
          <w:tcPr>
            <w:tcW w:type="dxa" w:w="4140"/>
            <w:tcMar>
              <w:top w:type="dxa" w:w="60"/>
              <w:left w:type="dxa" w:w="90"/>
              <w:bottom w:type="dxa" w:w="60"/>
              <w:right w:type="dxa" w:w="90"/>
            </w:tcMar>
          </w:tcPr>
          <w:p>
            <w:pPr>
              <w:spacing w:after="0" w:line="260"/>
            </w:pPr>
            <w:r>
              <w:rPr>
                <w:sz w:val="19"/>
                <w:szCs w:val="19"/>
                <w:rFonts w:ascii="Calibri" w:cs="Calibri" w:eastAsia="Calibri" w:hAnsi="Calibri"/>
              </w:rPr>
              <w:t xml:space="preserve">Metered electricity recovered</w:t>
            </w:r>
          </w:p>
        </w:tc>
        <w:tc>
          <w:tcPr>
            <w:tcW w:type="dxa" w:w="2430"/>
            <w:tcMar>
              <w:top w:type="dxa" w:w="60"/>
              <w:left w:type="dxa" w:w="90"/>
              <w:bottom w:type="dxa" w:w="60"/>
              <w:right w:type="dxa" w:w="90"/>
            </w:tcMar>
          </w:tcPr>
          <w:p>
            <w:pPr>
              <w:spacing w:after="0" w:line="260"/>
              <w:jc w:val="right"/>
            </w:pPr>
            <w:r>
              <w:rPr>
                <w:sz w:val="19"/>
                <w:szCs w:val="19"/>
                <w:rFonts w:ascii="Calibri" w:cs="Calibri" w:eastAsia="Calibri" w:hAnsi="Calibri"/>
              </w:rPr>
              <w:t xml:space="preserve">R 94 356.57</w:t>
            </w:r>
          </w:p>
        </w:tc>
        <w:tc>
          <w:tcPr>
            <w:tcW w:type="dxa" w:w="2430"/>
            <w:tcMar>
              <w:top w:type="dxa" w:w="60"/>
              <w:left w:type="dxa" w:w="90"/>
              <w:bottom w:type="dxa" w:w="60"/>
              <w:right w:type="dxa" w:w="90"/>
            </w:tcMar>
          </w:tcPr>
          <w:p>
            <w:pPr>
              <w:spacing w:after="0" w:line="260"/>
            </w:pPr>
            <w:r>
              <w:rPr>
                <w:sz w:val="19"/>
                <w:szCs w:val="19"/>
                <w:rFonts w:ascii="Calibri" w:cs="Calibri" w:eastAsia="Calibri" w:hAnsi="Calibri"/>
              </w:rPr>
              <w:t xml:space="preserve">Option A only</w:t>
            </w:r>
          </w:p>
        </w:tc>
      </w:tr>
      <w:tr>
        <w:trPr>
          <w:cantSplit/>
          <w:tblHeader w:val="false"/>
        </w:trPr>
        <w:tc>
          <w:tcPr>
            <w:tcW w:type="dxa" w:w="414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Total owner contributions</w:t>
            </w:r>
          </w:p>
        </w:tc>
        <w:tc>
          <w:tcPr>
            <w:tcW w:type="dxa" w:w="2430"/>
            <w:shd w:fill="F2F2F2" w:val="clear"/>
            <w:tcMar>
              <w:top w:type="dxa" w:w="60"/>
              <w:left w:type="dxa" w:w="90"/>
              <w:bottom w:type="dxa" w:w="60"/>
              <w:right w:type="dxa" w:w="90"/>
            </w:tcMar>
          </w:tcPr>
          <w:p>
            <w:pPr>
              <w:spacing w:after="0" w:line="260"/>
              <w:jc w:val="right"/>
            </w:pPr>
            <w:r>
              <w:rPr>
                <w:b/>
                <w:bCs/>
                <w:sz w:val="19"/>
                <w:szCs w:val="19"/>
                <w:rFonts w:ascii="Calibri" w:cs="Calibri" w:eastAsia="Calibri" w:hAnsi="Calibri"/>
              </w:rPr>
              <w:t xml:space="preserve">R 266 789.56</w:t>
            </w:r>
          </w:p>
        </w:tc>
        <w:tc>
          <w:tcPr>
            <w:tcW w:type="dxa" w:w="243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Option A basis</w:t>
            </w:r>
          </w:p>
        </w:tc>
      </w:tr>
      <w:tr>
        <w:trPr>
          <w:cantSplit/>
          <w:tblHeader w:val="false"/>
        </w:trPr>
        <w:tc>
          <w:tcPr>
            <w:tcW w:type="dxa" w:w="4140"/>
            <w:tcMar>
              <w:top w:type="dxa" w:w="60"/>
              <w:left w:type="dxa" w:w="90"/>
              <w:bottom w:type="dxa" w:w="60"/>
              <w:right w:type="dxa" w:w="90"/>
            </w:tcMar>
          </w:tcPr>
          <w:p>
            <w:pPr>
              <w:spacing w:after="0" w:line="260"/>
            </w:pPr>
            <w:r>
              <w:rPr>
                <w:sz w:val="19"/>
                <w:szCs w:val="19"/>
                <w:rFonts w:ascii="Calibri" w:cs="Calibri" w:eastAsia="Calibri" w:hAnsi="Calibri"/>
              </w:rPr>
              <w:t xml:space="preserve">Interest on credit balance</w:t>
            </w:r>
          </w:p>
        </w:tc>
        <w:tc>
          <w:tcPr>
            <w:tcW w:type="dxa" w:w="2430"/>
            <w:tcMar>
              <w:top w:type="dxa" w:w="60"/>
              <w:left w:type="dxa" w:w="90"/>
              <w:bottom w:type="dxa" w:w="60"/>
              <w:right w:type="dxa" w:w="90"/>
            </w:tcMar>
          </w:tcPr>
          <w:p>
            <w:pPr>
              <w:spacing w:after="0" w:line="260"/>
              <w:jc w:val="right"/>
            </w:pPr>
            <w:r>
              <w:rPr>
                <w:sz w:val="19"/>
                <w:szCs w:val="19"/>
                <w:rFonts w:ascii="Calibri" w:cs="Calibri" w:eastAsia="Calibri" w:hAnsi="Calibri"/>
              </w:rPr>
              <w:t xml:space="preserve">R 10 137.31</w:t>
            </w:r>
          </w:p>
        </w:tc>
        <w:tc>
          <w:tcPr>
            <w:tcW w:type="dxa" w:w="2430"/>
            <w:tcMar>
              <w:top w:type="dxa" w:w="60"/>
              <w:left w:type="dxa" w:w="90"/>
              <w:bottom w:type="dxa" w:w="60"/>
              <w:right w:type="dxa" w:w="90"/>
            </w:tcMar>
          </w:tcPr>
          <w:p>
            <w:pPr>
              <w:spacing w:after="0" w:line="260"/>
            </w:pPr>
            <w:r>
              <w:rPr>
                <w:sz w:val="19"/>
                <w:szCs w:val="19"/>
                <w:rFonts w:ascii="Calibri" w:cs="Calibri" w:eastAsia="Calibri" w:hAnsi="Calibri"/>
              </w:rPr>
              <w:t xml:space="preserve">Neither — not a contribution</w:t>
            </w:r>
          </w:p>
        </w:tc>
      </w:tr>
    </w:tbl>
    <w:p>
      <w:pPr>
        <w:pStyle w:val="Heading1"/>
        <w:keepNext/>
        <w:pageBreakBefore/>
        <w:spacing w:before="0" w:after="160"/>
      </w:pPr>
      <w:r>
        <w:rPr>
          <w:b/>
          <w:bCs/>
          <w:color w:val="1F3864"/>
          <w:sz w:val="30"/>
          <w:szCs w:val="30"/>
          <w:rFonts w:ascii="Calibri" w:cs="Calibri" w:eastAsia="Calibri" w:hAnsi="Calibri"/>
        </w:rPr>
        <w:t xml:space="preserve">5. Option A — basis: total owner contributions</w:t>
      </w:r>
    </w:p>
    <w:p>
      <w:pPr>
        <w:spacing w:after="120" w:line="276"/>
      </w:pPr>
      <w:r>
        <w:rPr>
          <w:b/>
          <w:bCs/>
          <w:sz w:val="20"/>
          <w:szCs w:val="20"/>
          <w:rFonts w:ascii="Calibri" w:cs="Calibri" w:eastAsia="Calibri" w:hAnsi="Calibri"/>
        </w:rPr>
        <w:t xml:space="preserve">Basis: </w:t>
      </w:r>
      <w:r>
        <w:rPr>
          <w:sz w:val="20"/>
          <w:szCs w:val="20"/>
          <w:rFonts w:ascii="Calibri" w:cs="Calibri" w:eastAsia="Calibri" w:hAnsi="Calibri"/>
        </w:rPr>
        <w:t xml:space="preserve">R 266 789.56</w:t>
      </w:r>
      <w:r>
        <w:rPr>
          <w:sz w:val="20"/>
          <w:szCs w:val="20"/>
          <w:rFonts w:ascii="Calibri" w:cs="Calibri" w:eastAsia="Calibri" w:hAnsi="Calibri"/>
        </w:rPr>
        <w:t xml:space="preserve"> — the levy grid plus metered water and metered electricity recovered from owners, excluding interest.</w:t>
      </w:r>
    </w:p>
    <w:p>
      <w:pPr>
        <w:pStyle w:val="Heading2"/>
        <w:keepNext/>
        <w:spacing w:before="260" w:after="120"/>
      </w:pPr>
      <w:r>
        <w:rPr>
          <w:b/>
          <w:bCs/>
          <w:color w:val="1F3864"/>
          <w:sz w:val="24"/>
          <w:szCs w:val="24"/>
          <w:rFonts w:ascii="Calibri" w:cs="Calibri" w:eastAsia="Calibri" w:hAnsi="Calibri"/>
        </w:rPr>
        <w:t xml:space="preserve">5.1 The statutory figures under Option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80"/>
        <w:gridCol w:w="2160"/>
        <w:gridCol w:w="2160"/>
      </w:tblGrid>
      <w:tr>
        <w:trPr>
          <w:cantSplit/>
          <w:tblHeader/>
        </w:trPr>
        <w:tc>
          <w:tcPr>
            <w:tcW w:type="dxa" w:w="468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Measure</w:t>
            </w:r>
          </w:p>
        </w:tc>
        <w:tc>
          <w:tcPr>
            <w:tcW w:type="dxa" w:w="216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Amount</w:t>
            </w:r>
          </w:p>
        </w:tc>
        <w:tc>
          <w:tcPr>
            <w:tcW w:type="dxa" w:w="216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Per unit / month</w:t>
            </w:r>
          </w:p>
        </w:tc>
      </w:tr>
      <w:tr>
        <w:trPr>
          <w:cantSplit/>
          <w:tblHeader w:val="false"/>
        </w:trPr>
        <w:tc>
          <w:tcPr>
            <w:tcW w:type="dxa" w:w="4680"/>
            <w:tcMar>
              <w:top w:type="dxa" w:w="60"/>
              <w:left w:type="dxa" w:w="90"/>
              <w:bottom w:type="dxa" w:w="60"/>
              <w:right w:type="dxa" w:w="90"/>
            </w:tcMar>
          </w:tcPr>
          <w:p>
            <w:pPr>
              <w:spacing w:after="0" w:line="260"/>
            </w:pPr>
            <w:r>
              <w:rPr>
                <w:b/>
                <w:bCs/>
                <w:sz w:val="19"/>
                <w:szCs w:val="19"/>
                <w:rFonts w:ascii="Calibri" w:cs="Calibri" w:eastAsia="Calibri" w:hAnsi="Calibri"/>
              </w:rPr>
              <w:t xml:space="preserve">Tier 1 minimum contribution, FY 2026/2027 (15%)</w:t>
            </w:r>
          </w:p>
        </w:tc>
        <w:tc>
          <w:tcPr>
            <w:tcW w:type="dxa" w:w="2160"/>
            <w:tcMar>
              <w:top w:type="dxa" w:w="60"/>
              <w:left w:type="dxa" w:w="90"/>
              <w:bottom w:type="dxa" w:w="60"/>
              <w:right w:type="dxa" w:w="90"/>
            </w:tcMar>
          </w:tcPr>
          <w:p>
            <w:pPr>
              <w:spacing w:after="0" w:line="260"/>
              <w:jc w:val="right"/>
            </w:pPr>
            <w:r>
              <w:rPr>
                <w:b/>
                <w:bCs/>
                <w:sz w:val="19"/>
                <w:szCs w:val="19"/>
                <w:rFonts w:ascii="Calibri" w:cs="Calibri" w:eastAsia="Calibri" w:hAnsi="Calibri"/>
              </w:rPr>
              <w:t xml:space="preserve">R 40 018.43</w:t>
            </w:r>
          </w:p>
        </w:tc>
        <w:tc>
          <w:tcPr>
            <w:tcW w:type="dxa" w:w="2160"/>
            <w:tcMar>
              <w:top w:type="dxa" w:w="60"/>
              <w:left w:type="dxa" w:w="90"/>
              <w:bottom w:type="dxa" w:w="60"/>
              <w:right w:type="dxa" w:w="90"/>
            </w:tcMar>
          </w:tcPr>
          <w:p>
            <w:pPr>
              <w:spacing w:after="0" w:line="260"/>
              <w:jc w:val="right"/>
            </w:pPr>
            <w:r>
              <w:rPr>
                <w:b/>
                <w:bCs/>
                <w:sz w:val="19"/>
                <w:szCs w:val="19"/>
                <w:rFonts w:ascii="Calibri" w:cs="Calibri" w:eastAsia="Calibri" w:hAnsi="Calibri"/>
              </w:rPr>
              <w:t xml:space="preserve">R 476.41</w:t>
            </w:r>
          </w:p>
        </w:tc>
      </w:tr>
      <w:tr>
        <w:trPr>
          <w:cantSplit/>
          <w:tblHeader w:val="false"/>
        </w:trPr>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25% threshold — clear this to reach tier 2 next year</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66 697.39</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w:t>
            </w:r>
          </w:p>
        </w:tc>
      </w:tr>
      <w:tr>
        <w:trPr>
          <w:cantSplit/>
          <w:tblHeader w:val="false"/>
        </w:trPr>
        <w:tc>
          <w:tcPr>
            <w:tcW w:type="dxa" w:w="4680"/>
            <w:tcMar>
              <w:top w:type="dxa" w:w="60"/>
              <w:left w:type="dxa" w:w="90"/>
              <w:bottom w:type="dxa" w:w="60"/>
              <w:right w:type="dxa" w:w="90"/>
            </w:tcMar>
          </w:tcPr>
          <w:p>
            <w:pPr>
              <w:spacing w:after="0" w:line="260"/>
            </w:pPr>
            <w:r>
              <w:rPr>
                <w:sz w:val="19"/>
                <w:szCs w:val="19"/>
                <w:rFonts w:ascii="Calibri" w:cs="Calibri" w:eastAsia="Calibri" w:hAnsi="Calibri"/>
              </w:rPr>
              <w:t xml:space="preserve">100% threshold — clear this and no minimum ever applies</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R 266 789.56</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w:t>
            </w:r>
          </w:p>
        </w:tc>
      </w:tr>
      <w:tr>
        <w:trPr>
          <w:cantSplit/>
          <w:tblHeader w:val="false"/>
        </w:trPr>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Tier 2 minimum once above 25% (budgeted R&amp;M)</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8 000.00</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95.24</w:t>
            </w:r>
          </w:p>
        </w:tc>
      </w:tr>
    </w:tbl>
    <w:p>
      <w:pPr>
        <w:spacing w:after="120" w:line="276"/>
      </w:pPr>
      <w:r>
        <w:rPr>
          <w:i/>
          <w:iCs/>
          <w:sz w:val="18"/>
          <w:szCs w:val="18"/>
          <w:rFonts w:ascii="Calibri" w:cs="Calibri" w:eastAsia="Calibri" w:hAnsi="Calibri"/>
        </w:rPr>
        <w:t xml:space="preserve">Per-unit figures are shown for scale only, across seven units. Nothing here is levied on owners — see 5.4.</w:t>
      </w:r>
    </w:p>
    <w:p>
      <w:pPr>
        <w:pStyle w:val="Heading2"/>
        <w:keepNext/>
        <w:spacing w:before="260" w:after="120"/>
      </w:pPr>
      <w:r>
        <w:rPr>
          <w:b/>
          <w:bCs/>
          <w:color w:val="1F3864"/>
          <w:sz w:val="24"/>
          <w:szCs w:val="24"/>
          <w:rFonts w:ascii="Calibri" w:cs="Calibri" w:eastAsia="Calibri" w:hAnsi="Calibri"/>
        </w:rPr>
        <w:t xml:space="preserve">5.2 Two ways to fund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2880"/>
      </w:tblGrid>
      <w:tr>
        <w:trPr>
          <w:cantSplit/>
          <w:tblHeader/>
        </w:trPr>
        <w:tc>
          <w:tcPr>
            <w:tcW w:type="dxa" w:w="324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r>
          </w:p>
        </w:tc>
        <w:tc>
          <w:tcPr>
            <w:tcW w:type="dxa" w:w="288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A1 — bare minimum</w:t>
            </w:r>
          </w:p>
        </w:tc>
        <w:tc>
          <w:tcPr>
            <w:tcW w:type="dxa" w:w="288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A2 — clear 25% (recommended)</w:t>
            </w:r>
          </w:p>
        </w:tc>
      </w:tr>
      <w:tr>
        <w:trPr>
          <w:cantSplit/>
          <w:tblHeader w:val="false"/>
        </w:trPr>
        <w:tc>
          <w:tcPr>
            <w:tcW w:type="dxa" w:w="3240"/>
            <w:shd w:fill="E8EEF7"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Designate now</w:t>
            </w:r>
          </w:p>
        </w:tc>
        <w:tc>
          <w:tcPr>
            <w:tcW w:type="dxa" w:w="288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40 018.43</w:t>
            </w:r>
          </w:p>
        </w:tc>
        <w:tc>
          <w:tcPr>
            <w:tcW w:type="dxa" w:w="288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70 000.00</w:t>
            </w:r>
          </w:p>
        </w:tc>
      </w:tr>
      <w:tr>
        <w:trPr>
          <w:cantSplit/>
          <w:tblHeader w:val="false"/>
        </w:trPr>
        <w:tc>
          <w:tcPr>
            <w:tcW w:type="dxa" w:w="324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As % of the Option A basis</w:t>
            </w:r>
          </w:p>
        </w:tc>
        <w:tc>
          <w:tcPr>
            <w:tcW w:type="dxa" w:w="288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15.00%</w:t>
            </w:r>
          </w:p>
        </w:tc>
        <w:tc>
          <w:tcPr>
            <w:tcW w:type="dxa" w:w="288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26.24%</w:t>
            </w:r>
          </w:p>
        </w:tc>
      </w:tr>
      <w:tr>
        <w:trPr>
          <w:cantSplit/>
          <w:tblHeader w:val="false"/>
        </w:trPr>
        <w:tc>
          <w:tcPr>
            <w:tcW w:type="dxa" w:w="3240"/>
            <w:tcMar>
              <w:top w:type="dxa" w:w="60"/>
              <w:left w:type="dxa" w:w="90"/>
              <w:bottom w:type="dxa" w:w="60"/>
              <w:right w:type="dxa" w:w="90"/>
            </w:tcMar>
          </w:tcPr>
          <w:p>
            <w:pPr>
              <w:spacing w:after="0" w:line="260"/>
            </w:pPr>
            <w:r>
              <w:rPr>
                <w:b/>
                <w:bCs/>
                <w:sz w:val="19"/>
                <w:szCs w:val="19"/>
                <w:rFonts w:ascii="Calibri" w:cs="Calibri" w:eastAsia="Calibri" w:hAnsi="Calibri"/>
              </w:rPr>
              <w:t xml:space="preserve">As % of the Option B basis</w:t>
            </w:r>
          </w:p>
        </w:tc>
        <w:tc>
          <w:tcPr>
            <w:tcW w:type="dxa" w:w="288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26.68%</w:t>
            </w:r>
          </w:p>
        </w:tc>
        <w:tc>
          <w:tcPr>
            <w:tcW w:type="dxa" w:w="288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46.66%</w:t>
            </w:r>
          </w:p>
        </w:tc>
      </w:tr>
      <w:tr>
        <w:trPr>
          <w:cantSplit/>
          <w:tblHeader w:val="false"/>
        </w:trPr>
        <w:tc>
          <w:tcPr>
            <w:tcW w:type="dxa" w:w="324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FY 2027/2028 tier</w:t>
            </w:r>
          </w:p>
        </w:tc>
        <w:tc>
          <w:tcPr>
            <w:tcW w:type="dxa" w:w="288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Tier 1 again</w:t>
            </w:r>
          </w:p>
        </w:tc>
        <w:tc>
          <w:tcPr>
            <w:tcW w:type="dxa" w:w="288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Tier 2</w:t>
            </w:r>
          </w:p>
        </w:tc>
      </w:tr>
      <w:tr>
        <w:trPr>
          <w:cantSplit/>
          <w:tblHeader w:val="false"/>
        </w:trPr>
        <w:tc>
          <w:tcPr>
            <w:tcW w:type="dxa" w:w="3240"/>
            <w:tcMar>
              <w:top w:type="dxa" w:w="60"/>
              <w:left w:type="dxa" w:w="90"/>
              <w:bottom w:type="dxa" w:w="60"/>
              <w:right w:type="dxa" w:w="90"/>
            </w:tcMar>
          </w:tcPr>
          <w:p>
            <w:pPr>
              <w:spacing w:after="0" w:line="260"/>
            </w:pPr>
            <w:r>
              <w:rPr>
                <w:b/>
                <w:bCs/>
                <w:sz w:val="19"/>
                <w:szCs w:val="19"/>
                <w:rFonts w:ascii="Calibri" w:cs="Calibri" w:eastAsia="Calibri" w:hAnsi="Calibri"/>
              </w:rPr>
              <w:t xml:space="preserve">FY 2027/2028 minimum</w:t>
            </w:r>
          </w:p>
        </w:tc>
        <w:tc>
          <w:tcPr>
            <w:tcW w:type="dxa" w:w="288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about R 40 000.00 again</w:t>
            </w:r>
          </w:p>
        </w:tc>
        <w:tc>
          <w:tcPr>
            <w:tcW w:type="dxa" w:w="288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8 000.00</w:t>
            </w:r>
          </w:p>
        </w:tc>
      </w:tr>
      <w:tr>
        <w:trPr>
          <w:cantSplit/>
          <w:tblHeader w:val="false"/>
        </w:trPr>
        <w:tc>
          <w:tcPr>
            <w:tcW w:type="dxa" w:w="324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Admin cash left</w:t>
            </w:r>
          </w:p>
        </w:tc>
        <w:tc>
          <w:tcPr>
            <w:tcW w:type="dxa" w:w="288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170 825.72</w:t>
            </w:r>
          </w:p>
        </w:tc>
        <w:tc>
          <w:tcPr>
            <w:tcW w:type="dxa" w:w="288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140 844.15</w:t>
            </w:r>
          </w:p>
        </w:tc>
      </w:tr>
      <w:tr>
        <w:trPr>
          <w:cantSplit/>
          <w:tblHeader w:val="false"/>
        </w:trPr>
        <w:tc>
          <w:tcPr>
            <w:tcW w:type="dxa" w:w="3240"/>
            <w:tcMar>
              <w:top w:type="dxa" w:w="60"/>
              <w:left w:type="dxa" w:w="90"/>
              <w:bottom w:type="dxa" w:w="60"/>
              <w:right w:type="dxa" w:w="90"/>
            </w:tcMar>
          </w:tcPr>
          <w:p>
            <w:pPr>
              <w:spacing w:after="0" w:line="260"/>
            </w:pPr>
            <w:r>
              <w:rPr>
                <w:b/>
                <w:bCs/>
                <w:sz w:val="19"/>
                <w:szCs w:val="19"/>
                <w:rFonts w:ascii="Calibri" w:cs="Calibri" w:eastAsia="Calibri" w:hAnsi="Calibri"/>
              </w:rPr>
              <w:t xml:space="preserve">Months of operating cover</w:t>
            </w:r>
          </w:p>
        </w:tc>
        <w:tc>
          <w:tcPr>
            <w:tcW w:type="dxa" w:w="288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7.6</w:t>
            </w:r>
          </w:p>
        </w:tc>
        <w:tc>
          <w:tcPr>
            <w:tcW w:type="dxa" w:w="288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6.2</w:t>
            </w:r>
          </w:p>
        </w:tc>
      </w:tr>
    </w:tbl>
    <w:p>
      <w:pPr>
        <w:spacing w:after="120" w:line="276"/>
      </w:pPr>
      <w:r>
        <w:rPr>
          <w:b/>
          <w:bCs/>
          <w:sz w:val="20"/>
          <w:szCs w:val="20"/>
          <w:rFonts w:ascii="Calibri" w:cs="Calibri" w:eastAsia="Calibri" w:hAnsi="Calibri"/>
        </w:rPr>
        <w:t xml:space="preserve">Recommended within Option A: designate R</w:t>
      </w:r>
      <w:r>
        <w:rPr>
          <w:b/>
          <w:bCs/>
          <w:sz w:val="20"/>
          <w:szCs w:val="20"/>
          <w:rFonts w:ascii="Calibri" w:cs="Calibri" w:eastAsia="Calibri" w:hAnsi="Calibri"/>
        </w:rPr>
        <w:t xml:space="preserve"> 70,000.00</w:t>
      </w:r>
      <w:r>
        <w:rPr>
          <w:sz w:val="20"/>
          <w:szCs w:val="20"/>
          <w:rFonts w:ascii="Calibri" w:cs="Calibri" w:eastAsia="Calibri" w:hAnsi="Calibri"/>
        </w:rPr>
        <w:t xml:space="preserve">. It clears 25% with margin, avoids the exactly-25% drafting gap, and drops FY 2027/2028 from a further R 40,000 obligation to the budgeted R&amp;M figure. The R 30,000 of extra designation buys a R 32,000 reduction in next year's obligation.</w:t>
      </w:r>
    </w:p>
    <w:p>
      <w:pPr>
        <w:pBdr>
          <w:left w:val="single" w:color="1F3864" w:sz="18" w:space="8"/>
        </w:pBdr>
        <w:shd w:fill="E8EEF7" w:val="clear"/>
        <w:spacing w:before="140" w:after="160" w:line="276"/>
        <w:ind w:left="120" w:right="120"/>
      </w:pPr>
      <w:r>
        <w:rPr>
          <w:b/>
          <w:bCs/>
          <w:color w:val="1F3864"/>
          <w:sz w:val="20"/>
          <w:szCs w:val="20"/>
          <w:rFonts w:ascii="Calibri" w:cs="Calibri" w:eastAsia="Calibri" w:hAnsi="Calibri"/>
        </w:rPr>
        <w:t xml:space="preserve">Watch the actuals. </w:t>
      </w:r>
      <w:r>
        <w:rPr>
          <w:sz w:val="20"/>
          <w:szCs w:val="20"/>
          <w:rFonts w:ascii="Calibri" w:cs="Calibri" w:eastAsia="Calibri" w:hAnsi="Calibri"/>
        </w:rPr>
        <w:t xml:space="preserve">The 25% test in FY 2027/2028 runs against FY 2026/2027 actual contributions, not the budget. R 70,000 clears 25% of budget comfortably; if actual contributions overshoot the budget materially, top the designation up before 31 July 2027.</w:t>
      </w:r>
    </w:p>
    <w:p>
      <w:pPr>
        <w:pStyle w:val="Heading2"/>
        <w:keepNext/>
        <w:spacing w:before="260" w:after="120"/>
      </w:pPr>
      <w:r>
        <w:rPr>
          <w:b/>
          <w:bCs/>
          <w:color w:val="1F3864"/>
          <w:sz w:val="24"/>
          <w:szCs w:val="24"/>
          <w:rFonts w:ascii="Calibri" w:cs="Calibri" w:eastAsia="Calibri" w:hAnsi="Calibri"/>
        </w:rPr>
        <w:t xml:space="preserve">5.3 If the accountant later rules the other way</w:t>
      </w:r>
    </w:p>
    <w:p>
      <w:pPr>
        <w:spacing w:after="120" w:line="276"/>
      </w:pPr>
      <w:r>
        <w:rPr>
          <w:sz w:val="20"/>
          <w:szCs w:val="20"/>
          <w:rFonts w:ascii="Calibri" w:cs="Calibri" w:eastAsia="Calibri" w:hAnsi="Calibri"/>
        </w:rPr>
        <w:t xml:space="preserve">A designation made under Option A is automatically compliant under Option B as well — R 40,018.43 is 26.68% of the levy-only basis and R 70,000 is 46.66% of it. Option A carries no re-work risk in this direction. That asymmetry is the single strongest argument for it.</w:t>
      </w:r>
    </w:p>
    <w:p>
      <w:pPr>
        <w:pStyle w:val="Heading2"/>
        <w:keepNext/>
        <w:spacing w:before="260" w:after="120"/>
      </w:pPr>
      <w:r>
        <w:rPr>
          <w:b/>
          <w:bCs/>
          <w:color w:val="1F3864"/>
          <w:sz w:val="24"/>
          <w:szCs w:val="24"/>
          <w:rFonts w:ascii="Calibri" w:cs="Calibri" w:eastAsia="Calibri" w:hAnsi="Calibri"/>
        </w:rPr>
        <w:t xml:space="preserve">5.4 What owners pay under Option A</w:t>
      </w:r>
    </w:p>
    <w:p>
      <w:pPr>
        <w:spacing w:after="120" w:line="276"/>
      </w:pPr>
      <w:r>
        <w:rPr>
          <w:b/>
          <w:bCs/>
          <w:sz w:val="20"/>
          <w:szCs w:val="20"/>
          <w:rFonts w:ascii="Calibri" w:cs="Calibri" w:eastAsia="Calibri" w:hAnsi="Calibri"/>
        </w:rPr>
        <w:t xml:space="preserve">Nothing. </w:t>
      </w:r>
      <w:r>
        <w:rPr>
          <w:sz w:val="20"/>
          <w:szCs w:val="20"/>
          <w:rFonts w:ascii="Calibri" w:cs="Calibri" w:eastAsia="Calibri" w:hAnsi="Calibri"/>
        </w:rPr>
        <w:t xml:space="preserve">The contribution is a transfer between two funds of the same body corporate, funded from cash the scheme already holds. No levy increase is required and no money leaves the bank account. This is the point most likely to be misunderstood at the meeting and it should be stated plainly in the notice.</w:t>
      </w:r>
    </w:p>
    <w:p>
      <w:pPr>
        <w:pStyle w:val="Heading2"/>
        <w:keepNext/>
        <w:spacing w:before="260" w:after="120"/>
      </w:pPr>
      <w:r>
        <w:rPr>
          <w:b/>
          <w:bCs/>
          <w:color w:val="1F3864"/>
          <w:sz w:val="24"/>
          <w:szCs w:val="24"/>
          <w:rFonts w:ascii="Calibri" w:cs="Calibri" w:eastAsia="Calibri" w:hAnsi="Calibri"/>
        </w:rPr>
        <w:t xml:space="preserve">5.5 Option A — the actions</w:t>
      </w:r>
    </w:p>
    <w:p>
      <w:pPr>
        <w:pStyle w:val="ListParagraph"/>
        <w:numPr>
          <w:ilvl w:val="0"/>
          <w:numId w:val="4"/>
        </w:numPr>
        <w:spacing w:after="100" w:line="276"/>
      </w:pPr>
      <w:r>
        <w:rPr>
          <w:sz w:val="20"/>
          <w:szCs w:val="20"/>
          <w:rFonts w:ascii="Calibri" w:cs="Calibri" w:eastAsia="Calibri" w:hAnsi="Calibri"/>
        </w:rPr>
        <w:t xml:space="preserve">Members resolve to establish the fund and to transfer R 70,000.00 from accumulated administrative funds with effect from 1 September 2026.</w:t>
      </w:r>
    </w:p>
    <w:p>
      <w:pPr>
        <w:pStyle w:val="ListParagraph"/>
        <w:numPr>
          <w:ilvl w:val="0"/>
          <w:numId w:val="4"/>
        </w:numPr>
        <w:spacing w:after="100" w:line="276"/>
      </w:pPr>
      <w:r>
        <w:rPr>
          <w:sz w:val="20"/>
          <w:szCs w:val="20"/>
          <w:rFonts w:ascii="Calibri" w:cs="Calibri" w:eastAsia="Calibri" w:hAnsi="Calibri"/>
        </w:rPr>
        <w:t xml:space="preserve">Record one reserve_fund_entries row of type "contribution", dated the day of the meeting, described as a transfer from accumulated administrative surplus, referencing the resolution number.</w:t>
      </w:r>
    </w:p>
    <w:p>
      <w:pPr>
        <w:pStyle w:val="ListParagraph"/>
        <w:numPr>
          <w:ilvl w:val="0"/>
          <w:numId w:val="4"/>
        </w:numPr>
        <w:spacing w:after="100" w:line="276"/>
      </w:pPr>
      <w:r>
        <w:rPr>
          <w:sz w:val="20"/>
          <w:szCs w:val="20"/>
          <w:rFonts w:ascii="Calibri" w:cs="Calibri" w:eastAsia="Calibri" w:hAnsi="Calibri"/>
        </w:rPr>
        <w:t xml:space="preserve">Replace the budget's R 40,592.60 reserve line with R 70,000.00 and restate its basis as "designation of accumulated surplus; 15% statutory minimum R 40,018.43 on all budgeted owner contributions".</w:t>
      </w:r>
    </w:p>
    <w:p>
      <w:pPr>
        <w:pStyle w:val="ListParagraph"/>
        <w:numPr>
          <w:ilvl w:val="0"/>
          <w:numId w:val="4"/>
        </w:numPr>
        <w:spacing w:after="100" w:line="276"/>
      </w:pPr>
      <w:r>
        <w:rPr>
          <w:sz w:val="20"/>
          <w:szCs w:val="20"/>
          <w:rFonts w:ascii="Calibri" w:cs="Calibri" w:eastAsia="Calibri" w:hAnsi="Calibri"/>
        </w:rPr>
        <w:t xml:space="preserve">Set the app's contribution basis to "all owner contributions" (see 8.2), so the reported floor is R 40,018.43 and not the current proxy.</w:t>
      </w:r>
    </w:p>
    <w:p>
      <w:pPr>
        <w:pStyle w:val="Heading1"/>
        <w:keepNext/>
        <w:pageBreakBefore/>
        <w:spacing w:before="0" w:after="160"/>
      </w:pPr>
      <w:r>
        <w:rPr>
          <w:b/>
          <w:bCs/>
          <w:color w:val="1F3864"/>
          <w:sz w:val="30"/>
          <w:szCs w:val="30"/>
          <w:rFonts w:ascii="Calibri" w:cs="Calibri" w:eastAsia="Calibri" w:hAnsi="Calibri"/>
        </w:rPr>
        <w:t xml:space="preserve">6. Option B — basis: levy contributions only</w:t>
      </w:r>
    </w:p>
    <w:p>
      <w:pPr>
        <w:spacing w:after="120" w:line="276"/>
      </w:pPr>
      <w:r>
        <w:rPr>
          <w:b/>
          <w:bCs/>
          <w:sz w:val="20"/>
          <w:szCs w:val="20"/>
          <w:rFonts w:ascii="Calibri" w:cs="Calibri" w:eastAsia="Calibri" w:hAnsi="Calibri"/>
        </w:rPr>
        <w:t xml:space="preserve">Basis: </w:t>
      </w:r>
      <w:r>
        <w:rPr>
          <w:sz w:val="20"/>
          <w:szCs w:val="20"/>
          <w:rFonts w:ascii="Calibri" w:cs="Calibri" w:eastAsia="Calibri" w:hAnsi="Calibri"/>
        </w:rPr>
        <w:t xml:space="preserve">R 150 015.96</w:t>
      </w:r>
      <w:r>
        <w:rPr>
          <w:sz w:val="20"/>
          <w:szCs w:val="20"/>
          <w:rFonts w:ascii="Calibri" w:cs="Calibri" w:eastAsia="Calibri" w:hAnsi="Calibri"/>
        </w:rPr>
        <w:t xml:space="preserve"> — the FY 2026/2027 levy grid, which already includes sewerage, the water demand levy and common-property water and electricity. Metered consumption recoveries are excluded as cost recoveries.</w:t>
      </w:r>
    </w:p>
    <w:p>
      <w:pPr>
        <w:pStyle w:val="Heading2"/>
        <w:keepNext/>
        <w:spacing w:before="260" w:after="120"/>
      </w:pPr>
      <w:r>
        <w:rPr>
          <w:b/>
          <w:bCs/>
          <w:color w:val="1F3864"/>
          <w:sz w:val="24"/>
          <w:szCs w:val="24"/>
          <w:rFonts w:ascii="Calibri" w:cs="Calibri" w:eastAsia="Calibri" w:hAnsi="Calibri"/>
        </w:rPr>
        <w:t xml:space="preserve">6.1 The statutory figures under Option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80"/>
        <w:gridCol w:w="2160"/>
        <w:gridCol w:w="2160"/>
      </w:tblGrid>
      <w:tr>
        <w:trPr>
          <w:cantSplit/>
          <w:tblHeader/>
        </w:trPr>
        <w:tc>
          <w:tcPr>
            <w:tcW w:type="dxa" w:w="468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Measure</w:t>
            </w:r>
          </w:p>
        </w:tc>
        <w:tc>
          <w:tcPr>
            <w:tcW w:type="dxa" w:w="216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Amount</w:t>
            </w:r>
          </w:p>
        </w:tc>
        <w:tc>
          <w:tcPr>
            <w:tcW w:type="dxa" w:w="216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Per unit / month</w:t>
            </w:r>
          </w:p>
        </w:tc>
      </w:tr>
      <w:tr>
        <w:trPr>
          <w:cantSplit/>
          <w:tblHeader w:val="false"/>
        </w:trPr>
        <w:tc>
          <w:tcPr>
            <w:tcW w:type="dxa" w:w="4680"/>
            <w:tcMar>
              <w:top w:type="dxa" w:w="60"/>
              <w:left w:type="dxa" w:w="90"/>
              <w:bottom w:type="dxa" w:w="60"/>
              <w:right w:type="dxa" w:w="90"/>
            </w:tcMar>
          </w:tcPr>
          <w:p>
            <w:pPr>
              <w:spacing w:after="0" w:line="260"/>
            </w:pPr>
            <w:r>
              <w:rPr>
                <w:b/>
                <w:bCs/>
                <w:sz w:val="19"/>
                <w:szCs w:val="19"/>
                <w:rFonts w:ascii="Calibri" w:cs="Calibri" w:eastAsia="Calibri" w:hAnsi="Calibri"/>
              </w:rPr>
              <w:t xml:space="preserve">Tier 1 minimum contribution, FY 2026/2027 (15%)</w:t>
            </w:r>
          </w:p>
        </w:tc>
        <w:tc>
          <w:tcPr>
            <w:tcW w:type="dxa" w:w="2160"/>
            <w:tcMar>
              <w:top w:type="dxa" w:w="60"/>
              <w:left w:type="dxa" w:w="90"/>
              <w:bottom w:type="dxa" w:w="60"/>
              <w:right w:type="dxa" w:w="90"/>
            </w:tcMar>
          </w:tcPr>
          <w:p>
            <w:pPr>
              <w:spacing w:after="0" w:line="260"/>
              <w:jc w:val="right"/>
            </w:pPr>
            <w:r>
              <w:rPr>
                <w:b/>
                <w:bCs/>
                <w:sz w:val="19"/>
                <w:szCs w:val="19"/>
                <w:rFonts w:ascii="Calibri" w:cs="Calibri" w:eastAsia="Calibri" w:hAnsi="Calibri"/>
              </w:rPr>
              <w:t xml:space="preserve">R 22 502.39</w:t>
            </w:r>
          </w:p>
        </w:tc>
        <w:tc>
          <w:tcPr>
            <w:tcW w:type="dxa" w:w="2160"/>
            <w:tcMar>
              <w:top w:type="dxa" w:w="60"/>
              <w:left w:type="dxa" w:w="90"/>
              <w:bottom w:type="dxa" w:w="60"/>
              <w:right w:type="dxa" w:w="90"/>
            </w:tcMar>
          </w:tcPr>
          <w:p>
            <w:pPr>
              <w:spacing w:after="0" w:line="260"/>
              <w:jc w:val="right"/>
            </w:pPr>
            <w:r>
              <w:rPr>
                <w:b/>
                <w:bCs/>
                <w:sz w:val="19"/>
                <w:szCs w:val="19"/>
                <w:rFonts w:ascii="Calibri" w:cs="Calibri" w:eastAsia="Calibri" w:hAnsi="Calibri"/>
              </w:rPr>
              <w:t xml:space="preserve">R 267.89</w:t>
            </w:r>
          </w:p>
        </w:tc>
      </w:tr>
      <w:tr>
        <w:trPr>
          <w:cantSplit/>
          <w:tblHeader w:val="false"/>
        </w:trPr>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25% threshold — clear this to reach tier 2 next year</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37 503.99</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w:t>
            </w:r>
          </w:p>
        </w:tc>
      </w:tr>
      <w:tr>
        <w:trPr>
          <w:cantSplit/>
          <w:tblHeader w:val="false"/>
        </w:trPr>
        <w:tc>
          <w:tcPr>
            <w:tcW w:type="dxa" w:w="4680"/>
            <w:tcMar>
              <w:top w:type="dxa" w:w="60"/>
              <w:left w:type="dxa" w:w="90"/>
              <w:bottom w:type="dxa" w:w="60"/>
              <w:right w:type="dxa" w:w="90"/>
            </w:tcMar>
          </w:tcPr>
          <w:p>
            <w:pPr>
              <w:spacing w:after="0" w:line="260"/>
            </w:pPr>
            <w:r>
              <w:rPr>
                <w:sz w:val="19"/>
                <w:szCs w:val="19"/>
                <w:rFonts w:ascii="Calibri" w:cs="Calibri" w:eastAsia="Calibri" w:hAnsi="Calibri"/>
              </w:rPr>
              <w:t xml:space="preserve">100% threshold — clear this and no minimum ever applies</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R 150 015.96</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w:t>
            </w:r>
          </w:p>
        </w:tc>
      </w:tr>
      <w:tr>
        <w:trPr>
          <w:cantSplit/>
          <w:tblHeader w:val="false"/>
        </w:trPr>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Tier 2 minimum once above 25% (budgeted R&amp;M)</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8 000.00</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95.24</w:t>
            </w:r>
          </w:p>
        </w:tc>
      </w:tr>
    </w:tbl>
    <w:p>
      <w:pPr>
        <w:pStyle w:val="Heading2"/>
        <w:keepNext/>
        <w:spacing w:before="260" w:after="120"/>
      </w:pPr>
      <w:r>
        <w:rPr>
          <w:b/>
          <w:bCs/>
          <w:color w:val="1F3864"/>
          <w:sz w:val="24"/>
          <w:szCs w:val="24"/>
          <w:rFonts w:ascii="Calibri" w:cs="Calibri" w:eastAsia="Calibri" w:hAnsi="Calibri"/>
        </w:rPr>
        <w:t xml:space="preserve">6.2 Three ways to fund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90"/>
        <w:gridCol w:w="2070"/>
        <w:gridCol w:w="2070"/>
        <w:gridCol w:w="2070"/>
      </w:tblGrid>
      <w:tr>
        <w:trPr>
          <w:cantSplit/>
          <w:tblHeader/>
        </w:trPr>
        <w:tc>
          <w:tcPr>
            <w:tcW w:type="dxa" w:w="279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r>
          </w:p>
        </w:tc>
        <w:tc>
          <w:tcPr>
            <w:tcW w:type="dxa" w:w="207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B1 — bare minimum</w:t>
            </w:r>
          </w:p>
        </w:tc>
        <w:tc>
          <w:tcPr>
            <w:tcW w:type="dxa" w:w="207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B2 — clear 25% (recommended)</w:t>
            </w:r>
          </w:p>
        </w:tc>
        <w:tc>
          <w:tcPr>
            <w:tcW w:type="dxa" w:w="207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B3 — clear 100%</w:t>
            </w:r>
          </w:p>
        </w:tc>
      </w:tr>
      <w:tr>
        <w:trPr>
          <w:cantSplit/>
          <w:tblHeader w:val="false"/>
        </w:trPr>
        <w:tc>
          <w:tcPr>
            <w:tcW w:type="dxa" w:w="2790"/>
            <w:tcMar>
              <w:top w:type="dxa" w:w="60"/>
              <w:left w:type="dxa" w:w="90"/>
              <w:bottom w:type="dxa" w:w="60"/>
              <w:right w:type="dxa" w:w="90"/>
            </w:tcMar>
          </w:tcPr>
          <w:p>
            <w:pPr>
              <w:spacing w:after="0" w:line="260"/>
            </w:pPr>
            <w:r>
              <w:rPr>
                <w:b/>
                <w:bCs/>
                <w:sz w:val="19"/>
                <w:szCs w:val="19"/>
                <w:rFonts w:ascii="Calibri" w:cs="Calibri" w:eastAsia="Calibri" w:hAnsi="Calibri"/>
              </w:rPr>
              <w:t xml:space="preserve">Designate now</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22 502.39</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40 500.00</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150 015.96</w:t>
            </w:r>
          </w:p>
        </w:tc>
      </w:tr>
      <w:tr>
        <w:trPr>
          <w:cantSplit/>
          <w:tblHeader w:val="false"/>
        </w:trPr>
        <w:tc>
          <w:tcPr>
            <w:tcW w:type="dxa" w:w="2790"/>
            <w:shd w:fill="E8EEF7"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As % of the Option B basis</w:t>
            </w:r>
          </w:p>
        </w:tc>
        <w:tc>
          <w:tcPr>
            <w:tcW w:type="dxa" w:w="207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15.00%</w:t>
            </w:r>
          </w:p>
        </w:tc>
        <w:tc>
          <w:tcPr>
            <w:tcW w:type="dxa" w:w="207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27.00%</w:t>
            </w:r>
          </w:p>
        </w:tc>
        <w:tc>
          <w:tcPr>
            <w:tcW w:type="dxa" w:w="207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100%</w:t>
            </w:r>
          </w:p>
        </w:tc>
      </w:tr>
      <w:tr>
        <w:trPr>
          <w:cantSplit/>
          <w:tblHeader w:val="false"/>
        </w:trPr>
        <w:tc>
          <w:tcPr>
            <w:tcW w:type="dxa" w:w="2790"/>
            <w:tcMar>
              <w:top w:type="dxa" w:w="60"/>
              <w:left w:type="dxa" w:w="90"/>
              <w:bottom w:type="dxa" w:w="60"/>
              <w:right w:type="dxa" w:w="90"/>
            </w:tcMar>
          </w:tcPr>
          <w:p>
            <w:pPr>
              <w:spacing w:after="0" w:line="260"/>
            </w:pPr>
            <w:r>
              <w:rPr>
                <w:b/>
                <w:bCs/>
                <w:sz w:val="19"/>
                <w:szCs w:val="19"/>
                <w:rFonts w:ascii="Calibri" w:cs="Calibri" w:eastAsia="Calibri" w:hAnsi="Calibri"/>
              </w:rPr>
              <w:t xml:space="preserve">As % of the Option A basis</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8.43%</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15.18%</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56.23%</w:t>
            </w:r>
          </w:p>
        </w:tc>
      </w:tr>
      <w:tr>
        <w:trPr>
          <w:cantSplit/>
          <w:tblHeader w:val="false"/>
        </w:trPr>
        <w:tc>
          <w:tcPr>
            <w:tcW w:type="dxa" w:w="279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FY 2027/2028 tier</w:t>
            </w:r>
          </w:p>
        </w:tc>
        <w:tc>
          <w:tcPr>
            <w:tcW w:type="dxa" w:w="20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Tier 1 again</w:t>
            </w:r>
          </w:p>
        </w:tc>
        <w:tc>
          <w:tcPr>
            <w:tcW w:type="dxa" w:w="20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Tier 2</w:t>
            </w:r>
          </w:p>
        </w:tc>
        <w:tc>
          <w:tcPr>
            <w:tcW w:type="dxa" w:w="20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Tier 3 — none</w:t>
            </w:r>
          </w:p>
        </w:tc>
      </w:tr>
      <w:tr>
        <w:trPr>
          <w:cantSplit/>
          <w:tblHeader w:val="false"/>
        </w:trPr>
        <w:tc>
          <w:tcPr>
            <w:tcW w:type="dxa" w:w="2790"/>
            <w:tcMar>
              <w:top w:type="dxa" w:w="60"/>
              <w:left w:type="dxa" w:w="90"/>
              <w:bottom w:type="dxa" w:w="60"/>
              <w:right w:type="dxa" w:w="90"/>
            </w:tcMar>
          </w:tcPr>
          <w:p>
            <w:pPr>
              <w:spacing w:after="0" w:line="260"/>
            </w:pPr>
            <w:r>
              <w:rPr>
                <w:b/>
                <w:bCs/>
                <w:sz w:val="19"/>
                <w:szCs w:val="19"/>
                <w:rFonts w:ascii="Calibri" w:cs="Calibri" w:eastAsia="Calibri" w:hAnsi="Calibri"/>
              </w:rPr>
              <w:t xml:space="preserve">FY 2027/2028 minimum</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about R 22 500.00 again</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8 000.00</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Nil</w:t>
            </w:r>
          </w:p>
        </w:tc>
      </w:tr>
      <w:tr>
        <w:trPr>
          <w:cantSplit/>
          <w:tblHeader w:val="false"/>
        </w:trPr>
        <w:tc>
          <w:tcPr>
            <w:tcW w:type="dxa" w:w="279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Admin cash left</w:t>
            </w:r>
          </w:p>
        </w:tc>
        <w:tc>
          <w:tcPr>
            <w:tcW w:type="dxa" w:w="20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188 341.76</w:t>
            </w:r>
          </w:p>
        </w:tc>
        <w:tc>
          <w:tcPr>
            <w:tcW w:type="dxa" w:w="20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170 344.15</w:t>
            </w:r>
          </w:p>
        </w:tc>
        <w:tc>
          <w:tcPr>
            <w:tcW w:type="dxa" w:w="20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60 828.19</w:t>
            </w:r>
          </w:p>
        </w:tc>
      </w:tr>
      <w:tr>
        <w:trPr>
          <w:cantSplit/>
          <w:tblHeader w:val="false"/>
        </w:trPr>
        <w:tc>
          <w:tcPr>
            <w:tcW w:type="dxa" w:w="2790"/>
            <w:tcMar>
              <w:top w:type="dxa" w:w="60"/>
              <w:left w:type="dxa" w:w="90"/>
              <w:bottom w:type="dxa" w:w="60"/>
              <w:right w:type="dxa" w:w="90"/>
            </w:tcMar>
          </w:tcPr>
          <w:p>
            <w:pPr>
              <w:spacing w:after="0" w:line="260"/>
            </w:pPr>
            <w:r>
              <w:rPr>
                <w:b/>
                <w:bCs/>
                <w:sz w:val="19"/>
                <w:szCs w:val="19"/>
                <w:rFonts w:ascii="Calibri" w:cs="Calibri" w:eastAsia="Calibri" w:hAnsi="Calibri"/>
              </w:rPr>
              <w:t xml:space="preserve">Months of operating cover</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8.4</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7.6</w:t>
            </w:r>
          </w:p>
        </w:tc>
        <w:tc>
          <w:tcPr>
            <w:tcW w:type="dxa" w:w="20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2.7</w:t>
            </w:r>
          </w:p>
        </w:tc>
      </w:tr>
    </w:tbl>
    <w:p>
      <w:pPr>
        <w:spacing w:after="120" w:line="276"/>
      </w:pPr>
      <w:r>
        <w:rPr>
          <w:b/>
          <w:bCs/>
          <w:sz w:val="20"/>
          <w:szCs w:val="20"/>
          <w:rFonts w:ascii="Calibri" w:cs="Calibri" w:eastAsia="Calibri" w:hAnsi="Calibri"/>
        </w:rPr>
        <w:t xml:space="preserve">Recommended within Option B: designate R</w:t>
      </w:r>
      <w:r>
        <w:rPr>
          <w:b/>
          <w:bCs/>
          <w:sz w:val="20"/>
          <w:szCs w:val="20"/>
          <w:rFonts w:ascii="Calibri" w:cs="Calibri" w:eastAsia="Calibri" w:hAnsi="Calibri"/>
        </w:rPr>
        <w:t xml:space="preserve"> 40,500.00</w:t>
      </w:r>
      <w:r>
        <w:rPr>
          <w:sz w:val="20"/>
          <w:szCs w:val="20"/>
          <w:rFonts w:ascii="Calibri" w:cs="Calibri" w:eastAsia="Calibri" w:hAnsi="Calibri"/>
        </w:rPr>
        <w:t xml:space="preserve">, not the obvious round R 40,000. See 6.3 — the difference matters.</w:t>
      </w:r>
    </w:p>
    <w:p>
      <w:pPr>
        <w:spacing w:after="120" w:line="276"/>
      </w:pPr>
      <w:r>
        <w:rPr>
          <w:sz w:val="20"/>
          <w:szCs w:val="20"/>
          <w:rFonts w:ascii="Calibri" w:cs="Calibri" w:eastAsia="Calibri" w:hAnsi="Calibri"/>
        </w:rPr>
        <w:t xml:space="preserve">B3 is arithmetically available but not advisable: it leaves 2.7 months of operating cover in a scheme with no separate reserve account, so the "reserve" would in practice have to be drawn on for operations, which defeats the designation.</w:t>
      </w:r>
    </w:p>
    <w:p>
      <w:pPr>
        <w:pStyle w:val="Heading2"/>
        <w:keepNext/>
        <w:spacing w:before="260" w:after="120"/>
      </w:pPr>
      <w:r>
        <w:rPr>
          <w:b/>
          <w:bCs/>
          <w:color w:val="1F3864"/>
          <w:sz w:val="24"/>
          <w:szCs w:val="24"/>
          <w:rFonts w:ascii="Calibri" w:cs="Calibri" w:eastAsia="Calibri" w:hAnsi="Calibri"/>
        </w:rPr>
        <w:t xml:space="preserve">6.3 The R 18.43 trap</w:t>
      </w:r>
    </w:p>
    <w:p>
      <w:pPr>
        <w:spacing w:after="120" w:line="276"/>
      </w:pPr>
      <w:r>
        <w:rPr>
          <w:sz w:val="20"/>
          <w:szCs w:val="20"/>
          <w:rFonts w:ascii="Calibri" w:cs="Calibri" w:eastAsia="Calibri" w:hAnsi="Calibri"/>
        </w:rPr>
        <w:t xml:space="preserve">The natural round number under Option B is R 40,000.00. That figure falls </w:t>
      </w:r>
      <w:r>
        <w:rPr>
          <w:b/>
          <w:bCs/>
          <w:sz w:val="20"/>
          <w:szCs w:val="20"/>
          <w:rFonts w:ascii="Calibri" w:cs="Calibri" w:eastAsia="Calibri" w:hAnsi="Calibri"/>
        </w:rPr>
        <w:t xml:space="preserve">R 18.43 short</w:t>
      </w:r>
      <w:r>
        <w:rPr>
          <w:sz w:val="20"/>
          <w:szCs w:val="20"/>
          <w:rFonts w:ascii="Calibri" w:cs="Calibri" w:eastAsia="Calibri" w:hAnsi="Calibri"/>
        </w:rPr>
        <w:t xml:space="preserve"> of the Option A tier 1 minimum of R 40,018.43 — so if the accountant later rules that all owner contributions count, a designation of R 40,000 is non-compliant by eighteen rand and forty-three cents. Designating </w:t>
      </w:r>
      <w:r>
        <w:rPr>
          <w:b/>
          <w:bCs/>
          <w:sz w:val="20"/>
          <w:szCs w:val="20"/>
          <w:rFonts w:ascii="Calibri" w:cs="Calibri" w:eastAsia="Calibri" w:hAnsi="Calibri"/>
        </w:rPr>
        <w:t xml:space="preserve">R 40,500.00</w:t>
      </w:r>
      <w:r>
        <w:rPr>
          <w:sz w:val="20"/>
          <w:szCs w:val="20"/>
          <w:rFonts w:ascii="Calibri" w:cs="Calibri" w:eastAsia="Calibri" w:hAnsi="Calibri"/>
        </w:rPr>
        <w:t xml:space="preserve"> costs nothing extra of substance, clears 27% of the levy basis, and satisfies the Option A minimum outright.</w:t>
      </w:r>
    </w:p>
    <w:p>
      <w:pPr>
        <w:pStyle w:val="Heading2"/>
        <w:keepNext/>
        <w:spacing w:before="260" w:after="120"/>
      </w:pPr>
      <w:r>
        <w:rPr>
          <w:b/>
          <w:bCs/>
          <w:color w:val="1F3864"/>
          <w:sz w:val="24"/>
          <w:szCs w:val="24"/>
          <w:rFonts w:ascii="Calibri" w:cs="Calibri" w:eastAsia="Calibri" w:hAnsi="Calibri"/>
        </w:rPr>
        <w:t xml:space="preserve">6.4 If the accountant later rules the other way</w:t>
      </w:r>
    </w:p>
    <w:p>
      <w:pPr>
        <w:spacing w:after="120" w:line="276"/>
      </w:pPr>
      <w:r>
        <w:rPr>
          <w:sz w:val="20"/>
          <w:szCs w:val="20"/>
          <w:rFonts w:ascii="Calibri" w:cs="Calibri" w:eastAsia="Calibri" w:hAnsi="Calibri"/>
        </w:rPr>
        <w:t xml:space="preserve">This is where the options differ most. A designation made under Option B does not automatically satisfy Option A's 25% threshold — R 40,500 is 15.18% of the broad basis, so under the broad reading the scheme would remain in tier 1 and owe a further ~R 40,000 in FY 2027/2028. Option B is the correct answer if the levy-only reading is right, and it preserves R 29,500 more cash than Option A; it simply does not hedge.</w:t>
      </w:r>
    </w:p>
    <w:p>
      <w:pPr>
        <w:pStyle w:val="Heading2"/>
        <w:keepNext/>
        <w:spacing w:before="260" w:after="120"/>
      </w:pPr>
      <w:r>
        <w:rPr>
          <w:b/>
          <w:bCs/>
          <w:color w:val="1F3864"/>
          <w:sz w:val="24"/>
          <w:szCs w:val="24"/>
          <w:rFonts w:ascii="Calibri" w:cs="Calibri" w:eastAsia="Calibri" w:hAnsi="Calibri"/>
        </w:rPr>
        <w:t xml:space="preserve">6.5 Option B — the actions</w:t>
      </w:r>
    </w:p>
    <w:p>
      <w:pPr>
        <w:pStyle w:val="ListParagraph"/>
        <w:numPr>
          <w:ilvl w:val="0"/>
          <w:numId w:val="5"/>
        </w:numPr>
        <w:spacing w:after="100" w:line="276"/>
      </w:pPr>
      <w:r>
        <w:rPr>
          <w:sz w:val="20"/>
          <w:szCs w:val="20"/>
          <w:rFonts w:ascii="Calibri" w:cs="Calibri" w:eastAsia="Calibri" w:hAnsi="Calibri"/>
        </w:rPr>
        <w:t xml:space="preserve">Members resolve to establish the fund and to transfer R 40,500.00 from accumulated administrative funds with effect from 1 September 2026.</w:t>
      </w:r>
    </w:p>
    <w:p>
      <w:pPr>
        <w:pStyle w:val="ListParagraph"/>
        <w:numPr>
          <w:ilvl w:val="0"/>
          <w:numId w:val="5"/>
        </w:numPr>
        <w:spacing w:after="100" w:line="276"/>
      </w:pPr>
      <w:r>
        <w:rPr>
          <w:sz w:val="20"/>
          <w:szCs w:val="20"/>
          <w:rFonts w:ascii="Calibri" w:cs="Calibri" w:eastAsia="Calibri" w:hAnsi="Calibri"/>
        </w:rPr>
        <w:t xml:space="preserve">Record the entry and restate the budget line exactly as in 5.5, substituting R 40,500.00 and a 15% statutory minimum of R 22,502.39 on budgeted levy contributions.</w:t>
      </w:r>
    </w:p>
    <w:p>
      <w:pPr>
        <w:pStyle w:val="ListParagraph"/>
        <w:numPr>
          <w:ilvl w:val="0"/>
          <w:numId w:val="5"/>
        </w:numPr>
        <w:spacing w:after="100" w:line="276"/>
      </w:pPr>
      <w:r>
        <w:rPr>
          <w:sz w:val="20"/>
          <w:szCs w:val="20"/>
          <w:rFonts w:ascii="Calibri" w:cs="Calibri" w:eastAsia="Calibri" w:hAnsi="Calibri"/>
        </w:rPr>
        <w:t xml:space="preserve">Set the app's contribution basis to "levy grid only" (see 8.2).</w:t>
      </w:r>
    </w:p>
    <w:p>
      <w:pPr>
        <w:pStyle w:val="ListParagraph"/>
        <w:numPr>
          <w:ilvl w:val="0"/>
          <w:numId w:val="5"/>
        </w:numPr>
        <w:spacing w:after="100" w:line="276"/>
      </w:pPr>
      <w:r>
        <w:rPr>
          <w:sz w:val="20"/>
          <w:szCs w:val="20"/>
          <w:rFonts w:ascii="Calibri" w:cs="Calibri" w:eastAsia="Calibri" w:hAnsi="Calibri"/>
        </w:rPr>
        <w:t xml:space="preserve">Minute the reasoning for the levy-only basis, with the accountant's confirmation attached. A basis chosen without a recorded reason is the one a future auditor will question.</w:t>
      </w:r>
    </w:p>
    <w:p>
      <w:pPr>
        <w:pStyle w:val="Heading1"/>
        <w:keepNext/>
        <w:spacing w:before="360" w:after="160"/>
      </w:pPr>
      <w:r>
        <w:rPr>
          <w:b/>
          <w:bCs/>
          <w:color w:val="1F3864"/>
          <w:sz w:val="30"/>
          <w:szCs w:val="30"/>
          <w:rFonts w:ascii="Calibri" w:cs="Calibri" w:eastAsia="Calibri" w:hAnsi="Calibri"/>
        </w:rPr>
        <w:t xml:space="preserve">7. The two options side by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970"/>
        <w:gridCol w:w="2970"/>
      </w:tblGrid>
      <w:tr>
        <w:trPr>
          <w:cantSplit/>
          <w:tblHeader/>
        </w:trPr>
        <w:tc>
          <w:tcPr>
            <w:tcW w:type="dxa" w:w="306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r>
          </w:p>
        </w:tc>
        <w:tc>
          <w:tcPr>
            <w:tcW w:type="dxa" w:w="297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Option A — all contributions</w:t>
            </w:r>
          </w:p>
        </w:tc>
        <w:tc>
          <w:tcPr>
            <w:tcW w:type="dxa" w:w="297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Option B — levy only</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Basis</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266 789.56</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150 015.96</w:t>
            </w:r>
          </w:p>
        </w:tc>
      </w:tr>
      <w:tr>
        <w:trPr>
          <w:cantSplit/>
          <w:tblHeader w:val="false"/>
        </w:trPr>
        <w:tc>
          <w:tcPr>
            <w:tcW w:type="dxa" w:w="306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FY 2026/2027 statutory minimum (15%)</w:t>
            </w:r>
          </w:p>
        </w:tc>
        <w:tc>
          <w:tcPr>
            <w:tcW w:type="dxa" w:w="29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40 018.43</w:t>
            </w:r>
          </w:p>
        </w:tc>
        <w:tc>
          <w:tcPr>
            <w:tcW w:type="dxa" w:w="29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22 502.39</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25% threshold</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66 697.39</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37 503.99</w:t>
            </w:r>
          </w:p>
        </w:tc>
      </w:tr>
      <w:tr>
        <w:trPr>
          <w:cantSplit/>
          <w:tblHeader w:val="false"/>
        </w:trPr>
        <w:tc>
          <w:tcPr>
            <w:tcW w:type="dxa" w:w="3060"/>
            <w:shd w:fill="E8EEF7"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Recommended designation</w:t>
            </w:r>
          </w:p>
        </w:tc>
        <w:tc>
          <w:tcPr>
            <w:tcW w:type="dxa" w:w="297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70 000.00</w:t>
            </w:r>
          </w:p>
        </w:tc>
        <w:tc>
          <w:tcPr>
            <w:tcW w:type="dxa" w:w="297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40 500.00</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Admin cash left afterwards</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140 844.15</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170 344.15</w:t>
            </w:r>
          </w:p>
        </w:tc>
      </w:tr>
      <w:tr>
        <w:trPr>
          <w:cantSplit/>
          <w:tblHeader w:val="false"/>
        </w:trPr>
        <w:tc>
          <w:tcPr>
            <w:tcW w:type="dxa" w:w="306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Months of operating cover</w:t>
            </w:r>
          </w:p>
        </w:tc>
        <w:tc>
          <w:tcPr>
            <w:tcW w:type="dxa" w:w="29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6.2</w:t>
            </w:r>
          </w:p>
        </w:tc>
        <w:tc>
          <w:tcPr>
            <w:tcW w:type="dxa" w:w="2970"/>
            <w:shd w:fill="F2F2F2"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7.6</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FY 2027/2028 obligation</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8 000.00 (tier 2)</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R 8 000.00 (tier 2)</w:t>
            </w:r>
          </w:p>
        </w:tc>
      </w:tr>
      <w:tr>
        <w:trPr>
          <w:cantSplit/>
          <w:tblHeader w:val="false"/>
        </w:trPr>
        <w:tc>
          <w:tcPr>
            <w:tcW w:type="dxa" w:w="3060"/>
            <w:shd w:fill="E8EEF7"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Compliant if the other reading prevails?</w:t>
            </w:r>
          </w:p>
        </w:tc>
        <w:tc>
          <w:tcPr>
            <w:tcW w:type="dxa" w:w="297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Yes — 46.7% of the levy basis</w:t>
            </w:r>
          </w:p>
        </w:tc>
        <w:tc>
          <w:tcPr>
            <w:tcW w:type="dxa" w:w="2970"/>
            <w:shd w:fill="E8EEF7" w:val="clear"/>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No — 15.2% of the broad basis, tier 1 again</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Cost to owners</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Nil</w:t>
            </w:r>
          </w:p>
        </w:tc>
        <w:tc>
          <w:tcPr>
            <w:tcW w:type="dxa" w:w="2970"/>
            <w:tcMar>
              <w:top w:type="dxa" w:w="60"/>
              <w:left w:type="dxa" w:w="90"/>
              <w:bottom w:type="dxa" w:w="60"/>
              <w:right w:type="dxa" w:w="90"/>
            </w:tcMar>
          </w:tcPr>
          <w:p>
            <w:pPr>
              <w:spacing w:after="0" w:line="260"/>
              <w:jc w:val="right"/>
            </w:pPr>
            <w:r>
              <w:rPr>
                <w:b w:val="false"/>
                <w:bCs w:val="false"/>
                <w:sz w:val="19"/>
                <w:szCs w:val="19"/>
                <w:rFonts w:ascii="Calibri" w:cs="Calibri" w:eastAsia="Calibri" w:hAnsi="Calibri"/>
              </w:rPr>
              <w:t xml:space="preserve">Nil</w:t>
            </w:r>
          </w:p>
        </w:tc>
      </w:tr>
    </w:tbl>
    <w:p>
      <w:pPr>
        <w:pStyle w:val="Heading2"/>
        <w:keepNext/>
        <w:spacing w:before="260" w:after="120"/>
      </w:pPr>
      <w:r>
        <w:rPr>
          <w:b/>
          <w:bCs/>
          <w:color w:val="1F3864"/>
          <w:sz w:val="24"/>
          <w:szCs w:val="24"/>
          <w:rFonts w:ascii="Calibri" w:cs="Calibri" w:eastAsia="Calibri" w:hAnsi="Calibri"/>
        </w:rPr>
        <w:t xml:space="preserve">7.1 How to choose</w:t>
      </w:r>
    </w:p>
    <w:p>
      <w:pPr>
        <w:pStyle w:val="ListParagraph"/>
        <w:numPr>
          <w:ilvl w:val="0"/>
          <w:numId w:val="2"/>
        </w:numPr>
        <w:spacing w:after="80" w:line="276"/>
      </w:pPr>
      <w:r>
        <w:rPr>
          <w:sz w:val="20"/>
          <w:szCs w:val="20"/>
          <w:rFonts w:ascii="Calibri" w:cs="Calibri" w:eastAsia="Calibri" w:hAnsi="Calibri"/>
        </w:rPr>
        <w:t xml:space="preserve">If the accountant's answer is available before the meeting, adopt the option that matches it. That is the clean path and it is worth chasing the answer for.</w:t>
      </w:r>
    </w:p>
    <w:p>
      <w:pPr>
        <w:pStyle w:val="ListParagraph"/>
        <w:numPr>
          <w:ilvl w:val="0"/>
          <w:numId w:val="2"/>
        </w:numPr>
        <w:spacing w:after="80" w:line="276"/>
      </w:pPr>
      <w:r>
        <w:rPr>
          <w:sz w:val="20"/>
          <w:szCs w:val="20"/>
          <w:rFonts w:ascii="Calibri" w:cs="Calibri" w:eastAsia="Calibri" w:hAnsi="Calibri"/>
        </w:rPr>
        <w:t xml:space="preserve">If the answer is not available, adopt Option A at R 70,000. It is compliant under both readings, so the meeting does not have to wait for a legal opinion to take a valid decision, and it costs owners nothing because the money is already in the account.</w:t>
      </w:r>
    </w:p>
    <w:p>
      <w:pPr>
        <w:pStyle w:val="ListParagraph"/>
        <w:numPr>
          <w:ilvl w:val="0"/>
          <w:numId w:val="2"/>
        </w:numPr>
        <w:spacing w:after="80" w:line="276"/>
      </w:pPr>
      <w:r>
        <w:rPr>
          <w:sz w:val="20"/>
          <w:szCs w:val="20"/>
          <w:rFonts w:ascii="Calibri" w:cs="Calibri" w:eastAsia="Calibri" w:hAnsi="Calibri"/>
        </w:rPr>
        <w:t xml:space="preserve">Option B is the right answer on the merits if the levy-only reading is correct, and it is the better answer for operating headroom. Its weakness is only that it does not survive being wrong.</w:t>
      </w:r>
    </w:p>
    <w:p>
      <w:pPr>
        <w:pBdr>
          <w:left w:val="single" w:color="1F3864" w:sz="18" w:space="8"/>
        </w:pBdr>
        <w:shd w:fill="E8EEF7" w:val="clear"/>
        <w:spacing w:before="140" w:after="160" w:line="276"/>
        <w:ind w:left="120" w:right="120"/>
      </w:pPr>
      <w:r>
        <w:rPr>
          <w:b/>
          <w:bCs/>
          <w:color w:val="1F3864"/>
          <w:sz w:val="20"/>
          <w:szCs w:val="20"/>
          <w:rFonts w:ascii="Calibri" w:cs="Calibri" w:eastAsia="Calibri" w:hAnsi="Calibri"/>
        </w:rPr>
        <w:t xml:space="preserve">The floor is not the target. </w:t>
      </w:r>
      <w:r>
        <w:rPr>
          <w:sz w:val="20"/>
          <w:szCs w:val="20"/>
          <w:rFonts w:ascii="Calibri" w:cs="Calibri" w:eastAsia="Calibri" w:hAnsi="Calibri"/>
        </w:rPr>
        <w:t xml:space="preserve">Regulation 2 sets a minimum; s3(1)(b) requires the fund to be reasonably sufficient for future maintenance, repair and replacement. Those are different tests, and only the second protects the scheme from a special levy. All 24 registered components are recorded without a replacement cost, so nobody currently knows what sufficient looks like here. Both R 40,018.43 and R 22,502.39 are numbers chosen by regulation rather than by the roof.</w:t>
      </w:r>
    </w:p>
    <w:p>
      <w:pPr>
        <w:pStyle w:val="Heading1"/>
        <w:keepNext/>
        <w:spacing w:before="360" w:after="160"/>
      </w:pPr>
      <w:r>
        <w:rPr>
          <w:b/>
          <w:bCs/>
          <w:color w:val="1F3864"/>
          <w:sz w:val="30"/>
          <w:szCs w:val="30"/>
          <w:rFonts w:ascii="Calibri" w:cs="Calibri" w:eastAsia="Calibri" w:hAnsi="Calibri"/>
        </w:rPr>
        <w:t xml:space="preserve">8. Implementation — identical under both options</w:t>
      </w:r>
    </w:p>
    <w:p>
      <w:pPr>
        <w:pStyle w:val="Heading2"/>
        <w:keepNext/>
        <w:spacing w:before="260" w:after="120"/>
      </w:pPr>
      <w:r>
        <w:rPr>
          <w:b/>
          <w:bCs/>
          <w:color w:val="1F3864"/>
          <w:sz w:val="24"/>
          <w:szCs w:val="24"/>
          <w:rFonts w:ascii="Calibri" w:cs="Calibri" w:eastAsia="Calibri" w:hAnsi="Calibri"/>
        </w:rPr>
        <w:t xml:space="preserve">8.1 Phase 0 — trustee work before the AGM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240"/>
      </w:tblGrid>
      <w:tr>
        <w:trPr>
          <w:cantSplit/>
          <w:tblHeader/>
        </w:trPr>
        <w:tc>
          <w:tcPr>
            <w:tcW w:type="dxa" w:w="720"/>
            <w:shd w:fill="1F3864" w:val="clear"/>
            <w:tcMar>
              <w:top w:type="dxa" w:w="60"/>
              <w:left w:type="dxa" w:w="90"/>
              <w:bottom w:type="dxa" w:w="60"/>
              <w:right w:type="dxa" w:w="90"/>
            </w:tcMar>
          </w:tcPr>
          <w:p>
            <w:pPr>
              <w:spacing w:after="0" w:line="260"/>
              <w:jc w:val="center"/>
            </w:pPr>
            <w:r>
              <w:rPr>
                <w:b/>
                <w:bCs/>
                <w:color w:val="FFFFFF"/>
                <w:sz w:val="19"/>
                <w:szCs w:val="19"/>
                <w:rFonts w:ascii="Calibri" w:cs="Calibri" w:eastAsia="Calibri" w:hAnsi="Calibri"/>
              </w:rPr>
              <w:t xml:space="preserve">#</w:t>
            </w:r>
          </w:p>
        </w:tc>
        <w:tc>
          <w:tcPr>
            <w:tcW w:type="dxa" w:w="504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Action</w:t>
            </w:r>
          </w:p>
        </w:tc>
        <w:tc>
          <w:tcPr>
            <w:tcW w:type="dxa" w:w="324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Why it cannot wait</w:t>
            </w:r>
          </w:p>
        </w:tc>
      </w:tr>
      <w:tr>
        <w:trPr>
          <w:cantSplit/>
          <w:tblHeader w:val="false"/>
        </w:trPr>
        <w:tc>
          <w:tcPr>
            <w:tcW w:type="dxa" w:w="720"/>
            <w:tcMar>
              <w:top w:type="dxa" w:w="60"/>
              <w:left w:type="dxa" w:w="90"/>
              <w:bottom w:type="dxa" w:w="60"/>
              <w:right w:type="dxa" w:w="90"/>
            </w:tcMar>
          </w:tcPr>
          <w:p>
            <w:pPr>
              <w:spacing w:after="0" w:line="260"/>
              <w:jc w:val="center"/>
            </w:pPr>
            <w:r>
              <w:rPr>
                <w:b w:val="false"/>
                <w:bCs w:val="false"/>
                <w:sz w:val="19"/>
                <w:szCs w:val="19"/>
                <w:rFonts w:ascii="Calibri" w:cs="Calibri" w:eastAsia="Calibri" w:hAnsi="Calibri"/>
              </w:rPr>
              <w:t xml:space="preserve">0.1</w:t>
            </w:r>
          </w:p>
        </w:tc>
        <w:tc>
          <w:tcPr>
            <w:tcW w:type="dxa" w:w="50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Get the accountant's reading of "contribution to the administrative fund" in writing.</w:t>
            </w:r>
          </w:p>
        </w:tc>
        <w:tc>
          <w:tcPr>
            <w:tcW w:type="dxa" w:w="32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It selects the option. Everything else is contingent on it.</w:t>
            </w:r>
          </w:p>
        </w:tc>
      </w:tr>
      <w:tr>
        <w:trPr>
          <w:cantSplit/>
          <w:tblHeader w:val="false"/>
        </w:trPr>
        <w:tc>
          <w:tcPr>
            <w:tcW w:type="dxa" w:w="720"/>
            <w:shd w:fill="F2F2F2" w:val="clear"/>
            <w:tcMar>
              <w:top w:type="dxa" w:w="60"/>
              <w:left w:type="dxa" w:w="90"/>
              <w:bottom w:type="dxa" w:w="60"/>
              <w:right w:type="dxa" w:w="90"/>
            </w:tcMar>
          </w:tcPr>
          <w:p>
            <w:pPr>
              <w:spacing w:after="0" w:line="260"/>
              <w:jc w:val="center"/>
            </w:pPr>
            <w:r>
              <w:rPr>
                <w:b w:val="false"/>
                <w:bCs w:val="false"/>
                <w:sz w:val="19"/>
                <w:szCs w:val="19"/>
                <w:rFonts w:ascii="Calibri" w:cs="Calibri" w:eastAsia="Calibri" w:hAnsi="Calibri"/>
              </w:rPr>
              <w:t xml:space="preserve">0.2</w:t>
            </w:r>
          </w:p>
        </w:tc>
        <w:tc>
          <w:tcPr>
            <w:tcW w:type="dxa" w:w="504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Cost the 24 registered components: replacement cost, expected life, install date or age, present condition. Quotes where available, a defensible estimate with a stated basis where not.</w:t>
            </w:r>
          </w:p>
        </w:tc>
        <w:tc>
          <w:tcPr>
            <w:tcW w:type="dxa" w:w="324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It is the only work that answers whether the fund is sufficient rather than merely lawful.</w:t>
            </w:r>
          </w:p>
        </w:tc>
      </w:tr>
      <w:tr>
        <w:trPr>
          <w:cantSplit/>
          <w:tblHeader w:val="false"/>
        </w:trPr>
        <w:tc>
          <w:tcPr>
            <w:tcW w:type="dxa" w:w="720"/>
            <w:tcMar>
              <w:top w:type="dxa" w:w="60"/>
              <w:left w:type="dxa" w:w="90"/>
              <w:bottom w:type="dxa" w:w="60"/>
              <w:right w:type="dxa" w:w="90"/>
            </w:tcMar>
          </w:tcPr>
          <w:p>
            <w:pPr>
              <w:spacing w:after="0" w:line="260"/>
              <w:jc w:val="center"/>
            </w:pPr>
            <w:r>
              <w:rPr>
                <w:b w:val="false"/>
                <w:bCs w:val="false"/>
                <w:sz w:val="19"/>
                <w:szCs w:val="19"/>
                <w:rFonts w:ascii="Calibri" w:cs="Calibri" w:eastAsia="Calibri" w:hAnsi="Calibri"/>
              </w:rPr>
              <w:t xml:space="preserve">0.3</w:t>
            </w:r>
          </w:p>
        </w:tc>
        <w:tc>
          <w:tcPr>
            <w:tcW w:type="dxa" w:w="50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Confirm the designation amount and put the transfer on the agenda as an express members' resolution.</w:t>
            </w:r>
          </w:p>
        </w:tc>
        <w:tc>
          <w:tcPr>
            <w:tcW w:type="dxa" w:w="32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Moving accumulated surplus between funds is likely a members' decision, not a trustee one.</w:t>
            </w:r>
          </w:p>
        </w:tc>
      </w:tr>
      <w:tr>
        <w:trPr>
          <w:cantSplit/>
          <w:tblHeader w:val="false"/>
        </w:trPr>
        <w:tc>
          <w:tcPr>
            <w:tcW w:type="dxa" w:w="720"/>
            <w:shd w:fill="F2F2F2" w:val="clear"/>
            <w:tcMar>
              <w:top w:type="dxa" w:w="60"/>
              <w:left w:type="dxa" w:w="90"/>
              <w:bottom w:type="dxa" w:w="60"/>
              <w:right w:type="dxa" w:w="90"/>
            </w:tcMar>
          </w:tcPr>
          <w:p>
            <w:pPr>
              <w:spacing w:after="0" w:line="260"/>
              <w:jc w:val="center"/>
            </w:pPr>
            <w:r>
              <w:rPr>
                <w:b w:val="false"/>
                <w:bCs w:val="false"/>
                <w:sz w:val="19"/>
                <w:szCs w:val="19"/>
                <w:rFonts w:ascii="Calibri" w:cs="Calibri" w:eastAsia="Calibri" w:hAnsi="Calibri"/>
              </w:rPr>
              <w:t xml:space="preserve">0.4</w:t>
            </w:r>
          </w:p>
        </w:tc>
        <w:tc>
          <w:tcPr>
            <w:tcW w:type="dxa" w:w="504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Open a separate bank account for the reserve fund.</w:t>
            </w:r>
          </w:p>
        </w:tc>
        <w:tc>
          <w:tcPr>
            <w:tcW w:type="dxa" w:w="324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PMR 26(1)(b) requires it. Until it exists the scheme is in live non-compliance.</w:t>
            </w:r>
          </w:p>
        </w:tc>
      </w:tr>
      <w:tr>
        <w:trPr>
          <w:cantSplit/>
          <w:tblHeader w:val="false"/>
        </w:trPr>
        <w:tc>
          <w:tcPr>
            <w:tcW w:type="dxa" w:w="720"/>
            <w:tcMar>
              <w:top w:type="dxa" w:w="60"/>
              <w:left w:type="dxa" w:w="90"/>
              <w:bottom w:type="dxa" w:w="60"/>
              <w:right w:type="dxa" w:w="90"/>
            </w:tcMar>
          </w:tcPr>
          <w:p>
            <w:pPr>
              <w:spacing w:after="0" w:line="260"/>
              <w:jc w:val="center"/>
            </w:pPr>
            <w:r>
              <w:rPr>
                <w:b w:val="false"/>
                <w:bCs w:val="false"/>
                <w:sz w:val="19"/>
                <w:szCs w:val="19"/>
                <w:rFonts w:ascii="Calibri" w:cs="Calibri" w:eastAsia="Calibri" w:hAnsi="Calibri"/>
              </w:rPr>
              <w:t xml:space="preserve">0.5</w:t>
            </w:r>
          </w:p>
        </w:tc>
        <w:tc>
          <w:tcPr>
            <w:tcW w:type="dxa" w:w="50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Re-enter the three FY 2026/2027 AGM proposals lost to the num() bug (water demand levy, electricity service charge, electricity network charge).</w:t>
            </w:r>
          </w:p>
        </w:tc>
        <w:tc>
          <w:tcPr>
            <w:tcW w:type="dxa" w:w="32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They feed the budget the reserve line sits in.</w:t>
            </w:r>
          </w:p>
        </w:tc>
      </w:tr>
    </w:tbl>
    <w:p>
      <w:pPr>
        <w:pStyle w:val="Heading2"/>
        <w:keepNext/>
        <w:spacing w:before="260" w:after="120"/>
      </w:pPr>
      <w:r>
        <w:rPr>
          <w:b/>
          <w:bCs/>
          <w:color w:val="1F3864"/>
          <w:sz w:val="24"/>
          <w:szCs w:val="24"/>
          <w:rFonts w:ascii="Calibri" w:cs="Calibri" w:eastAsia="Calibri" w:hAnsi="Calibri"/>
        </w:rPr>
        <w:t xml:space="preserve">8.2 Phase 1 — app changes</w:t>
      </w:r>
    </w:p>
    <w:p>
      <w:pPr>
        <w:spacing w:after="120" w:line="276"/>
      </w:pPr>
      <w:r>
        <w:rPr>
          <w:sz w:val="20"/>
          <w:szCs w:val="20"/>
          <w:rFonts w:ascii="Calibri" w:cs="Calibri" w:eastAsia="Calibri" w:hAnsi="Calibri"/>
        </w:rPr>
        <w:t xml:space="preserve">The ledger UI and reserve_fund_entries already exist and work. Nothing new is needed to record entries — only to compute and present the obligation correctly. The changes below are written so that switching between Option A and Option B is a configuration change, not a rewrite.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4680"/>
      </w:tblGrid>
      <w:tr>
        <w:trPr>
          <w:cantSplit/>
          <w:tblHeader/>
        </w:trPr>
        <w:tc>
          <w:tcPr>
            <w:tcW w:type="dxa" w:w="720"/>
            <w:shd w:fill="1F3864" w:val="clear"/>
            <w:tcMar>
              <w:top w:type="dxa" w:w="60"/>
              <w:left w:type="dxa" w:w="90"/>
              <w:bottom w:type="dxa" w:w="60"/>
              <w:right w:type="dxa" w:w="90"/>
            </w:tcMar>
          </w:tcPr>
          <w:p>
            <w:pPr>
              <w:spacing w:after="0" w:line="260"/>
              <w:jc w:val="center"/>
            </w:pPr>
            <w:r>
              <w:rPr>
                <w:b/>
                <w:bCs/>
                <w:color w:val="FFFFFF"/>
                <w:sz w:val="19"/>
                <w:szCs w:val="19"/>
                <w:rFonts w:ascii="Calibri" w:cs="Calibri" w:eastAsia="Calibri" w:hAnsi="Calibri"/>
              </w:rPr>
              <w:t xml:space="preserve">#</w:t>
            </w:r>
          </w:p>
        </w:tc>
        <w:tc>
          <w:tcPr>
            <w:tcW w:type="dxa" w:w="360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Change</w:t>
            </w:r>
          </w:p>
        </w:tc>
        <w:tc>
          <w:tcPr>
            <w:tcW w:type="dxa" w:w="468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Detail</w:t>
            </w:r>
          </w:p>
        </w:tc>
      </w:tr>
      <w:tr>
        <w:trPr>
          <w:cantSplit/>
          <w:tblHeader w:val="false"/>
        </w:trPr>
        <w:tc>
          <w:tcPr>
            <w:tcW w:type="dxa" w:w="720"/>
            <w:tcMar>
              <w:top w:type="dxa" w:w="60"/>
              <w:left w:type="dxa" w:w="90"/>
              <w:bottom w:type="dxa" w:w="60"/>
              <w:right w:type="dxa" w:w="90"/>
            </w:tcMar>
          </w:tcPr>
          <w:p>
            <w:pPr>
              <w:spacing w:after="0" w:line="260"/>
              <w:jc w:val="center"/>
            </w:pPr>
            <w:r>
              <w:rPr>
                <w:sz w:val="19"/>
                <w:szCs w:val="19"/>
                <w:rFonts w:ascii="Calibri" w:cs="Calibri" w:eastAsia="Calibri" w:hAnsi="Calibri"/>
              </w:rPr>
              <w:t xml:space="preserve">1.1</w:t>
            </w:r>
          </w:p>
        </w:tc>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Make the basis a stored, effective-dated setting</w:t>
            </w:r>
          </w:p>
        </w:tc>
        <w:tc>
          <w:tcPr>
            <w:tcW w:type="dxa" w:w="4680"/>
            <w:tcMar>
              <w:top w:type="dxa" w:w="60"/>
              <w:left w:type="dxa" w:w="90"/>
              <w:bottom w:type="dxa" w:w="60"/>
              <w:right w:type="dxa" w:w="90"/>
            </w:tcMar>
          </w:tcPr>
          <w:p>
            <w:pPr>
              <w:spacing w:after="0" w:line="260"/>
            </w:pPr>
            <w:r>
              <w:rPr>
                <w:sz w:val="19"/>
                <w:szCs w:val="19"/>
                <w:rFonts w:ascii="Calibri" w:cs="Calibri" w:eastAsia="Calibri" w:hAnsi="Calibri"/>
              </w:rPr>
              <w:t xml:space="preserve">A reserve_basis field per financial year taking "all_contributions" or "levy_only". The app must not hardcode the winner of a question the accountant has not answered, and a past year must keep the basis it was reported on.</w:t>
            </w:r>
          </w:p>
        </w:tc>
      </w:tr>
      <w:tr>
        <w:trPr>
          <w:cantSplit/>
          <w:tblHeader w:val="false"/>
        </w:trPr>
        <w:tc>
          <w:tcPr>
            <w:tcW w:type="dxa" w:w="720"/>
            <w:shd w:fill="F2F2F2" w:val="clear"/>
            <w:tcMar>
              <w:top w:type="dxa" w:w="60"/>
              <w:left w:type="dxa" w:w="90"/>
              <w:bottom w:type="dxa" w:w="60"/>
              <w:right w:type="dxa" w:w="90"/>
            </w:tcMar>
          </w:tcPr>
          <w:p>
            <w:pPr>
              <w:spacing w:after="0" w:line="260"/>
              <w:jc w:val="center"/>
            </w:pPr>
            <w:r>
              <w:rPr>
                <w:sz w:val="19"/>
                <w:szCs w:val="19"/>
                <w:rFonts w:ascii="Calibri" w:cs="Calibri" w:eastAsia="Calibri" w:hAnsi="Calibri"/>
              </w:rPr>
              <w:t xml:space="preserve">1.2</w:t>
            </w:r>
          </w:p>
        </w:tc>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Classify budget income lines</w:t>
            </w:r>
          </w:p>
        </w:tc>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Add a contribution class to budget_lines: levy, metered_recovery, or non_contribution. Interest is non_contribution. Both bases then compute from one table by summing classes, so the two figures can never drift apart.</w:t>
            </w:r>
          </w:p>
        </w:tc>
      </w:tr>
      <w:tr>
        <w:trPr>
          <w:cantSplit/>
          <w:tblHeader w:val="false"/>
        </w:trPr>
        <w:tc>
          <w:tcPr>
            <w:tcW w:type="dxa" w:w="720"/>
            <w:tcMar>
              <w:top w:type="dxa" w:w="60"/>
              <w:left w:type="dxa" w:w="90"/>
              <w:bottom w:type="dxa" w:w="60"/>
              <w:right w:type="dxa" w:w="90"/>
            </w:tcMar>
          </w:tcPr>
          <w:p>
            <w:pPr>
              <w:spacing w:after="0" w:line="260"/>
              <w:jc w:val="center"/>
            </w:pPr>
            <w:r>
              <w:rPr>
                <w:sz w:val="19"/>
                <w:szCs w:val="19"/>
                <w:rFonts w:ascii="Calibri" w:cs="Calibri" w:eastAsia="Calibri" w:hAnsi="Calibri"/>
              </w:rPr>
              <w:t xml:space="preserve">1.3</w:t>
            </w:r>
          </w:p>
        </w:tc>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Correct the 15% basis in reserveFundFloor()</w:t>
            </w:r>
          </w:p>
        </w:tc>
        <w:tc>
          <w:tcPr>
            <w:tcW w:type="dxa" w:w="4680"/>
            <w:tcMar>
              <w:top w:type="dxa" w:w="60"/>
              <w:left w:type="dxa" w:w="90"/>
              <w:bottom w:type="dxa" w:w="60"/>
              <w:right w:type="dxa" w:w="90"/>
            </w:tcMar>
          </w:tcPr>
          <w:p>
            <w:pPr>
              <w:spacing w:after="0" w:line="260"/>
            </w:pPr>
            <w:r>
              <w:rPr>
                <w:sz w:val="19"/>
                <w:szCs w:val="19"/>
                <w:rFonts w:ascii="Calibri" w:cs="Calibri" w:eastAsia="Calibri" w:hAnsi="Calibri"/>
              </w:rPr>
              <w:t xml:space="preserve">It currently takes adminBudget: report.totalExpense — prior-year expenditure. It must take budgeted owner contributions for the year ahead, filtered by the class in 1.2.</w:t>
            </w:r>
          </w:p>
        </w:tc>
      </w:tr>
      <w:tr>
        <w:trPr>
          <w:cantSplit/>
          <w:tblHeader w:val="false"/>
        </w:trPr>
        <w:tc>
          <w:tcPr>
            <w:tcW w:type="dxa" w:w="720"/>
            <w:shd w:fill="F2F2F2" w:val="clear"/>
            <w:tcMar>
              <w:top w:type="dxa" w:w="60"/>
              <w:left w:type="dxa" w:w="90"/>
              <w:bottom w:type="dxa" w:w="60"/>
              <w:right w:type="dxa" w:w="90"/>
            </w:tcMar>
          </w:tcPr>
          <w:p>
            <w:pPr>
              <w:spacing w:after="0" w:line="260"/>
              <w:jc w:val="center"/>
            </w:pPr>
            <w:r>
              <w:rPr>
                <w:sz w:val="19"/>
                <w:szCs w:val="19"/>
                <w:rFonts w:ascii="Calibri" w:cs="Calibri" w:eastAsia="Calibri" w:hAnsi="Calibri"/>
              </w:rPr>
              <w:t xml:space="preserve">1.4</w:t>
            </w:r>
          </w:p>
        </w:tc>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Separate the two bases in the signature</w:t>
            </w:r>
          </w:p>
        </w:tc>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The threshold test needs prior-year actual contributions; the 15% needs next year's budgeted contributions. One argument currently serves both, which is why the traps in 2.3 are reachable from the code.</w:t>
            </w:r>
          </w:p>
        </w:tc>
      </w:tr>
      <w:tr>
        <w:trPr>
          <w:cantSplit/>
          <w:tblHeader w:val="false"/>
        </w:trPr>
        <w:tc>
          <w:tcPr>
            <w:tcW w:type="dxa" w:w="720"/>
            <w:tcMar>
              <w:top w:type="dxa" w:w="60"/>
              <w:left w:type="dxa" w:w="90"/>
              <w:bottom w:type="dxa" w:w="60"/>
              <w:right w:type="dxa" w:w="90"/>
            </w:tcMar>
          </w:tcPr>
          <w:p>
            <w:pPr>
              <w:spacing w:after="0" w:line="260"/>
              <w:jc w:val="center"/>
            </w:pPr>
            <w:r>
              <w:rPr>
                <w:sz w:val="19"/>
                <w:szCs w:val="19"/>
                <w:rFonts w:ascii="Calibri" w:cs="Calibri" w:eastAsia="Calibri" w:hAnsi="Calibri"/>
              </w:rPr>
              <w:t xml:space="preserve">1.5</w:t>
            </w:r>
          </w:p>
        </w:tc>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Implement all three tiers</w:t>
            </w:r>
          </w:p>
        </w:tc>
        <w:tc>
          <w:tcPr>
            <w:tcW w:type="dxa" w:w="4680"/>
            <w:tcMar>
              <w:top w:type="dxa" w:w="60"/>
              <w:left w:type="dxa" w:w="90"/>
              <w:bottom w:type="dxa" w:w="60"/>
              <w:right w:type="dxa" w:w="90"/>
            </w:tcMar>
          </w:tcPr>
          <w:p>
            <w:pPr>
              <w:spacing w:after="0" w:line="260"/>
            </w:pPr>
            <w:r>
              <w:rPr>
                <w:sz w:val="19"/>
                <w:szCs w:val="19"/>
                <w:rFonts w:ascii="Calibri" w:cs="Calibri" w:eastAsia="Calibri" w:hAnsi="Calibri"/>
              </w:rPr>
              <w:t xml:space="preserve">The function returns null above 25%, which reads as "no obligation" exactly when tier 2 starts to bite. Return the tier plus the amount, with tier 2 reading the budgeted admin-fund R&amp;M line.</w:t>
            </w:r>
          </w:p>
        </w:tc>
      </w:tr>
      <w:tr>
        <w:trPr>
          <w:cantSplit/>
          <w:tblHeader w:val="false"/>
        </w:trPr>
        <w:tc>
          <w:tcPr>
            <w:tcW w:type="dxa" w:w="720"/>
            <w:shd w:fill="F2F2F2" w:val="clear"/>
            <w:tcMar>
              <w:top w:type="dxa" w:w="60"/>
              <w:left w:type="dxa" w:w="90"/>
              <w:bottom w:type="dxa" w:w="60"/>
              <w:right w:type="dxa" w:w="90"/>
            </w:tcMar>
          </w:tcPr>
          <w:p>
            <w:pPr>
              <w:spacing w:after="0" w:line="260"/>
              <w:jc w:val="center"/>
            </w:pPr>
            <w:r>
              <w:rPr>
                <w:sz w:val="19"/>
                <w:szCs w:val="19"/>
                <w:rFonts w:ascii="Calibri" w:cs="Calibri" w:eastAsia="Calibri" w:hAnsi="Calibri"/>
              </w:rPr>
              <w:t xml:space="preserve">1.6</w:t>
            </w:r>
          </w:p>
        </w:tc>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Warn on the 25% drafting gap</w:t>
            </w:r>
          </w:p>
        </w:tc>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Refuse, or at least warn, when a designation lands within a small tolerance of exactly 25% of the applicable basis. The gap is a real defect in the regulation and the app should not walk into it silently.</w:t>
            </w:r>
          </w:p>
        </w:tc>
      </w:tr>
      <w:tr>
        <w:trPr>
          <w:cantSplit/>
          <w:tblHeader w:val="false"/>
        </w:trPr>
        <w:tc>
          <w:tcPr>
            <w:tcW w:type="dxa" w:w="720"/>
            <w:tcMar>
              <w:top w:type="dxa" w:w="60"/>
              <w:left w:type="dxa" w:w="90"/>
              <w:bottom w:type="dxa" w:w="60"/>
              <w:right w:type="dxa" w:w="90"/>
            </w:tcMar>
          </w:tcPr>
          <w:p>
            <w:pPr>
              <w:spacing w:after="0" w:line="260"/>
              <w:jc w:val="center"/>
            </w:pPr>
            <w:r>
              <w:rPr>
                <w:sz w:val="19"/>
                <w:szCs w:val="19"/>
                <w:rFonts w:ascii="Calibri" w:cs="Calibri" w:eastAsia="Calibri" w:hAnsi="Calibri"/>
              </w:rPr>
              <w:t xml:space="preserve">1.7</w:t>
            </w:r>
          </w:p>
        </w:tc>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Show the tier on the Reserve fund page</w:t>
            </w:r>
          </w:p>
        </w:tc>
        <w:tc>
          <w:tcPr>
            <w:tcW w:type="dxa" w:w="4680"/>
            <w:tcMar>
              <w:top w:type="dxa" w:w="60"/>
              <w:left w:type="dxa" w:w="90"/>
              <w:bottom w:type="dxa" w:w="60"/>
              <w:right w:type="dxa" w:w="90"/>
            </w:tcMar>
          </w:tcPr>
          <w:p>
            <w:pPr>
              <w:spacing w:after="0" w:line="260"/>
            </w:pPr>
            <w:r>
              <w:rPr>
                <w:sz w:val="19"/>
                <w:szCs w:val="19"/>
                <w:rFonts w:ascii="Calibri" w:cs="Calibri" w:eastAsia="Calibri" w:hAnsi="Calibri"/>
              </w:rPr>
              <w:t xml:space="preserve">Balance, the 25% and 100% thresholds on the active basis, the distance to the next threshold, and what next year's minimum becomes at the current balance.</w:t>
            </w:r>
          </w:p>
        </w:tc>
      </w:tr>
      <w:tr>
        <w:trPr>
          <w:cantSplit/>
          <w:tblHeader w:val="false"/>
        </w:trPr>
        <w:tc>
          <w:tcPr>
            <w:tcW w:type="dxa" w:w="720"/>
            <w:shd w:fill="F2F2F2" w:val="clear"/>
            <w:tcMar>
              <w:top w:type="dxa" w:w="60"/>
              <w:left w:type="dxa" w:w="90"/>
              <w:bottom w:type="dxa" w:w="60"/>
              <w:right w:type="dxa" w:w="90"/>
            </w:tcMar>
          </w:tcPr>
          <w:p>
            <w:pPr>
              <w:spacing w:after="0" w:line="260"/>
              <w:jc w:val="center"/>
            </w:pPr>
            <w:r>
              <w:rPr>
                <w:sz w:val="19"/>
                <w:szCs w:val="19"/>
                <w:rFonts w:ascii="Calibri" w:cs="Calibri" w:eastAsia="Calibri" w:hAnsi="Calibri"/>
              </w:rPr>
              <w:t xml:space="preserve">1.8</w:t>
            </w:r>
          </w:p>
        </w:tc>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Standing PMR 26(1)(b) note</w:t>
            </w:r>
          </w:p>
        </w:tc>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On the Reserve fund page and in the AGM pack: entries are notional against the single FNB account and a separate account is required. Trustee decision of 11 August 2026 — state the gap, do not mask it.</w:t>
            </w:r>
          </w:p>
        </w:tc>
      </w:tr>
      <w:tr>
        <w:trPr>
          <w:cantSplit/>
          <w:tblHeader w:val="false"/>
        </w:trPr>
        <w:tc>
          <w:tcPr>
            <w:tcW w:type="dxa" w:w="720"/>
            <w:tcMar>
              <w:top w:type="dxa" w:w="60"/>
              <w:left w:type="dxa" w:w="90"/>
              <w:bottom w:type="dxa" w:w="60"/>
              <w:right w:type="dxa" w:w="90"/>
            </w:tcMar>
          </w:tcPr>
          <w:p>
            <w:pPr>
              <w:spacing w:after="0" w:line="260"/>
              <w:jc w:val="center"/>
            </w:pPr>
            <w:r>
              <w:rPr>
                <w:sz w:val="19"/>
                <w:szCs w:val="19"/>
                <w:rFonts w:ascii="Calibri" w:cs="Calibri" w:eastAsia="Calibri" w:hAnsi="Calibri"/>
              </w:rPr>
              <w:t xml:space="preserve">1.9</w:t>
            </w:r>
          </w:p>
        </w:tc>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Report the basis in the AGM pack</w:t>
            </w:r>
          </w:p>
        </w:tc>
        <w:tc>
          <w:tcPr>
            <w:tcW w:type="dxa" w:w="4680"/>
            <w:tcMar>
              <w:top w:type="dxa" w:w="60"/>
              <w:left w:type="dxa" w:w="90"/>
              <w:bottom w:type="dxa" w:w="60"/>
              <w:right w:type="dxa" w:w="90"/>
            </w:tcMar>
          </w:tcPr>
          <w:p>
            <w:pPr>
              <w:spacing w:after="0" w:line="260"/>
            </w:pPr>
            <w:r>
              <w:rPr>
                <w:sz w:val="19"/>
                <w:szCs w:val="19"/>
                <w:rFonts w:ascii="Calibri" w:cs="Calibri" w:eastAsia="Calibri" w:hAnsi="Calibri"/>
              </w:rPr>
              <w:t xml:space="preserve">Section 13 must name which figure the 15% was taken of, which reading was adopted and on whose advice, and that the result is a floor rather than a sufficiency assessment.</w:t>
            </w:r>
          </w:p>
        </w:tc>
      </w:tr>
      <w:tr>
        <w:trPr>
          <w:cantSplit/>
          <w:tblHeader w:val="false"/>
        </w:trPr>
        <w:tc>
          <w:tcPr>
            <w:tcW w:type="dxa" w:w="720"/>
            <w:shd w:fill="F2F2F2" w:val="clear"/>
            <w:tcMar>
              <w:top w:type="dxa" w:w="60"/>
              <w:left w:type="dxa" w:w="90"/>
              <w:bottom w:type="dxa" w:w="60"/>
              <w:right w:type="dxa" w:w="90"/>
            </w:tcMar>
          </w:tcPr>
          <w:p>
            <w:pPr>
              <w:spacing w:after="0" w:line="260"/>
              <w:jc w:val="center"/>
            </w:pPr>
            <w:r>
              <w:rPr>
                <w:sz w:val="19"/>
                <w:szCs w:val="19"/>
                <w:rFonts w:ascii="Calibri" w:cs="Calibri" w:eastAsia="Calibri" w:hAnsi="Calibri"/>
              </w:rPr>
              <w:t xml:space="preserve">1.10</w:t>
            </w:r>
          </w:p>
        </w:tc>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Record the opening designation with provenance</w:t>
            </w:r>
          </w:p>
        </w:tc>
        <w:tc>
          <w:tcPr>
            <w:tcW w:type="dxa" w:w="46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A contribution entry dated the day of the meeting, describing the transfer from accumulated administrative surplus and citing the resolution. A bare opening balance invites the question at the next AGM.</w:t>
            </w:r>
          </w:p>
        </w:tc>
      </w:tr>
    </w:tbl>
    <w:p>
      <w:pPr>
        <w:pStyle w:val="Heading2"/>
        <w:keepNext/>
        <w:spacing w:before="260" w:after="120"/>
      </w:pPr>
      <w:r>
        <w:rPr>
          <w:b/>
          <w:bCs/>
          <w:color w:val="1F3864"/>
          <w:sz w:val="24"/>
          <w:szCs w:val="24"/>
          <w:rFonts w:ascii="Calibri" w:cs="Calibri" w:eastAsia="Calibri" w:hAnsi="Calibri"/>
        </w:rPr>
        <w:t xml:space="preserve">8.3 Phase 2 — making the fund sufficient rather than merely lawful</w:t>
      </w:r>
    </w:p>
    <w:p>
      <w:pPr>
        <w:pStyle w:val="ListParagraph"/>
        <w:numPr>
          <w:ilvl w:val="0"/>
          <w:numId w:val="6"/>
        </w:numPr>
        <w:spacing w:after="100" w:line="276"/>
      </w:pPr>
      <w:r>
        <w:rPr>
          <w:sz w:val="20"/>
          <w:szCs w:val="20"/>
          <w:rFonts w:ascii="Calibri" w:cs="Calibri" w:eastAsia="Calibri" w:hAnsi="Calibri"/>
        </w:rPr>
        <w:t xml:space="preserve">Replacement costs populate the register, so fetchMaintenancePlan() produces a real annual provision per component and in total.</w:t>
      </w:r>
    </w:p>
    <w:p>
      <w:pPr>
        <w:pStyle w:val="ListParagraph"/>
        <w:numPr>
          <w:ilvl w:val="0"/>
          <w:numId w:val="6"/>
        </w:numPr>
        <w:spacing w:after="100" w:line="276"/>
      </w:pPr>
      <w:r>
        <w:rPr>
          <w:sz w:val="20"/>
          <w:szCs w:val="20"/>
          <w:rFonts w:ascii="Calibri" w:cs="Calibri" w:eastAsia="Calibri" w:hAnsi="Calibri"/>
        </w:rPr>
        <w:t xml:space="preserve">Compare that provision against the statutory floor. The higher of the two governs — Regulation 2's minimum does not discharge s3(1)(b).</w:t>
      </w:r>
    </w:p>
    <w:p>
      <w:pPr>
        <w:pStyle w:val="ListParagraph"/>
        <w:numPr>
          <w:ilvl w:val="0"/>
          <w:numId w:val="6"/>
        </w:numPr>
        <w:spacing w:after="100" w:line="276"/>
      </w:pPr>
      <w:r>
        <w:rPr>
          <w:sz w:val="20"/>
          <w:szCs w:val="20"/>
          <w:rFonts w:ascii="Calibri" w:cs="Calibri" w:eastAsia="Calibri" w:hAnsi="Calibri"/>
        </w:rPr>
        <w:t xml:space="preserve">Snapshot the plan the meeting adopts. PMR 22 compliance rests on what was approved, not on what the register says afterwards.</w:t>
      </w:r>
    </w:p>
    <w:p>
      <w:pPr>
        <w:pStyle w:val="ListParagraph"/>
        <w:numPr>
          <w:ilvl w:val="0"/>
          <w:numId w:val="6"/>
        </w:numPr>
        <w:spacing w:after="100" w:line="276"/>
      </w:pPr>
      <w:r>
        <w:rPr>
          <w:sz w:val="20"/>
          <w:szCs w:val="20"/>
          <w:rFonts w:ascii="Calibri" w:cs="Calibri" w:eastAsia="Calibri" w:hAnsi="Calibri"/>
        </w:rPr>
        <w:t xml:space="preserve">Once the separate account exists, decide under PMR 21 whether the balance sits in a call account or a fixed deposit.</w:t>
      </w:r>
    </w:p>
    <w:p>
      <w:pPr>
        <w:pStyle w:val="ListParagraph"/>
        <w:numPr>
          <w:ilvl w:val="0"/>
          <w:numId w:val="6"/>
        </w:numPr>
        <w:spacing w:after="100" w:line="276"/>
      </w:pPr>
      <w:r>
        <w:rPr>
          <w:sz w:val="20"/>
          <w:szCs w:val="20"/>
          <w:rFonts w:ascii="Calibri" w:cs="Calibri" w:eastAsia="Calibri" w:hAnsi="Calibri"/>
        </w:rPr>
        <w:t xml:space="preserve">Reassess at each AGM, and true the designation up before year end if actual contributions overshoot the budget.</w:t>
      </w:r>
    </w:p>
    <w:p>
      <w:pPr>
        <w:pStyle w:val="Heading2"/>
        <w:keepNext/>
        <w:spacing w:before="260" w:after="120"/>
      </w:pPr>
      <w:r>
        <w:rPr>
          <w:b/>
          <w:bCs/>
          <w:color w:val="1F3864"/>
          <w:sz w:val="24"/>
          <w:szCs w:val="24"/>
          <w:rFonts w:ascii="Calibri" w:cs="Calibri" w:eastAsia="Calibri" w:hAnsi="Calibri"/>
        </w:rPr>
        <w:t xml:space="preserve">8.4 Sequence to the September AGM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4320"/>
        <w:gridCol w:w="2700"/>
      </w:tblGrid>
      <w:tr>
        <w:trPr>
          <w:cantSplit/>
          <w:tblHeader/>
        </w:trPr>
        <w:tc>
          <w:tcPr>
            <w:tcW w:type="dxa" w:w="198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When</w:t>
            </w:r>
          </w:p>
        </w:tc>
        <w:tc>
          <w:tcPr>
            <w:tcW w:type="dxa" w:w="432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What</w:t>
            </w:r>
          </w:p>
        </w:tc>
        <w:tc>
          <w:tcPr>
            <w:tcW w:type="dxa" w:w="270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Depends on</w:t>
            </w:r>
          </w:p>
        </w:tc>
      </w:tr>
      <w:tr>
        <w:trPr>
          <w:cantSplit/>
          <w:tblHeader w:val="false"/>
        </w:trPr>
        <w:tc>
          <w:tcPr>
            <w:tcW w:type="dxa" w:w="1980"/>
            <w:tcMar>
              <w:top w:type="dxa" w:w="60"/>
              <w:left w:type="dxa" w:w="90"/>
              <w:bottom w:type="dxa" w:w="60"/>
              <w:right w:type="dxa" w:w="90"/>
            </w:tcMar>
          </w:tcPr>
          <w:p>
            <w:pPr>
              <w:spacing w:after="0" w:line="260"/>
            </w:pPr>
            <w:r>
              <w:rPr>
                <w:sz w:val="19"/>
                <w:szCs w:val="19"/>
                <w:rFonts w:ascii="Calibri" w:cs="Calibri" w:eastAsia="Calibri" w:hAnsi="Calibri"/>
              </w:rPr>
              <w:t xml:space="preserve">Immediately</w:t>
            </w:r>
          </w:p>
        </w:tc>
        <w:tc>
          <w:tcPr>
            <w:tcW w:type="dxa" w:w="4320"/>
            <w:tcMar>
              <w:top w:type="dxa" w:w="60"/>
              <w:left w:type="dxa" w:w="90"/>
              <w:bottom w:type="dxa" w:w="60"/>
              <w:right w:type="dxa" w:w="90"/>
            </w:tcMar>
          </w:tcPr>
          <w:p>
            <w:pPr>
              <w:spacing w:after="0" w:line="260"/>
            </w:pPr>
            <w:r>
              <w:rPr>
                <w:sz w:val="19"/>
                <w:szCs w:val="19"/>
                <w:rFonts w:ascii="Calibri" w:cs="Calibri" w:eastAsia="Calibri" w:hAnsi="Calibri"/>
              </w:rPr>
              <w:t xml:space="preserve">Accountant's ruling requested (0.1); costing exercise begun (0.2)</w:t>
            </w:r>
          </w:p>
        </w:tc>
        <w:tc>
          <w:tcPr>
            <w:tcW w:type="dxa" w:w="2700"/>
            <w:tcMar>
              <w:top w:type="dxa" w:w="60"/>
              <w:left w:type="dxa" w:w="90"/>
              <w:bottom w:type="dxa" w:w="60"/>
              <w:right w:type="dxa" w:w="90"/>
            </w:tcMar>
          </w:tcPr>
          <w:p>
            <w:pPr>
              <w:spacing w:after="0" w:line="260"/>
            </w:pPr>
            <w:r>
              <w:rPr>
                <w:sz w:val="19"/>
                <w:szCs w:val="19"/>
                <w:rFonts w:ascii="Calibri" w:cs="Calibri" w:eastAsia="Calibri" w:hAnsi="Calibri"/>
              </w:rPr>
              <w:t xml:space="preserve">—</w:t>
            </w:r>
          </w:p>
        </w:tc>
      </w:tr>
      <w:tr>
        <w:trPr>
          <w:cantSplit/>
          <w:tblHeader w:val="false"/>
        </w:trPr>
        <w:tc>
          <w:tcPr>
            <w:tcW w:type="dxa" w:w="19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Before the notice goes out</w:t>
            </w:r>
          </w:p>
        </w:tc>
        <w:tc>
          <w:tcPr>
            <w:tcW w:type="dxa" w:w="432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Option selected; designation amount fixed; resolutions drafted into the agenda</w:t>
            </w:r>
          </w:p>
        </w:tc>
        <w:tc>
          <w:tcPr>
            <w:tcW w:type="dxa" w:w="27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0.1</w:t>
            </w:r>
          </w:p>
        </w:tc>
      </w:tr>
      <w:tr>
        <w:trPr>
          <w:cantSplit/>
          <w:tblHeader w:val="false"/>
        </w:trPr>
        <w:tc>
          <w:tcPr>
            <w:tcW w:type="dxa" w:w="1980"/>
            <w:tcMar>
              <w:top w:type="dxa" w:w="60"/>
              <w:left w:type="dxa" w:w="90"/>
              <w:bottom w:type="dxa" w:w="60"/>
              <w:right w:type="dxa" w:w="90"/>
            </w:tcMar>
          </w:tcPr>
          <w:p>
            <w:pPr>
              <w:spacing w:after="0" w:line="260"/>
            </w:pPr>
            <w:r>
              <w:rPr>
                <w:sz w:val="19"/>
                <w:szCs w:val="19"/>
                <w:rFonts w:ascii="Calibri" w:cs="Calibri" w:eastAsia="Calibri" w:hAnsi="Calibri"/>
              </w:rPr>
              <w:t xml:space="preserve">Before the notice goes out</w:t>
            </w:r>
          </w:p>
        </w:tc>
        <w:tc>
          <w:tcPr>
            <w:tcW w:type="dxa" w:w="4320"/>
            <w:tcMar>
              <w:top w:type="dxa" w:w="60"/>
              <w:left w:type="dxa" w:w="90"/>
              <w:bottom w:type="dxa" w:w="60"/>
              <w:right w:type="dxa" w:w="90"/>
            </w:tcMar>
          </w:tcPr>
          <w:p>
            <w:pPr>
              <w:spacing w:after="0" w:line="260"/>
            </w:pPr>
            <w:r>
              <w:rPr>
                <w:sz w:val="19"/>
                <w:szCs w:val="19"/>
                <w:rFonts w:ascii="Calibri" w:cs="Calibri" w:eastAsia="Calibri" w:hAnsi="Calibri"/>
              </w:rPr>
              <w:t xml:space="preserve">App changes 1.1–1.5 so the pack reports the correct floor</w:t>
            </w:r>
          </w:p>
        </w:tc>
        <w:tc>
          <w:tcPr>
            <w:tcW w:type="dxa" w:w="2700"/>
            <w:tcMar>
              <w:top w:type="dxa" w:w="60"/>
              <w:left w:type="dxa" w:w="90"/>
              <w:bottom w:type="dxa" w:w="60"/>
              <w:right w:type="dxa" w:w="90"/>
            </w:tcMar>
          </w:tcPr>
          <w:p>
            <w:pPr>
              <w:spacing w:after="0" w:line="260"/>
            </w:pPr>
            <w:r>
              <w:rPr>
                <w:sz w:val="19"/>
                <w:szCs w:val="19"/>
                <w:rFonts w:ascii="Calibri" w:cs="Calibri" w:eastAsia="Calibri" w:hAnsi="Calibri"/>
              </w:rPr>
              <w:t xml:space="preserve">0.1</w:t>
            </w:r>
          </w:p>
        </w:tc>
      </w:tr>
      <w:tr>
        <w:trPr>
          <w:cantSplit/>
          <w:tblHeader w:val="false"/>
        </w:trPr>
        <w:tc>
          <w:tcPr>
            <w:tcW w:type="dxa" w:w="19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With the notice</w:t>
            </w:r>
          </w:p>
        </w:tc>
        <w:tc>
          <w:tcPr>
            <w:tcW w:type="dxa" w:w="432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AGM pack regenerated; basis and PMR 26(1)(b) gap disclosed (1.8, 1.9)</w:t>
            </w:r>
          </w:p>
        </w:tc>
        <w:tc>
          <w:tcPr>
            <w:tcW w:type="dxa" w:w="27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1.1–1.5</w:t>
            </w:r>
          </w:p>
        </w:tc>
      </w:tr>
      <w:tr>
        <w:trPr>
          <w:cantSplit/>
          <w:tblHeader w:val="false"/>
        </w:trPr>
        <w:tc>
          <w:tcPr>
            <w:tcW w:type="dxa" w:w="1980"/>
            <w:tcMar>
              <w:top w:type="dxa" w:w="60"/>
              <w:left w:type="dxa" w:w="90"/>
              <w:bottom w:type="dxa" w:w="60"/>
              <w:right w:type="dxa" w:w="90"/>
            </w:tcMar>
          </w:tcPr>
          <w:p>
            <w:pPr>
              <w:spacing w:after="0" w:line="260"/>
            </w:pPr>
            <w:r>
              <w:rPr>
                <w:sz w:val="19"/>
                <w:szCs w:val="19"/>
                <w:rFonts w:ascii="Calibri" w:cs="Calibri" w:eastAsia="Calibri" w:hAnsi="Calibri"/>
              </w:rPr>
              <w:t xml:space="preserve">At the meeting</w:t>
            </w:r>
          </w:p>
        </w:tc>
        <w:tc>
          <w:tcPr>
            <w:tcW w:type="dxa" w:w="4320"/>
            <w:tcMar>
              <w:top w:type="dxa" w:w="60"/>
              <w:left w:type="dxa" w:w="90"/>
              <w:bottom w:type="dxa" w:w="60"/>
              <w:right w:type="dxa" w:w="90"/>
            </w:tcMar>
          </w:tcPr>
          <w:p>
            <w:pPr>
              <w:spacing w:after="0" w:line="260"/>
            </w:pPr>
            <w:r>
              <w:rPr>
                <w:sz w:val="19"/>
                <w:szCs w:val="19"/>
                <w:rFonts w:ascii="Calibri" w:cs="Calibri" w:eastAsia="Calibri" w:hAnsi="Calibri"/>
              </w:rPr>
              <w:t xml:space="preserve">Resolutions put and carried</w:t>
            </w:r>
          </w:p>
        </w:tc>
        <w:tc>
          <w:tcPr>
            <w:tcW w:type="dxa" w:w="2700"/>
            <w:tcMar>
              <w:top w:type="dxa" w:w="60"/>
              <w:left w:type="dxa" w:w="90"/>
              <w:bottom w:type="dxa" w:w="60"/>
              <w:right w:type="dxa" w:w="90"/>
            </w:tcMar>
          </w:tcPr>
          <w:p>
            <w:pPr>
              <w:spacing w:after="0" w:line="260"/>
            </w:pPr>
            <w:r>
              <w:rPr>
                <w:sz w:val="19"/>
                <w:szCs w:val="19"/>
                <w:rFonts w:ascii="Calibri" w:cs="Calibri" w:eastAsia="Calibri" w:hAnsi="Calibri"/>
              </w:rPr>
              <w:t xml:space="preserve">all of the above</w:t>
            </w:r>
          </w:p>
        </w:tc>
      </w:tr>
      <w:tr>
        <w:trPr>
          <w:cantSplit/>
          <w:tblHeader w:val="false"/>
        </w:trPr>
        <w:tc>
          <w:tcPr>
            <w:tcW w:type="dxa" w:w="198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Within a week after</w:t>
            </w:r>
          </w:p>
        </w:tc>
        <w:tc>
          <w:tcPr>
            <w:tcW w:type="dxa" w:w="432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Ledger entry recorded (1.10); budget line restated; bank account application lodged (0.4)</w:t>
            </w:r>
          </w:p>
        </w:tc>
        <w:tc>
          <w:tcPr>
            <w:tcW w:type="dxa" w:w="27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the resolutions</w:t>
            </w:r>
          </w:p>
        </w:tc>
      </w:tr>
      <w:tr>
        <w:trPr>
          <w:cantSplit/>
          <w:tblHeader w:val="false"/>
        </w:trPr>
        <w:tc>
          <w:tcPr>
            <w:tcW w:type="dxa" w:w="1980"/>
            <w:tcMar>
              <w:top w:type="dxa" w:w="60"/>
              <w:left w:type="dxa" w:w="90"/>
              <w:bottom w:type="dxa" w:w="60"/>
              <w:right w:type="dxa" w:w="90"/>
            </w:tcMar>
          </w:tcPr>
          <w:p>
            <w:pPr>
              <w:spacing w:after="0" w:line="260"/>
            </w:pPr>
            <w:r>
              <w:rPr>
                <w:sz w:val="19"/>
                <w:szCs w:val="19"/>
                <w:rFonts w:ascii="Calibri" w:cs="Calibri" w:eastAsia="Calibri" w:hAnsi="Calibri"/>
              </w:rPr>
              <w:t xml:space="preserve">Before 31 July 2027</w:t>
            </w:r>
          </w:p>
        </w:tc>
        <w:tc>
          <w:tcPr>
            <w:tcW w:type="dxa" w:w="4320"/>
            <w:tcMar>
              <w:top w:type="dxa" w:w="60"/>
              <w:left w:type="dxa" w:w="90"/>
              <w:bottom w:type="dxa" w:w="60"/>
              <w:right w:type="dxa" w:w="90"/>
            </w:tcMar>
          </w:tcPr>
          <w:p>
            <w:pPr>
              <w:spacing w:after="0" w:line="260"/>
            </w:pPr>
            <w:r>
              <w:rPr>
                <w:sz w:val="19"/>
                <w:szCs w:val="19"/>
                <w:rFonts w:ascii="Calibri" w:cs="Calibri" w:eastAsia="Calibri" w:hAnsi="Calibri"/>
              </w:rPr>
              <w:t xml:space="preserve">Check actual contributions against budget; top up the designation if the 25% margin has narrowed</w:t>
            </w:r>
          </w:p>
        </w:tc>
        <w:tc>
          <w:tcPr>
            <w:tcW w:type="dxa" w:w="2700"/>
            <w:tcMar>
              <w:top w:type="dxa" w:w="60"/>
              <w:left w:type="dxa" w:w="90"/>
              <w:bottom w:type="dxa" w:w="60"/>
              <w:right w:type="dxa" w:w="90"/>
            </w:tcMar>
          </w:tcPr>
          <w:p>
            <w:pPr>
              <w:spacing w:after="0" w:line="260"/>
            </w:pPr>
            <w:r>
              <w:rPr>
                <w:sz w:val="19"/>
                <w:szCs w:val="19"/>
                <w:rFonts w:ascii="Calibri" w:cs="Calibri" w:eastAsia="Calibri" w:hAnsi="Calibri"/>
              </w:rPr>
              <w:t xml:space="preserve">a full year of actuals</w:t>
            </w:r>
          </w:p>
        </w:tc>
      </w:tr>
    </w:tbl>
    <w:p>
      <w:pPr>
        <w:pStyle w:val="Heading1"/>
        <w:keepNext/>
        <w:spacing w:before="360" w:after="160"/>
      </w:pPr>
      <w:r>
        <w:rPr>
          <w:b/>
          <w:bCs/>
          <w:color w:val="1F3864"/>
          <w:sz w:val="30"/>
          <w:szCs w:val="30"/>
          <w:rFonts w:ascii="Calibri" w:cs="Calibri" w:eastAsia="Calibri" w:hAnsi="Calibri"/>
        </w:rPr>
        <w:t xml:space="preserve">9. Risks and open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cantSplit/>
          <w:tblHeader/>
        </w:trPr>
        <w:tc>
          <w:tcPr>
            <w:tcW w:type="dxa" w:w="306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Risk</w:t>
            </w:r>
          </w:p>
        </w:tc>
        <w:tc>
          <w:tcPr>
            <w:tcW w:type="dxa" w:w="594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Note</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The 15% basis is unresolved</w:t>
            </w:r>
          </w:p>
        </w:tc>
        <w:tc>
          <w:tcPr>
            <w:tcW w:type="dxa" w:w="59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Levy-only R 22,502.39; all contributions R 40,018.43. s3(1)(f) defines contributions as quota-based, which points to levy-only; s3(1)(a)(ii) puts the council bill in the administrative fund, which points the other way. Option A sidesteps it, but the app must still pick a basis for the figure it reports.</w:t>
            </w:r>
          </w:p>
        </w:tc>
      </w:tr>
      <w:tr>
        <w:trPr>
          <w:cantSplit/>
          <w:tblHeader w:val="false"/>
        </w:trPr>
        <w:tc>
          <w:tcPr>
            <w:tcW w:type="dxa" w:w="306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Exactly 25% is in a drafting gap</w:t>
            </w:r>
          </w:p>
        </w:tc>
        <w:tc>
          <w:tcPr>
            <w:tcW w:type="dxa" w:w="594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Reg 2(a) is "less than 25%", 2(c) is "more than 25%". A balance of precisely 25% is caught by neither. Both recommended figures sit clear of the line.</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Transferring surplus between funds</w:t>
            </w:r>
          </w:p>
        </w:tc>
        <w:tc>
          <w:tcPr>
            <w:tcW w:type="dxa" w:w="59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Likely requires a members' resolution rather than a trustee decision. Put it on the agenda explicitly rather than treating it as administrative.</w:t>
            </w:r>
          </w:p>
        </w:tc>
      </w:tr>
      <w:tr>
        <w:trPr>
          <w:cantSplit/>
          <w:tblHeader w:val="false"/>
        </w:trPr>
        <w:tc>
          <w:tcPr>
            <w:tcW w:type="dxa" w:w="306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No separate bank account</w:t>
            </w:r>
          </w:p>
        </w:tc>
        <w:tc>
          <w:tcPr>
            <w:tcW w:type="dxa" w:w="594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A live non-compliance with PMR 26(1)(b) for as long as it persists. The app will state it rather than mask it.</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The floor may be well short of sufficient</w:t>
            </w:r>
          </w:p>
        </w:tc>
        <w:tc>
          <w:tcPr>
            <w:tcW w:type="dxa" w:w="59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Unknowable until the register is costed. A seven-unit scheme with an uncosted roof has no idea whether R 40,000 a year is generous or negligent.</w:t>
            </w:r>
          </w:p>
        </w:tc>
      </w:tr>
      <w:tr>
        <w:trPr>
          <w:cantSplit/>
          <w:tblHeader w:val="false"/>
        </w:trPr>
        <w:tc>
          <w:tcPr>
            <w:tcW w:type="dxa" w:w="306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Designating cash reduces operating headroom</w:t>
            </w:r>
          </w:p>
        </w:tc>
        <w:tc>
          <w:tcPr>
            <w:tcW w:type="dxa" w:w="594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From 9.3 months of cover to 6.2 under Option A, or 7.6 under Option B. Comfortable in both cases, but a real reduction and one to state to the meeting.</w:t>
            </w:r>
          </w:p>
        </w:tc>
      </w:tr>
      <w:tr>
        <w:trPr>
          <w:cantSplit/>
          <w:tblHeader w:val="false"/>
        </w:trPr>
        <w:tc>
          <w:tcPr>
            <w:tcW w:type="dxa" w:w="3060"/>
            <w:tcMar>
              <w:top w:type="dxa" w:w="60"/>
              <w:left w:type="dxa" w:w="90"/>
              <w:bottom w:type="dxa" w:w="60"/>
              <w:right w:type="dxa" w:w="90"/>
            </w:tcMar>
          </w:tcPr>
          <w:p>
            <w:pPr>
              <w:spacing w:after="0" w:line="260"/>
            </w:pPr>
            <w:r>
              <w:rPr>
                <w:b/>
                <w:bCs/>
                <w:sz w:val="19"/>
                <w:szCs w:val="19"/>
                <w:rFonts w:ascii="Calibri" w:cs="Calibri" w:eastAsia="Calibri" w:hAnsi="Calibri"/>
              </w:rPr>
              <w:t xml:space="preserve">The 25% test runs on actuals, not budget</w:t>
            </w:r>
          </w:p>
        </w:tc>
        <w:tc>
          <w:tcPr>
            <w:tcW w:type="dxa" w:w="5940"/>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FY 2027/2028's tier is set by FY 2026/2027 actual contributions. A material overshoot narrows the margin. Check before year end.</w:t>
            </w:r>
          </w:p>
        </w:tc>
      </w:tr>
      <w:tr>
        <w:trPr>
          <w:cantSplit/>
          <w:tblHeader w:val="false"/>
        </w:trPr>
        <w:tc>
          <w:tcPr>
            <w:tcW w:type="dxa" w:w="3060"/>
            <w:shd w:fill="F2F2F2" w:val="clear"/>
            <w:tcMar>
              <w:top w:type="dxa" w:w="60"/>
              <w:left w:type="dxa" w:w="90"/>
              <w:bottom w:type="dxa" w:w="60"/>
              <w:right w:type="dxa" w:w="90"/>
            </w:tcMar>
          </w:tcPr>
          <w:p>
            <w:pPr>
              <w:spacing w:after="0" w:line="260"/>
            </w:pPr>
            <w:r>
              <w:rPr>
                <w:b/>
                <w:bCs/>
                <w:sz w:val="19"/>
                <w:szCs w:val="19"/>
                <w:rFonts w:ascii="Calibri" w:cs="Calibri" w:eastAsia="Calibri" w:hAnsi="Calibri"/>
              </w:rPr>
              <w:t xml:space="preserve">Reserve funds must be invested securely (PMR 21)</w:t>
            </w:r>
          </w:p>
        </w:tc>
        <w:tc>
          <w:tcPr>
            <w:tcW w:type="dxa" w:w="5940"/>
            <w:shd w:fill="F2F2F2" w:val="clear"/>
            <w:tcMar>
              <w:top w:type="dxa" w:w="60"/>
              <w:left w:type="dxa" w:w="90"/>
              <w:bottom w:type="dxa" w:w="60"/>
              <w:right w:type="dxa" w:w="90"/>
            </w:tcMar>
          </w:tcPr>
          <w:p>
            <w:pPr>
              <w:spacing w:after="0" w:line="260"/>
            </w:pPr>
            <w:r>
              <w:rPr>
                <w:b w:val="false"/>
                <w:bCs w:val="false"/>
                <w:sz w:val="19"/>
                <w:szCs w:val="19"/>
                <w:rFonts w:ascii="Calibri" w:cs="Calibri" w:eastAsia="Calibri" w:hAnsi="Calibri"/>
              </w:rPr>
              <w:t xml:space="preserve">Once a separate account exists, choose between a call account and a fixed deposit. Out of scope here.</w:t>
            </w:r>
          </w:p>
        </w:tc>
      </w:tr>
    </w:tbl>
    <w:p>
      <w:pPr>
        <w:pStyle w:val="Heading1"/>
        <w:keepNext/>
        <w:spacing w:before="360" w:after="160"/>
      </w:pPr>
      <w:r>
        <w:rPr>
          <w:b/>
          <w:bCs/>
          <w:color w:val="1F3864"/>
          <w:sz w:val="30"/>
          <w:szCs w:val="30"/>
          <w:rFonts w:ascii="Calibri" w:cs="Calibri" w:eastAsia="Calibri" w:hAnsi="Calibri"/>
        </w:rPr>
        <w:t xml:space="preserve">10. Draft resolutions</w:t>
      </w:r>
    </w:p>
    <w:p>
      <w:pPr>
        <w:spacing w:after="120" w:line="276"/>
      </w:pPr>
      <w:r>
        <w:rPr>
          <w:sz w:val="20"/>
          <w:szCs w:val="20"/>
          <w:rFonts w:ascii="Calibri" w:cs="Calibri" w:eastAsia="Calibri" w:hAnsi="Calibri"/>
        </w:rPr>
        <w:t xml:space="preserve">Resolutions 1, 3, 4 and 5 are common to both options. Resolution 2 is the one that changes; both wordings are given below so the meeting can be presented with whichever option the trustees adopt. Delete the wording that does not apply before the notice goes out.</w:t>
      </w:r>
    </w:p>
    <w:p>
      <w:pPr>
        <w:spacing w:after="120" w:line="276"/>
        <w:ind w:left="460" w:hanging="300"/>
      </w:pPr>
      <w:r>
        <w:rPr>
          <w:b/>
          <w:bCs/>
          <w:sz w:val="20"/>
          <w:szCs w:val="20"/>
          <w:rFonts w:ascii="Calibri" w:cs="Calibri" w:eastAsia="Calibri" w:hAnsi="Calibri"/>
        </w:rPr>
        <w:t xml:space="preserve">1.  </w:t>
      </w:r>
      <w:r>
        <w:rPr>
          <w:sz w:val="20"/>
          <w:szCs w:val="20"/>
          <w:rFonts w:ascii="Calibri" w:cs="Calibri" w:eastAsia="Calibri" w:hAnsi="Calibri"/>
        </w:rPr>
        <w:t xml:space="preserve">That the body corporate establish a reserve fund in terms of s3(1)(b) of the Sectional Titles Schemes Management Act with effect from 1 September 2026.</w:t>
      </w:r>
    </w:p>
    <w:p>
      <w:pPr>
        <w:pStyle w:val="Heading3"/>
        <w:keepNext/>
        <w:spacing w:before="200" w:after="100"/>
      </w:pPr>
      <w:r>
        <w:rPr>
          <w:b/>
          <w:bCs/>
          <w:color w:val="333333"/>
          <w:sz w:val="21"/>
          <w:szCs w:val="21"/>
          <w:rFonts w:ascii="Calibri" w:cs="Calibri" w:eastAsia="Calibri" w:hAnsi="Calibri"/>
        </w:rPr>
        <w:t xml:space="preserve">Resolution 2 — adopt ONE of the two wordings</w:t>
      </w:r>
    </w:p>
    <w:p>
      <w:pPr>
        <w:spacing w:after="120" w:line="276"/>
        <w:ind w:left="460" w:hanging="300"/>
      </w:pPr>
      <w:r>
        <w:rPr>
          <w:b/>
          <w:bCs/>
          <w:sz w:val="20"/>
          <w:szCs w:val="20"/>
          <w:rFonts w:ascii="Calibri" w:cs="Calibri" w:eastAsia="Calibri" w:hAnsi="Calibri"/>
        </w:rPr>
        <w:t xml:space="preserve">2A.  </w:t>
      </w:r>
      <w:r>
        <w:rPr>
          <w:sz w:val="20"/>
          <w:szCs w:val="20"/>
          <w:rFonts w:ascii="Calibri" w:cs="Calibri" w:eastAsia="Calibri" w:hAnsi="Calibri"/>
        </w:rPr>
        <w:t xml:space="preserve">That R 70,000.00 be transferred from accumulated administrative funds to the reserve fund, exceeding the minimum prescribed by Regulation 2 for FY 2026/2027 on any reading of "contribution to the administrative fund", and placing the fund above 25% of annual contributions at year end.</w:t>
      </w:r>
    </w:p>
    <w:p>
      <w:pPr>
        <w:spacing w:after="120" w:line="276"/>
        <w:ind w:left="460" w:hanging="300"/>
      </w:pPr>
      <w:r>
        <w:rPr>
          <w:b/>
          <w:bCs/>
          <w:sz w:val="20"/>
          <w:szCs w:val="20"/>
          <w:rFonts w:ascii="Calibri" w:cs="Calibri" w:eastAsia="Calibri" w:hAnsi="Calibri"/>
        </w:rPr>
        <w:t xml:space="preserve">2B.  </w:t>
      </w:r>
      <w:r>
        <w:rPr>
          <w:sz w:val="20"/>
          <w:szCs w:val="20"/>
          <w:rFonts w:ascii="Calibri" w:cs="Calibri" w:eastAsia="Calibri" w:hAnsi="Calibri"/>
        </w:rPr>
        <w:t xml:space="preserve">That R 40,500.00 be transferred from accumulated administrative funds to the reserve fund, being in excess of the minimum prescribed by Regulation 2 for FY 2026/2027 calculated on budgeted levy contributions of R 150,015.96, and placing the fund above 25% of those contributions at year end.</w:t>
      </w:r>
    </w:p>
    <w:p>
      <w:pPr>
        <w:spacing w:after="120" w:line="276"/>
        <w:ind w:left="460" w:hanging="300"/>
      </w:pPr>
      <w:r>
        <w:rPr>
          <w:b/>
          <w:bCs/>
          <w:sz w:val="20"/>
          <w:szCs w:val="20"/>
          <w:rFonts w:ascii="Calibri" w:cs="Calibri" w:eastAsia="Calibri" w:hAnsi="Calibri"/>
        </w:rPr>
        <w:t xml:space="preserve">3.  </w:t>
      </w:r>
      <w:r>
        <w:rPr>
          <w:sz w:val="20"/>
          <w:szCs w:val="20"/>
          <w:rFonts w:ascii="Calibri" w:cs="Calibri" w:eastAsia="Calibri" w:hAnsi="Calibri"/>
        </w:rPr>
        <w:t xml:space="preserve">That the reserve fund contribution for FY 2026/2027 be recorded as a designation of existing funds and not recovered by an increase in levies.</w:t>
      </w:r>
    </w:p>
    <w:p>
      <w:pPr>
        <w:spacing w:after="120" w:line="276"/>
        <w:ind w:left="460" w:hanging="300"/>
      </w:pPr>
      <w:r>
        <w:rPr>
          <w:b/>
          <w:bCs/>
          <w:sz w:val="20"/>
          <w:szCs w:val="20"/>
          <w:rFonts w:ascii="Calibri" w:cs="Calibri" w:eastAsia="Calibri" w:hAnsi="Calibri"/>
        </w:rPr>
        <w:t xml:space="preserve">4.  </w:t>
      </w:r>
      <w:r>
        <w:rPr>
          <w:sz w:val="20"/>
          <w:szCs w:val="20"/>
          <w:rFonts w:ascii="Calibri" w:cs="Calibri" w:eastAsia="Calibri" w:hAnsi="Calibri"/>
        </w:rPr>
        <w:t xml:space="preserve">That the trustees open a separate bank account for the reserve fund as required by PMR 26(1)(b), and report to the next annual general meeting on having done so.</w:t>
      </w:r>
    </w:p>
    <w:p>
      <w:pPr>
        <w:spacing w:after="120" w:line="276"/>
        <w:ind w:left="460" w:hanging="300"/>
      </w:pPr>
      <w:r>
        <w:rPr>
          <w:b/>
          <w:bCs/>
          <w:sz w:val="20"/>
          <w:szCs w:val="20"/>
          <w:rFonts w:ascii="Calibri" w:cs="Calibri" w:eastAsia="Calibri" w:hAnsi="Calibri"/>
        </w:rPr>
        <w:t xml:space="preserve">5.  </w:t>
      </w:r>
      <w:r>
        <w:rPr>
          <w:sz w:val="20"/>
          <w:szCs w:val="20"/>
          <w:rFonts w:ascii="Calibri" w:cs="Calibri" w:eastAsia="Calibri" w:hAnsi="Calibri"/>
        </w:rPr>
        <w:t xml:space="preserve">That the trustees complete replacement costings for all 24 registered components and present a PMR 22 maintenance, repair and replacement plan for approval at the next annual general meeting.</w:t>
      </w:r>
    </w:p>
    <w:p>
      <w:pPr>
        <w:pStyle w:val="Heading1"/>
        <w:keepNext/>
        <w:spacing w:before="360" w:after="160"/>
      </w:pPr>
      <w:r>
        <w:rPr>
          <w:b/>
          <w:bCs/>
          <w:color w:val="1F3864"/>
          <w:sz w:val="30"/>
          <w:szCs w:val="30"/>
          <w:rFonts w:ascii="Calibri" w:cs="Calibri" w:eastAsia="Calibri" w:hAnsi="Calibri"/>
        </w:rPr>
        <w:t xml:space="preserve">Appendix — figures and where they come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240"/>
      </w:tblGrid>
      <w:tr>
        <w:trPr>
          <w:cantSplit/>
          <w:tblHeader/>
        </w:trPr>
        <w:tc>
          <w:tcPr>
            <w:tcW w:type="dxa" w:w="360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Figure</w:t>
            </w:r>
          </w:p>
        </w:tc>
        <w:tc>
          <w:tcPr>
            <w:tcW w:type="dxa" w:w="2160"/>
            <w:shd w:fill="1F3864" w:val="clear"/>
            <w:tcMar>
              <w:top w:type="dxa" w:w="60"/>
              <w:left w:type="dxa" w:w="90"/>
              <w:bottom w:type="dxa" w:w="60"/>
              <w:right w:type="dxa" w:w="90"/>
            </w:tcMar>
          </w:tcPr>
          <w:p>
            <w:pPr>
              <w:spacing w:after="0" w:line="260"/>
              <w:jc w:val="right"/>
            </w:pPr>
            <w:r>
              <w:rPr>
                <w:b/>
                <w:bCs/>
                <w:color w:val="FFFFFF"/>
                <w:sz w:val="19"/>
                <w:szCs w:val="19"/>
                <w:rFonts w:ascii="Calibri" w:cs="Calibri" w:eastAsia="Calibri" w:hAnsi="Calibri"/>
              </w:rPr>
              <w:t xml:space="preserve">Amount</w:t>
            </w:r>
          </w:p>
        </w:tc>
        <w:tc>
          <w:tcPr>
            <w:tcW w:type="dxa" w:w="3240"/>
            <w:shd w:fill="1F3864" w:val="clear"/>
            <w:tcMar>
              <w:top w:type="dxa" w:w="60"/>
              <w:left w:type="dxa" w:w="90"/>
              <w:bottom w:type="dxa" w:w="60"/>
              <w:right w:type="dxa" w:w="90"/>
            </w:tcMar>
          </w:tcPr>
          <w:p>
            <w:pPr>
              <w:spacing w:after="0" w:line="260"/>
              <w:jc w:val="left"/>
            </w:pPr>
            <w:r>
              <w:rPr>
                <w:b/>
                <w:bCs/>
                <w:color w:val="FFFFFF"/>
                <w:sz w:val="19"/>
                <w:szCs w:val="19"/>
                <w:rFonts w:ascii="Calibri" w:cs="Calibri" w:eastAsia="Calibri" w:hAnsi="Calibri"/>
              </w:rPr>
              <w:t xml:space="preserve">Source</w:t>
            </w:r>
          </w:p>
        </w:tc>
      </w:tr>
      <w:tr>
        <w:trPr>
          <w:cantSplit/>
          <w:tblHeader w:val="false"/>
        </w:trPr>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Levy grid, FY 2026/2027</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R 150 015.96</w:t>
            </w:r>
          </w:p>
        </w:tc>
        <w:tc>
          <w:tcPr>
            <w:tcW w:type="dxa" w:w="3240"/>
            <w:tcMar>
              <w:top w:type="dxa" w:w="60"/>
              <w:left w:type="dxa" w:w="90"/>
              <w:bottom w:type="dxa" w:w="60"/>
              <w:right w:type="dxa" w:w="90"/>
            </w:tcMar>
          </w:tcPr>
          <w:p>
            <w:pPr>
              <w:spacing w:after="0" w:line="260"/>
            </w:pPr>
            <w:r>
              <w:rPr>
                <w:sz w:val="19"/>
                <w:szCs w:val="19"/>
                <w:rFonts w:ascii="Calibri" w:cs="Calibri" w:eastAsia="Calibri" w:hAnsi="Calibri"/>
              </w:rPr>
              <w:t xml:space="preserve">Captured FY 2026/2027 levy grid — R12,501.33/month across seven units</w:t>
            </w:r>
          </w:p>
        </w:tc>
      </w:tr>
      <w:tr>
        <w:trPr>
          <w:cantSplit/>
          <w:tblHeader w:val="false"/>
        </w:trPr>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Metered water recovered</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22 417.03</w:t>
            </w:r>
          </w:p>
        </w:tc>
        <w:tc>
          <w:tcPr>
            <w:tcW w:type="dxa" w:w="324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Water projection, R19,493.07 excl VAT plus VAT</w:t>
            </w:r>
          </w:p>
        </w:tc>
      </w:tr>
      <w:tr>
        <w:trPr>
          <w:cantSplit/>
          <w:tblHeader w:val="false"/>
        </w:trPr>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Metered electricity recovered</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R 94 356.57</w:t>
            </w:r>
          </w:p>
        </w:tc>
        <w:tc>
          <w:tcPr>
            <w:tcW w:type="dxa" w:w="3240"/>
            <w:tcMar>
              <w:top w:type="dxa" w:w="60"/>
              <w:left w:type="dxa" w:w="90"/>
              <w:bottom w:type="dxa" w:w="60"/>
              <w:right w:type="dxa" w:w="90"/>
            </w:tcMar>
          </w:tcPr>
          <w:p>
            <w:pPr>
              <w:spacing w:after="0" w:line="260"/>
            </w:pPr>
            <w:r>
              <w:rPr>
                <w:sz w:val="19"/>
                <w:szCs w:val="19"/>
                <w:rFonts w:ascii="Calibri" w:cs="Calibri" w:eastAsia="Calibri" w:hAnsi="Calibri"/>
              </w:rPr>
              <w:t xml:space="preserve">29,199 kWh at R2.81 plus VAT</w:t>
            </w:r>
          </w:p>
        </w:tc>
      </w:tr>
      <w:tr>
        <w:trPr>
          <w:cantSplit/>
          <w:tblHeader w:val="false"/>
        </w:trPr>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Total owner contributions</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266 789.56</w:t>
            </w:r>
          </w:p>
        </w:tc>
        <w:tc>
          <w:tcPr>
            <w:tcW w:type="dxa" w:w="324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Sum of the three lines above; excludes interest</w:t>
            </w:r>
          </w:p>
        </w:tc>
      </w:tr>
      <w:tr>
        <w:trPr>
          <w:cantSplit/>
          <w:tblHeader w:val="false"/>
        </w:trPr>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Interest on credit balance</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R 10 137.31</w:t>
            </w:r>
          </w:p>
        </w:tc>
        <w:tc>
          <w:tcPr>
            <w:tcW w:type="dxa" w:w="3240"/>
            <w:tcMar>
              <w:top w:type="dxa" w:w="60"/>
              <w:left w:type="dxa" w:w="90"/>
              <w:bottom w:type="dxa" w:w="60"/>
              <w:right w:type="dxa" w:w="90"/>
            </w:tcMar>
          </w:tcPr>
          <w:p>
            <w:pPr>
              <w:spacing w:after="0" w:line="260"/>
            </w:pPr>
            <w:r>
              <w:rPr>
                <w:sz w:val="19"/>
                <w:szCs w:val="19"/>
                <w:rFonts w:ascii="Calibri" w:cs="Calibri" w:eastAsia="Calibri" w:hAnsi="Calibri"/>
              </w:rPr>
              <w:t xml:space="preserve">95% of FY 2025/2026, allowing for a drawn-down balance. Not a contribution.</w:t>
            </w:r>
          </w:p>
        </w:tc>
      </w:tr>
      <w:tr>
        <w:trPr>
          <w:cantSplit/>
          <w:tblHeader w:val="false"/>
        </w:trPr>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Budgeted administrative expenditure</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270 617.34</w:t>
            </w:r>
          </w:p>
        </w:tc>
        <w:tc>
          <w:tcPr>
            <w:tcW w:type="dxa" w:w="324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budget_lines, FY 2026/2027</w:t>
            </w:r>
          </w:p>
        </w:tc>
      </w:tr>
      <w:tr>
        <w:trPr>
          <w:cantSplit/>
          <w:tblHeader w:val="false"/>
        </w:trPr>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Budgeted R&amp;M to common property</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R 8 000.00</w:t>
            </w:r>
          </w:p>
        </w:tc>
        <w:tc>
          <w:tcPr>
            <w:tcW w:type="dxa" w:w="3240"/>
            <w:tcMar>
              <w:top w:type="dxa" w:w="60"/>
              <w:left w:type="dxa" w:w="90"/>
              <w:bottom w:type="dxa" w:w="60"/>
              <w:right w:type="dxa" w:w="90"/>
            </w:tcMar>
          </w:tcPr>
          <w:p>
            <w:pPr>
              <w:spacing w:after="0" w:line="260"/>
            </w:pPr>
            <w:r>
              <w:rPr>
                <w:sz w:val="19"/>
                <w:szCs w:val="19"/>
                <w:rFonts w:ascii="Calibri" w:cs="Calibri" w:eastAsia="Calibri" w:hAnsi="Calibri"/>
              </w:rPr>
              <w:t xml:space="preserve">budget_lines — flagged as an assumption; FY 2025/2026 actual was R4,116.75</w:t>
            </w:r>
          </w:p>
        </w:tc>
      </w:tr>
      <w:tr>
        <w:trPr>
          <w:cantSplit/>
          <w:tblHeader w:val="false"/>
        </w:trPr>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Cash held at 1 August 2026</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210 844.15</w:t>
            </w:r>
          </w:p>
        </w:tc>
        <w:tc>
          <w:tcPr>
            <w:tcW w:type="dxa" w:w="324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budget_meta opening cash</w:t>
            </w:r>
          </w:p>
        </w:tc>
      </w:tr>
      <w:tr>
        <w:trPr>
          <w:cantSplit/>
          <w:tblHeader w:val="false"/>
        </w:trPr>
        <w:tc>
          <w:tcPr>
            <w:tcW w:type="dxa" w:w="3600"/>
            <w:tcMar>
              <w:top w:type="dxa" w:w="60"/>
              <w:left w:type="dxa" w:w="90"/>
              <w:bottom w:type="dxa" w:w="60"/>
              <w:right w:type="dxa" w:w="90"/>
            </w:tcMar>
          </w:tcPr>
          <w:p>
            <w:pPr>
              <w:spacing w:after="0" w:line="260"/>
            </w:pPr>
            <w:r>
              <w:rPr>
                <w:sz w:val="19"/>
                <w:szCs w:val="19"/>
                <w:rFonts w:ascii="Calibri" w:cs="Calibri" w:eastAsia="Calibri" w:hAnsi="Calibri"/>
              </w:rPr>
              <w:t xml:space="preserve">Monthly operating cost used for cover</w:t>
            </w:r>
          </w:p>
        </w:tc>
        <w:tc>
          <w:tcPr>
            <w:tcW w:type="dxa" w:w="2160"/>
            <w:tcMar>
              <w:top w:type="dxa" w:w="60"/>
              <w:left w:type="dxa" w:w="90"/>
              <w:bottom w:type="dxa" w:w="60"/>
              <w:right w:type="dxa" w:w="90"/>
            </w:tcMar>
          </w:tcPr>
          <w:p>
            <w:pPr>
              <w:spacing w:after="0" w:line="260"/>
              <w:jc w:val="right"/>
            </w:pPr>
            <w:r>
              <w:rPr>
                <w:sz w:val="19"/>
                <w:szCs w:val="19"/>
                <w:rFonts w:ascii="Calibri" w:cs="Calibri" w:eastAsia="Calibri" w:hAnsi="Calibri"/>
              </w:rPr>
              <w:t xml:space="preserve">R 22 551.45</w:t>
            </w:r>
          </w:p>
        </w:tc>
        <w:tc>
          <w:tcPr>
            <w:tcW w:type="dxa" w:w="3240"/>
            <w:tcMar>
              <w:top w:type="dxa" w:w="60"/>
              <w:left w:type="dxa" w:w="90"/>
              <w:bottom w:type="dxa" w:w="60"/>
              <w:right w:type="dxa" w:w="90"/>
            </w:tcMar>
          </w:tcPr>
          <w:p>
            <w:pPr>
              <w:spacing w:after="0" w:line="260"/>
            </w:pPr>
            <w:r>
              <w:rPr>
                <w:sz w:val="19"/>
                <w:szCs w:val="19"/>
                <w:rFonts w:ascii="Calibri" w:cs="Calibri" w:eastAsia="Calibri" w:hAnsi="Calibri"/>
              </w:rPr>
              <w:t xml:space="preserve">Budgeted administrative expenditure ÷ 12</w:t>
            </w:r>
          </w:p>
        </w:tc>
      </w:tr>
      <w:tr>
        <w:trPr>
          <w:cantSplit/>
          <w:tblHeader w:val="false"/>
        </w:trPr>
        <w:tc>
          <w:tcPr>
            <w:tcW w:type="dxa" w:w="360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Reserve fund balance</w:t>
            </w:r>
          </w:p>
        </w:tc>
        <w:tc>
          <w:tcPr>
            <w:tcW w:type="dxa" w:w="2160"/>
            <w:shd w:fill="F2F2F2" w:val="clear"/>
            <w:tcMar>
              <w:top w:type="dxa" w:w="60"/>
              <w:left w:type="dxa" w:w="90"/>
              <w:bottom w:type="dxa" w:w="60"/>
              <w:right w:type="dxa" w:w="90"/>
            </w:tcMar>
          </w:tcPr>
          <w:p>
            <w:pPr>
              <w:spacing w:after="0" w:line="260"/>
              <w:jc w:val="right"/>
            </w:pPr>
            <w:r>
              <w:rPr>
                <w:sz w:val="19"/>
                <w:szCs w:val="19"/>
                <w:rFonts w:ascii="Calibri" w:cs="Calibri" w:eastAsia="Calibri" w:hAnsi="Calibri"/>
              </w:rPr>
              <w:t xml:space="preserve">R 0.00</w:t>
            </w:r>
          </w:p>
        </w:tc>
        <w:tc>
          <w:tcPr>
            <w:tcW w:type="dxa" w:w="3240"/>
            <w:shd w:fill="F2F2F2" w:val="clear"/>
            <w:tcMar>
              <w:top w:type="dxa" w:w="60"/>
              <w:left w:type="dxa" w:w="90"/>
              <w:bottom w:type="dxa" w:w="60"/>
              <w:right w:type="dxa" w:w="90"/>
            </w:tcMar>
          </w:tcPr>
          <w:p>
            <w:pPr>
              <w:spacing w:after="0" w:line="260"/>
            </w:pPr>
            <w:r>
              <w:rPr>
                <w:sz w:val="19"/>
                <w:szCs w:val="19"/>
                <w:rFonts w:ascii="Calibri" w:cs="Calibri" w:eastAsia="Calibri" w:hAnsi="Calibri"/>
              </w:rPr>
              <w:t xml:space="preserve">reserve_fund_entries — no rows</w:t>
            </w:r>
          </w:p>
        </w:tc>
      </w:tr>
    </w:tbl>
    <w:p>
      <w:pPr>
        <w:spacing w:after="120" w:line="276"/>
      </w:pPr>
      <w:r>
        <w:rPr>
          <w:i/>
          <w:iCs/>
          <w:sz w:val="18"/>
          <w:szCs w:val="18"/>
          <w:rFonts w:ascii="Calibri" w:cs="Calibri" w:eastAsia="Calibri" w:hAnsi="Calibri"/>
        </w:rPr>
        <w:t xml:space="preserve">Per-unit-per-month figures divide by 84 (seven units × twelve months) and are indicative of scale only; no option in this plan levies anything on owners.</w:t>
      </w:r>
    </w:p>
    <w:p>
      <w:pPr>
        <w:spacing w:after="120" w:line="276"/>
      </w:pPr>
      <w:r>
        <w:rPr>
          <w:sz w:val="18"/>
          <w:szCs w:val="18"/>
          <w:rFonts w:ascii="Calibri" w:cs="Calibri" w:eastAsia="Calibri" w:hAnsi="Calibri"/>
        </w:rPr>
        <w:t xml:space="preserve">Data sources: reserve_fund_entries, assets, budget_lines and budget_meta in Supabase; docs/reserve-fund-implementation-plan.md; docs/budget-FY2026-2027.md; El-Corazon-Project-Summary.md sessions 12, 15 and 20. Legal position verified against Regulation 2 and STSMA s3 as published on source.acts.co.za.</w:t>
      </w:r>
    </w:p>
    <w:sectPr>
      <w:footerReference w:type="default" r:id="rId6"/>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Fonts w:ascii="Calibri" w:cs="Calibri" w:eastAsia="Calibri" w:hAnsi="Calibri"/>
      </w:rPr>
      <w:t xml:space="preserve">El Corazon Body Corporate — Reserve Fund Working Plan · 11 August 2026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2026-08-11T15:22:16.214Z</dcterms:created>
  <dcterms:modified xsi:type="dcterms:W3CDTF">2026-08-11T15:22:16.214Z</dcterms:modified>
</cp:coreProperties>
</file>

<file path=docProps/custom.xml><?xml version="1.0" encoding="utf-8"?>
<Properties xmlns="http://schemas.openxmlformats.org/officeDocument/2006/custom-properties" xmlns:vt="http://schemas.openxmlformats.org/officeDocument/2006/docPropsVTypes"/>
</file>