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数据采集和清洗小组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eastAsia" w:eastAsia="宋体"/>
                <w:color w:val="0F243E"/>
                <w:lang w:val="en-US" w:eastAsia="zh-CN"/>
              </w:rPr>
            </w:pPr>
            <w:r>
              <w:rPr>
                <w:rFonts w:hint="eastAsia"/>
                <w:color w:val="0F243E"/>
                <w:lang w:val="en-US" w:eastAsia="zh-CN"/>
              </w:rPr>
              <w:t>钟倩如</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eastAsia" w:eastAsia="宋体"/>
                <w:color w:val="0F243E"/>
                <w:lang w:val="en-US" w:eastAsia="zh-CN"/>
              </w:rPr>
            </w:pPr>
            <w:r>
              <w:rPr>
                <w:rFonts w:hint="eastAsia"/>
                <w:color w:val="0F243E"/>
                <w:lang w:val="en-US" w:eastAsia="zh-CN"/>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091182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09118204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rPr>
                <w:rFonts w:hint="eastAsia" w:eastAsia="宋体"/>
                <w:lang w:val="en-US" w:eastAsia="zh-CN"/>
              </w:rPr>
            </w:pPr>
            <w:r>
              <w:t>2020.8.31-2020.9.2</w:t>
            </w:r>
            <w:r>
              <w:rPr>
                <w:rFonts w:hint="eastAsia"/>
                <w:lang w:val="en-US" w:eastAsia="zh-CN"/>
              </w:rPr>
              <w:t>7</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58" w:hRule="atLeast"/>
        </w:trPr>
        <w:tc>
          <w:tcPr>
            <w:tcW w:w="8949" w:type="dxa"/>
            <w:gridSpan w:val="8"/>
            <w:tcBorders>
              <w:top w:val="single" w:color="auto" w:sz="12" w:space="0"/>
            </w:tcBorders>
          </w:tcPr>
          <w:p>
            <w:pPr>
              <w:numPr>
                <w:ilvl w:val="0"/>
                <w:numId w:val="1"/>
              </w:numPr>
              <w:spacing w:before="120"/>
              <w:rPr>
                <w:b/>
                <w:szCs w:val="21"/>
              </w:rPr>
            </w:pPr>
            <w:r>
              <w:rPr>
                <w:b/>
                <w:szCs w:val="21"/>
              </w:rPr>
              <w:t>实验背景和目的</w:t>
            </w:r>
          </w:p>
          <w:p>
            <w:pPr>
              <w:numPr>
                <w:ilvl w:val="0"/>
                <w:numId w:val="0"/>
              </w:numPr>
              <w:spacing w:before="120"/>
              <w:rPr>
                <w:rFonts w:hint="eastAsia"/>
                <w:szCs w:val="21"/>
                <w:lang w:val="en-US" w:eastAsia="zh-CN"/>
              </w:rPr>
            </w:pPr>
            <w:r>
              <w:rPr>
                <w:rFonts w:hint="eastAsia"/>
                <w:szCs w:val="21"/>
                <w:lang w:val="en-US" w:eastAsia="zh-CN"/>
              </w:rPr>
              <w:t>2020年高考落幕，设计一个基于web的高考志愿推荐系统，让同学们能对自己的分数线可以达标的学校和专业有更多了解和选择。（原定于2020年7月开展实验项目，因为学校时间安排原因，9月才开始。）</w:t>
            </w:r>
          </w:p>
          <w:p>
            <w:pPr>
              <w:numPr>
                <w:ilvl w:val="0"/>
                <w:numId w:val="0"/>
              </w:numPr>
              <w:spacing w:before="120"/>
              <w:rPr>
                <w:rFonts w:hint="default"/>
                <w:szCs w:val="21"/>
                <w:lang w:val="en-US" w:eastAsia="zh-CN"/>
              </w:rPr>
            </w:pPr>
          </w:p>
          <w:p>
            <w:pPr>
              <w:numPr>
                <w:ilvl w:val="0"/>
                <w:numId w:val="0"/>
              </w:numPr>
              <w:spacing w:before="120"/>
              <w:rPr>
                <w:rFonts w:hint="default"/>
                <w:szCs w:val="21"/>
                <w:lang w:val="en-US" w:eastAsia="zh-CN"/>
              </w:rPr>
            </w:pPr>
          </w:p>
          <w:p>
            <w:pPr>
              <w:numPr>
                <w:ilvl w:val="0"/>
                <w:numId w:val="0"/>
              </w:numPr>
              <w:spacing w:before="120"/>
              <w:rPr>
                <w:rFonts w:hint="default"/>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43" w:hRule="atLeast"/>
        </w:trPr>
        <w:tc>
          <w:tcPr>
            <w:tcW w:w="8949" w:type="dxa"/>
            <w:gridSpan w:val="8"/>
          </w:tcPr>
          <w:p>
            <w:pPr>
              <w:spacing w:before="120"/>
              <w:rPr>
                <w:b/>
                <w:szCs w:val="21"/>
              </w:rPr>
            </w:pPr>
            <w:r>
              <w:rPr>
                <w:b/>
                <w:szCs w:val="21"/>
              </w:rPr>
              <w:t>二、小组任务和个人任务</w:t>
            </w:r>
          </w:p>
          <w:p>
            <w:pPr>
              <w:ind w:right="340"/>
              <w:rPr>
                <w:rFonts w:hint="eastAsia"/>
                <w:szCs w:val="21"/>
                <w:lang w:val="en-US" w:eastAsia="zh-CN"/>
              </w:rPr>
            </w:pPr>
            <w:r>
              <w:rPr>
                <w:rFonts w:hint="eastAsia"/>
                <w:szCs w:val="21"/>
                <w:lang w:val="en-US" w:eastAsia="zh-CN"/>
              </w:rPr>
              <w:t>小组任务：至少收集近三年（2019、2018、2017）各所高校的录取分数线，并进行数据清洗，转化为统一的格式，剔除无用数据，向其他各组提供数据来源。</w:t>
            </w:r>
          </w:p>
          <w:p>
            <w:pPr>
              <w:ind w:right="340"/>
              <w:rPr>
                <w:rFonts w:hint="eastAsia"/>
                <w:szCs w:val="21"/>
                <w:lang w:val="en-US" w:eastAsia="zh-CN"/>
              </w:rPr>
            </w:pPr>
            <w:r>
              <w:rPr>
                <w:rFonts w:hint="eastAsia"/>
                <w:szCs w:val="21"/>
                <w:lang w:val="en-US" w:eastAsia="zh-CN"/>
              </w:rPr>
              <w:t>个人任务：听从组长调度</w:t>
            </w:r>
          </w:p>
          <w:p>
            <w:pPr>
              <w:ind w:right="340"/>
              <w:rPr>
                <w:rFonts w:hint="default"/>
                <w:szCs w:val="21"/>
                <w:lang w:val="en-US" w:eastAsia="zh-CN"/>
              </w:rPr>
            </w:pPr>
          </w:p>
          <w:p>
            <w:pPr>
              <w:ind w:right="340"/>
              <w:rPr>
                <w:rFonts w:hint="default"/>
                <w:szCs w:val="21"/>
                <w:lang w:val="en-US" w:eastAsia="zh-CN"/>
              </w:rPr>
            </w:pPr>
          </w:p>
          <w:p>
            <w:pPr>
              <w:ind w:right="340"/>
              <w:rPr>
                <w:rFonts w:hint="default"/>
                <w:szCs w:val="21"/>
                <w:lang w:val="en-US" w:eastAsia="zh-CN"/>
              </w:rPr>
            </w:pPr>
          </w:p>
          <w:p>
            <w:pPr>
              <w:ind w:right="340"/>
              <w:rPr>
                <w:rFonts w:hint="default"/>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8949" w:type="dxa"/>
            <w:gridSpan w:val="8"/>
          </w:tcPr>
          <w:p>
            <w:pPr>
              <w:spacing w:before="120"/>
              <w:ind w:right="337"/>
              <w:rPr>
                <w:b/>
                <w:szCs w:val="21"/>
              </w:rPr>
            </w:pPr>
            <w:r>
              <w:rPr>
                <w:b/>
                <w:szCs w:val="21"/>
              </w:rPr>
              <w:t>三、个人任务需求分析</w:t>
            </w:r>
          </w:p>
          <w:p>
            <w:pPr>
              <w:ind w:right="340"/>
              <w:rPr>
                <w:rFonts w:hint="eastAsia"/>
                <w:szCs w:val="21"/>
                <w:lang w:val="en-US" w:eastAsia="zh-CN"/>
              </w:rPr>
            </w:pPr>
            <w:r>
              <w:rPr>
                <w:rFonts w:hint="eastAsia"/>
                <w:szCs w:val="21"/>
                <w:lang w:val="en-US" w:eastAsia="zh-CN"/>
              </w:rPr>
              <w:t>第一周：读取图片形式的2019年安徽、北京、河北、湖北、江苏、山东、上海、四川、天津、浙江的一分一段表，并整理输出成json和excel文件</w:t>
            </w:r>
          </w:p>
          <w:p>
            <w:pPr>
              <w:ind w:right="340"/>
              <w:rPr>
                <w:rFonts w:hint="eastAsia"/>
                <w:szCs w:val="21"/>
                <w:lang w:val="en-US" w:eastAsia="zh-CN"/>
              </w:rPr>
            </w:pPr>
            <w:r>
              <w:rPr>
                <w:rFonts w:hint="eastAsia"/>
                <w:szCs w:val="21"/>
                <w:lang w:val="en-US" w:eastAsia="zh-CN"/>
              </w:rPr>
              <w:t>第二周：读取近三年（2019年、2018年、2017年）各省市（宁夏、新疆、青海、陕西、甘肃、云南、贵州、西藏、四川、辽宁、吉林、黑龙江）本科录取批次分数线，并转化成json文件</w:t>
            </w:r>
          </w:p>
          <w:p>
            <w:pPr>
              <w:ind w:right="340"/>
              <w:rPr>
                <w:rFonts w:hint="eastAsia"/>
                <w:szCs w:val="21"/>
                <w:lang w:val="en-US" w:eastAsia="zh-CN"/>
              </w:rPr>
            </w:pPr>
            <w:r>
              <w:rPr>
                <w:rFonts w:hint="eastAsia"/>
                <w:szCs w:val="21"/>
                <w:lang w:val="en-US" w:eastAsia="zh-CN"/>
              </w:rPr>
              <w:t>第三周：检查2019-2020-3学期收集的高校录取分数是否有缺失，并重新爬取了中国海洋大学、中国药科大学近三年（2019、2018、2017）的数据，并按格式输出</w:t>
            </w:r>
          </w:p>
          <w:p>
            <w:pPr>
              <w:ind w:right="340"/>
              <w:rPr>
                <w:rFonts w:hint="eastAsia"/>
                <w:szCs w:val="21"/>
                <w:lang w:val="en-US" w:eastAsia="zh-CN"/>
              </w:rPr>
            </w:pPr>
            <w:r>
              <w:rPr>
                <w:rFonts w:hint="eastAsia"/>
                <w:szCs w:val="21"/>
                <w:lang w:val="en-US" w:eastAsia="zh-CN"/>
              </w:rPr>
              <w:t>第四周：检查安徽、山东近三年（2019、2018、207）文理科数据是否有问题</w:t>
            </w:r>
          </w:p>
          <w:p>
            <w:pPr>
              <w:ind w:right="340"/>
              <w:rPr>
                <w:rFonts w:hint="eastAsia"/>
                <w:szCs w:val="21"/>
                <w:lang w:val="en-US" w:eastAsia="zh-CN"/>
              </w:rPr>
            </w:pPr>
          </w:p>
          <w:p>
            <w:pPr>
              <w:ind w:right="340"/>
              <w:rPr>
                <w:rFonts w:hint="eastAsia"/>
                <w:szCs w:val="21"/>
                <w:lang w:val="en-US" w:eastAsia="zh-CN"/>
              </w:rPr>
            </w:pPr>
          </w:p>
          <w:p>
            <w:pPr>
              <w:ind w:right="340"/>
              <w:rPr>
                <w:rFonts w:hint="eastAsia"/>
                <w:szCs w:val="21"/>
                <w:lang w:val="en-US" w:eastAsia="zh-CN"/>
              </w:rPr>
            </w:pPr>
          </w:p>
          <w:p>
            <w:pPr>
              <w:ind w:right="340"/>
              <w:rPr>
                <w:rFonts w:hint="eastAsia"/>
                <w:szCs w:val="21"/>
                <w:lang w:val="en-US" w:eastAsia="zh-CN"/>
              </w:rPr>
            </w:pPr>
          </w:p>
          <w:p>
            <w:pPr>
              <w:ind w:right="340"/>
              <w:rPr>
                <w:rFonts w:hint="eastAsia"/>
                <w:szCs w:val="21"/>
                <w:lang w:val="en-US" w:eastAsia="zh-CN"/>
              </w:rPr>
            </w:pPr>
          </w:p>
          <w:p>
            <w:pPr>
              <w:ind w:right="340"/>
              <w:rPr>
                <w:rFonts w:hint="eastAsia"/>
                <w:szCs w:val="21"/>
                <w:lang w:val="en-US" w:eastAsia="zh-CN"/>
              </w:rPr>
            </w:pPr>
          </w:p>
          <w:p>
            <w:pPr>
              <w:ind w:right="340"/>
              <w:rPr>
                <w:rFonts w:hint="eastAsia"/>
                <w:szCs w:val="21"/>
                <w:lang w:val="en-US" w:eastAsia="zh-CN"/>
              </w:rPr>
            </w:pPr>
          </w:p>
          <w:p>
            <w:pPr>
              <w:ind w:right="340"/>
              <w:rPr>
                <w:rFonts w:hint="eastAsia"/>
                <w:szCs w:val="21"/>
                <w:lang w:val="en-US" w:eastAsia="zh-CN"/>
              </w:rPr>
            </w:pPr>
          </w:p>
          <w:p>
            <w:pPr>
              <w:ind w:right="340"/>
              <w:rPr>
                <w:rFonts w:hint="eastAsia"/>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12" w:hRule="atLeast"/>
        </w:trPr>
        <w:tc>
          <w:tcPr>
            <w:tcW w:w="8949" w:type="dxa"/>
            <w:gridSpan w:val="8"/>
          </w:tcPr>
          <w:p>
            <w:pPr>
              <w:numPr>
                <w:ilvl w:val="0"/>
                <w:numId w:val="2"/>
              </w:numPr>
              <w:spacing w:before="120"/>
              <w:rPr>
                <w:b/>
                <w:szCs w:val="21"/>
              </w:rPr>
            </w:pPr>
            <w:r>
              <w:rPr>
                <w:b/>
                <w:szCs w:val="21"/>
              </w:rPr>
              <w:t>实验过程（需附上关键代码及相关说明）</w:t>
            </w:r>
          </w:p>
          <w:p>
            <w:pPr>
              <w:widowControl w:val="0"/>
              <w:numPr>
                <w:ilvl w:val="0"/>
                <w:numId w:val="0"/>
              </w:numPr>
              <w:spacing w:before="120"/>
              <w:jc w:val="both"/>
              <w:rPr>
                <w:rFonts w:hint="default" w:eastAsia="宋体"/>
                <w:lang w:val="en-US" w:eastAsia="zh-CN"/>
              </w:rPr>
            </w:pPr>
            <w:r>
              <w:rPr>
                <w:rFonts w:hint="eastAsia"/>
                <w:lang w:val="en-US" w:eastAsia="zh-CN"/>
              </w:rPr>
              <w:t>1、生成一个关于随机省份及其id的excel</w:t>
            </w:r>
          </w:p>
          <w:p>
            <w:pPr>
              <w:spacing w:before="120"/>
            </w:pPr>
            <w:r>
              <w:drawing>
                <wp:inline distT="0" distB="0" distL="114300" distR="114300">
                  <wp:extent cx="4016375" cy="5774690"/>
                  <wp:effectExtent l="0" t="0" r="698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016375" cy="5774690"/>
                          </a:xfrm>
                          <a:prstGeom prst="rect">
                            <a:avLst/>
                          </a:prstGeom>
                          <a:noFill/>
                          <a:ln>
                            <a:noFill/>
                          </a:ln>
                        </pic:spPr>
                      </pic:pic>
                    </a:graphicData>
                  </a:graphic>
                </wp:inline>
              </w:drawing>
            </w:r>
          </w:p>
          <w:p>
            <w:pPr>
              <w:spacing w:before="120"/>
            </w:pPr>
          </w:p>
          <w:p>
            <w:pPr>
              <w:spacing w:before="120"/>
            </w:pPr>
          </w:p>
          <w:p>
            <w:pPr>
              <w:spacing w:before="120"/>
            </w:pPr>
          </w:p>
          <w:p>
            <w:pPr>
              <w:spacing w:before="120"/>
            </w:pPr>
          </w:p>
          <w:p>
            <w:pPr>
              <w:spacing w:before="120"/>
            </w:pPr>
          </w:p>
          <w:p>
            <w:pPr>
              <w:spacing w:before="120"/>
            </w:pPr>
          </w:p>
          <w:p>
            <w:pPr>
              <w:spacing w:before="120"/>
            </w:pPr>
          </w:p>
          <w:p>
            <w:pPr>
              <w:numPr>
                <w:ilvl w:val="0"/>
                <w:numId w:val="3"/>
              </w:numPr>
              <w:spacing w:before="120"/>
              <w:rPr>
                <w:rFonts w:hint="eastAsia"/>
                <w:szCs w:val="21"/>
                <w:lang w:val="en-US" w:eastAsia="zh-CN"/>
              </w:rPr>
            </w:pPr>
            <w:r>
              <w:rPr>
                <w:rFonts w:hint="eastAsia"/>
                <w:bCs/>
                <w:szCs w:val="21"/>
                <w:lang w:val="en-US" w:eastAsia="zh-CN"/>
              </w:rPr>
              <w:t>将</w:t>
            </w:r>
            <w:r>
              <w:rPr>
                <w:rFonts w:hint="eastAsia"/>
                <w:szCs w:val="21"/>
                <w:lang w:val="en-US" w:eastAsia="zh-CN"/>
              </w:rPr>
              <w:t>2019年安徽、北京、河北、湖北、江苏、山东、四川、天津的一分一段表输出成json文件（图以天津为例）</w:t>
            </w:r>
          </w:p>
          <w:p>
            <w:pPr>
              <w:spacing w:before="120"/>
            </w:pPr>
            <w:r>
              <w:drawing>
                <wp:inline distT="0" distB="0" distL="114300" distR="114300">
                  <wp:extent cx="5542915" cy="5346700"/>
                  <wp:effectExtent l="0" t="0" r="317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542915" cy="5346700"/>
                          </a:xfrm>
                          <a:prstGeom prst="rect">
                            <a:avLst/>
                          </a:prstGeom>
                          <a:noFill/>
                          <a:ln>
                            <a:noFill/>
                          </a:ln>
                        </pic:spPr>
                      </pic:pic>
                    </a:graphicData>
                  </a:graphic>
                </wp:inline>
              </w:drawing>
            </w: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numPr>
                <w:ilvl w:val="0"/>
                <w:numId w:val="3"/>
              </w:numPr>
              <w:spacing w:before="120"/>
              <w:rPr>
                <w:rFonts w:hint="eastAsia"/>
                <w:bCs/>
                <w:szCs w:val="21"/>
                <w:lang w:val="en-US" w:eastAsia="zh-CN"/>
              </w:rPr>
            </w:pPr>
            <w:r>
              <w:rPr>
                <w:rFonts w:hint="eastAsia"/>
                <w:bCs/>
                <w:szCs w:val="21"/>
                <w:lang w:val="en-US" w:eastAsia="zh-CN"/>
              </w:rPr>
              <w:t>将</w:t>
            </w:r>
            <w:r>
              <w:rPr>
                <w:rFonts w:hint="eastAsia"/>
                <w:szCs w:val="21"/>
                <w:lang w:val="en-US" w:eastAsia="zh-CN"/>
              </w:rPr>
              <w:t>2019年上海、浙江的一分一段表输出成json文件（图以上海为例）</w:t>
            </w:r>
          </w:p>
          <w:p>
            <w:pPr>
              <w:spacing w:before="120"/>
            </w:pPr>
            <w:r>
              <w:drawing>
                <wp:inline distT="0" distB="0" distL="114300" distR="114300">
                  <wp:extent cx="5542280" cy="3458845"/>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542280" cy="3458845"/>
                          </a:xfrm>
                          <a:prstGeom prst="rect">
                            <a:avLst/>
                          </a:prstGeom>
                          <a:noFill/>
                          <a:ln>
                            <a:noFill/>
                          </a:ln>
                        </pic:spPr>
                      </pic:pic>
                    </a:graphicData>
                  </a:graphic>
                </wp:inline>
              </w:drawing>
            </w: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p>
          <w:p>
            <w:pPr>
              <w:spacing w:before="120"/>
              <w:rPr>
                <w:rFonts w:hint="eastAsia"/>
                <w:lang w:val="en-US" w:eastAsia="zh-CN"/>
              </w:rPr>
            </w:pPr>
            <w:r>
              <w:rPr>
                <w:rFonts w:hint="eastAsia"/>
                <w:lang w:val="en-US" w:eastAsia="zh-CN"/>
              </w:rPr>
              <w:t>4、</w:t>
            </w:r>
            <w:r>
              <w:rPr>
                <w:rFonts w:hint="eastAsia"/>
                <w:szCs w:val="21"/>
                <w:lang w:val="en-US" w:eastAsia="zh-CN"/>
              </w:rPr>
              <w:t>读取近三年（2019年、2018年、2017年）各省市（宁夏、新疆、青海、陕西、甘肃、云南、贵州、西藏、四川、辽宁、吉林、黑龙江）本科录取批次分数线，并转化成json文件（只展示部分代码）</w:t>
            </w:r>
          </w:p>
          <w:p>
            <w:pPr>
              <w:spacing w:before="120"/>
            </w:pPr>
            <w:r>
              <w:drawing>
                <wp:inline distT="0" distB="0" distL="114300" distR="114300">
                  <wp:extent cx="2891155" cy="5479415"/>
                  <wp:effectExtent l="0" t="0" r="635"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2891155" cy="5479415"/>
                          </a:xfrm>
                          <a:prstGeom prst="rect">
                            <a:avLst/>
                          </a:prstGeom>
                          <a:noFill/>
                          <a:ln>
                            <a:noFill/>
                          </a:ln>
                        </pic:spPr>
                      </pic:pic>
                    </a:graphicData>
                  </a:graphic>
                </wp:inline>
              </w:drawing>
            </w: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rPr>
                <w:rFonts w:hint="default"/>
                <w:lang w:val="en-US" w:eastAsia="zh-CN"/>
              </w:rPr>
            </w:pPr>
          </w:p>
          <w:p>
            <w:pPr>
              <w:spacing w:before="120"/>
              <w:rPr>
                <w:rFonts w:hint="default" w:eastAsia="宋体"/>
                <w:lang w:val="en-US" w:eastAsia="zh-CN"/>
              </w:rPr>
            </w:pPr>
            <w:r>
              <w:rPr>
                <w:rFonts w:hint="eastAsia"/>
                <w:lang w:val="en-US" w:eastAsia="zh-CN"/>
              </w:rPr>
              <w:t>5、</w:t>
            </w:r>
            <w:r>
              <w:rPr>
                <w:rFonts w:hint="eastAsia"/>
                <w:szCs w:val="21"/>
                <w:lang w:val="en-US" w:eastAsia="zh-CN"/>
              </w:rPr>
              <w:t>重新爬取了中国海洋大学、中国药科大学近三年（2019、2018、2017）的录取分数线</w:t>
            </w:r>
          </w:p>
          <w:p>
            <w:pPr>
              <w:spacing w:before="120"/>
              <w:rPr>
                <w:rFonts w:hint="eastAsia"/>
                <w:lang w:val="en-US" w:eastAsia="zh-CN"/>
              </w:rPr>
            </w:pPr>
            <w:r>
              <w:drawing>
                <wp:inline distT="0" distB="0" distL="114300" distR="114300">
                  <wp:extent cx="5539740" cy="4523740"/>
                  <wp:effectExtent l="0" t="0" r="635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539740" cy="4523740"/>
                          </a:xfrm>
                          <a:prstGeom prst="rect">
                            <a:avLst/>
                          </a:prstGeom>
                          <a:noFill/>
                          <a:ln>
                            <a:noFill/>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8949" w:type="dxa"/>
            <w:gridSpan w:val="8"/>
          </w:tcPr>
          <w:p>
            <w:pPr>
              <w:spacing w:before="120"/>
              <w:ind w:right="337"/>
              <w:rPr>
                <w:b/>
                <w:szCs w:val="21"/>
              </w:rPr>
            </w:pPr>
            <w:r>
              <w:rPr>
                <w:b/>
                <w:szCs w:val="21"/>
              </w:rPr>
              <w:t>五、实验结果与分析</w:t>
            </w:r>
          </w:p>
          <w:p>
            <w:pPr>
              <w:ind w:right="340"/>
              <w:rPr>
                <w:rFonts w:hint="eastAsia"/>
                <w:szCs w:val="21"/>
                <w:lang w:val="en-US" w:eastAsia="zh-CN"/>
              </w:rPr>
            </w:pPr>
            <w:r>
              <w:rPr>
                <w:rFonts w:hint="eastAsia"/>
                <w:szCs w:val="21"/>
                <w:lang w:val="en-US" w:eastAsia="zh-CN"/>
              </w:rPr>
              <w:t>1、生成一个关于随机省份及其id的excel（只展示部分结果）</w:t>
            </w:r>
          </w:p>
          <w:p>
            <w:pPr>
              <w:ind w:right="340"/>
              <w:rPr>
                <w:rFonts w:hint="eastAsia"/>
                <w:szCs w:val="21"/>
                <w:lang w:val="en-US" w:eastAsia="zh-CN"/>
              </w:rPr>
            </w:pPr>
            <w:r>
              <w:drawing>
                <wp:inline distT="0" distB="0" distL="114300" distR="114300">
                  <wp:extent cx="1723390" cy="2208530"/>
                  <wp:effectExtent l="0" t="0" r="8890" b="1270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2"/>
                          <a:stretch>
                            <a:fillRect/>
                          </a:stretch>
                        </pic:blipFill>
                        <pic:spPr>
                          <a:xfrm>
                            <a:off x="0" y="0"/>
                            <a:ext cx="1723390" cy="2208530"/>
                          </a:xfrm>
                          <a:prstGeom prst="rect">
                            <a:avLst/>
                          </a:prstGeom>
                          <a:noFill/>
                          <a:ln>
                            <a:noFill/>
                          </a:ln>
                        </pic:spPr>
                      </pic:pic>
                    </a:graphicData>
                  </a:graphic>
                </wp:inline>
              </w:drawing>
            </w:r>
          </w:p>
          <w:p>
            <w:pPr>
              <w:ind w:right="340"/>
              <w:rPr>
                <w:rFonts w:hint="eastAsia"/>
                <w:szCs w:val="21"/>
                <w:lang w:val="en-US" w:eastAsia="zh-CN"/>
              </w:rPr>
            </w:pPr>
            <w:r>
              <w:rPr>
                <w:rFonts w:hint="eastAsia"/>
                <w:szCs w:val="21"/>
                <w:lang w:val="en-US" w:eastAsia="zh-CN"/>
              </w:rPr>
              <w:t>2、将2019年安徽、北京、河北、湖北、江苏、山东、四川、天津的一分一段表输出成json文件（图以安徽为例且只展示部分结果）</w:t>
            </w:r>
          </w:p>
          <w:p>
            <w:pPr>
              <w:ind w:right="340"/>
              <w:rPr>
                <w:rFonts w:hint="eastAsia"/>
                <w:szCs w:val="21"/>
                <w:lang w:val="en-US" w:eastAsia="zh-CN"/>
              </w:rPr>
            </w:pPr>
            <w:r>
              <w:drawing>
                <wp:inline distT="0" distB="0" distL="114300" distR="114300">
                  <wp:extent cx="1913255" cy="2208530"/>
                  <wp:effectExtent l="0" t="0" r="635" b="1270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3"/>
                          <a:stretch>
                            <a:fillRect/>
                          </a:stretch>
                        </pic:blipFill>
                        <pic:spPr>
                          <a:xfrm>
                            <a:off x="0" y="0"/>
                            <a:ext cx="1913255" cy="2208530"/>
                          </a:xfrm>
                          <a:prstGeom prst="rect">
                            <a:avLst/>
                          </a:prstGeom>
                          <a:noFill/>
                          <a:ln>
                            <a:noFill/>
                          </a:ln>
                        </pic:spPr>
                      </pic:pic>
                    </a:graphicData>
                  </a:graphic>
                </wp:inline>
              </w:drawing>
            </w:r>
            <w:r>
              <w:drawing>
                <wp:inline distT="0" distB="0" distL="114300" distR="114300">
                  <wp:extent cx="1913255" cy="2201545"/>
                  <wp:effectExtent l="0" t="0" r="635" b="571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4"/>
                          <a:stretch>
                            <a:fillRect/>
                          </a:stretch>
                        </pic:blipFill>
                        <pic:spPr>
                          <a:xfrm>
                            <a:off x="0" y="0"/>
                            <a:ext cx="1913255" cy="2201545"/>
                          </a:xfrm>
                          <a:prstGeom prst="rect">
                            <a:avLst/>
                          </a:prstGeom>
                          <a:noFill/>
                          <a:ln>
                            <a:noFill/>
                          </a:ln>
                        </pic:spPr>
                      </pic:pic>
                    </a:graphicData>
                  </a:graphic>
                </wp:inline>
              </w:drawing>
            </w:r>
          </w:p>
          <w:p>
            <w:pPr>
              <w:ind w:right="340"/>
              <w:rPr>
                <w:rFonts w:hint="eastAsia"/>
                <w:szCs w:val="21"/>
                <w:lang w:val="en-US" w:eastAsia="zh-CN"/>
              </w:rPr>
            </w:pPr>
            <w:r>
              <w:rPr>
                <w:rFonts w:hint="eastAsia"/>
                <w:szCs w:val="21"/>
                <w:lang w:val="en-US" w:eastAsia="zh-CN"/>
              </w:rPr>
              <w:t>3、将2019年上海、浙江的一分一段表输出成json文件（图以上海为例，且只展示部分）</w:t>
            </w:r>
          </w:p>
          <w:p>
            <w:pPr>
              <w:ind w:right="340"/>
            </w:pPr>
            <w:r>
              <w:drawing>
                <wp:inline distT="0" distB="0" distL="114300" distR="114300">
                  <wp:extent cx="1892300" cy="2215515"/>
                  <wp:effectExtent l="0" t="0" r="7620" b="571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5"/>
                          <a:stretch>
                            <a:fillRect/>
                          </a:stretch>
                        </pic:blipFill>
                        <pic:spPr>
                          <a:xfrm>
                            <a:off x="0" y="0"/>
                            <a:ext cx="1892300" cy="2215515"/>
                          </a:xfrm>
                          <a:prstGeom prst="rect">
                            <a:avLst/>
                          </a:prstGeom>
                          <a:noFill/>
                          <a:ln>
                            <a:noFill/>
                          </a:ln>
                        </pic:spPr>
                      </pic:pic>
                    </a:graphicData>
                  </a:graphic>
                </wp:inline>
              </w:drawing>
            </w:r>
          </w:p>
          <w:p>
            <w:pPr>
              <w:ind w:right="340"/>
            </w:pPr>
          </w:p>
          <w:p>
            <w:pPr>
              <w:ind w:right="340"/>
              <w:rPr>
                <w:rFonts w:hint="eastAsia"/>
                <w:lang w:val="en-US" w:eastAsia="zh-CN"/>
              </w:rPr>
            </w:pPr>
          </w:p>
          <w:p>
            <w:pPr>
              <w:numPr>
                <w:ilvl w:val="0"/>
                <w:numId w:val="3"/>
              </w:numPr>
              <w:ind w:left="0" w:leftChars="0" w:right="340" w:firstLine="0" w:firstLineChars="0"/>
              <w:rPr>
                <w:rFonts w:hint="eastAsia"/>
                <w:szCs w:val="21"/>
                <w:lang w:val="en-US" w:eastAsia="zh-CN"/>
              </w:rPr>
            </w:pPr>
            <w:r>
              <w:rPr>
                <w:rFonts w:hint="eastAsia"/>
                <w:szCs w:val="21"/>
                <w:lang w:val="en-US" w:eastAsia="zh-CN"/>
              </w:rPr>
              <w:t>读取近三年（2019年、2018年、2017年）各省市（宁夏、新疆、青海、陕西、甘肃、云南、贵州、西藏、四川、辽宁、吉林、黑龙江）本科录取批次分数线，并转化成json文件（只展示部分结果）</w:t>
            </w:r>
          </w:p>
          <w:p>
            <w:pPr>
              <w:ind w:right="340"/>
              <w:rPr>
                <w:rFonts w:hint="eastAsia"/>
                <w:szCs w:val="21"/>
                <w:lang w:val="en-US" w:eastAsia="zh-CN"/>
              </w:rPr>
            </w:pPr>
            <w:r>
              <w:drawing>
                <wp:inline distT="0" distB="0" distL="114300" distR="114300">
                  <wp:extent cx="2138045" cy="5050155"/>
                  <wp:effectExtent l="0" t="0" r="13335" b="698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6"/>
                          <a:stretch>
                            <a:fillRect/>
                          </a:stretch>
                        </pic:blipFill>
                        <pic:spPr>
                          <a:xfrm>
                            <a:off x="0" y="0"/>
                            <a:ext cx="2138045" cy="5050155"/>
                          </a:xfrm>
                          <a:prstGeom prst="rect">
                            <a:avLst/>
                          </a:prstGeom>
                          <a:noFill/>
                          <a:ln>
                            <a:noFill/>
                          </a:ln>
                        </pic:spPr>
                      </pic:pic>
                    </a:graphicData>
                  </a:graphic>
                </wp:inline>
              </w:drawing>
            </w:r>
          </w:p>
          <w:p>
            <w:pPr>
              <w:numPr>
                <w:ilvl w:val="0"/>
                <w:numId w:val="3"/>
              </w:numPr>
              <w:ind w:left="0" w:leftChars="0" w:right="340" w:firstLine="0" w:firstLineChars="0"/>
              <w:rPr>
                <w:rFonts w:hint="eastAsia"/>
                <w:szCs w:val="21"/>
                <w:lang w:val="en-US" w:eastAsia="zh-CN"/>
              </w:rPr>
            </w:pPr>
            <w:r>
              <w:rPr>
                <w:rFonts w:hint="eastAsia"/>
                <w:szCs w:val="21"/>
                <w:lang w:val="en-US" w:eastAsia="zh-CN"/>
              </w:rPr>
              <w:t>重新爬取了中国海洋大学、中国药科大学近三年（2019、2018、2017）的录取分数线（只展示部分结果）</w:t>
            </w:r>
          </w:p>
          <w:p>
            <w:pPr>
              <w:widowControl w:val="0"/>
              <w:numPr>
                <w:numId w:val="0"/>
              </w:numPr>
              <w:ind w:right="340" w:rightChars="0"/>
              <w:jc w:val="both"/>
            </w:pPr>
            <w:r>
              <w:drawing>
                <wp:inline distT="0" distB="0" distL="114300" distR="114300">
                  <wp:extent cx="3812540" cy="1118235"/>
                  <wp:effectExtent l="0" t="0" r="1270" b="1333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7"/>
                          <a:stretch>
                            <a:fillRect/>
                          </a:stretch>
                        </pic:blipFill>
                        <pic:spPr>
                          <a:xfrm>
                            <a:off x="0" y="0"/>
                            <a:ext cx="3812540" cy="1118235"/>
                          </a:xfrm>
                          <a:prstGeom prst="rect">
                            <a:avLst/>
                          </a:prstGeom>
                          <a:noFill/>
                          <a:ln>
                            <a:noFill/>
                          </a:ln>
                        </pic:spPr>
                      </pic:pic>
                    </a:graphicData>
                  </a:graphic>
                </wp:inline>
              </w:drawing>
            </w:r>
          </w:p>
          <w:p>
            <w:pPr>
              <w:widowControl w:val="0"/>
              <w:numPr>
                <w:numId w:val="0"/>
              </w:numPr>
              <w:ind w:right="340" w:rightChars="0"/>
              <w:jc w:val="both"/>
              <w:rPr>
                <w:rFonts w:hint="eastAsia"/>
                <w:lang w:val="en-US" w:eastAsia="zh-CN"/>
              </w:rPr>
            </w:pPr>
            <w:r>
              <w:drawing>
                <wp:inline distT="0" distB="0" distL="114300" distR="114300">
                  <wp:extent cx="3896995" cy="1083310"/>
                  <wp:effectExtent l="0" t="0" r="635" b="635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18"/>
                          <a:stretch>
                            <a:fillRect/>
                          </a:stretch>
                        </pic:blipFill>
                        <pic:spPr>
                          <a:xfrm>
                            <a:off x="0" y="0"/>
                            <a:ext cx="3896995" cy="1083310"/>
                          </a:xfrm>
                          <a:prstGeom prst="rect">
                            <a:avLst/>
                          </a:prstGeom>
                          <a:noFill/>
                          <a:ln>
                            <a:noFill/>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57" w:hRule="atLeast"/>
        </w:trPr>
        <w:tc>
          <w:tcPr>
            <w:tcW w:w="8949" w:type="dxa"/>
            <w:gridSpan w:val="8"/>
          </w:tcPr>
          <w:p>
            <w:pPr>
              <w:spacing w:before="120"/>
              <w:rPr>
                <w:b/>
                <w:szCs w:val="21"/>
              </w:rPr>
            </w:pPr>
            <w:r>
              <w:rPr>
                <w:b/>
                <w:szCs w:val="21"/>
              </w:rPr>
              <w:t>六、实验总结与心得体会</w:t>
            </w:r>
          </w:p>
          <w:p>
            <w:pPr>
              <w:ind w:right="340"/>
              <w:rPr>
                <w:b/>
                <w:szCs w:val="21"/>
              </w:rPr>
            </w:pPr>
            <w:r>
              <w:rPr>
                <w:rFonts w:hint="eastAsia"/>
                <w:szCs w:val="21"/>
                <w:lang w:val="en-US" w:eastAsia="zh-CN"/>
              </w:rPr>
              <w:t>第一次全班一起做一个项目，且我们小组一开始没有进行具体的分析需求，以及我自己太过依赖组长分配任务而不是自己进行个人需求分析。如果以后再遇到多人合作的项目，希望能吸取经验，做得更好！</w:t>
            </w:r>
          </w:p>
        </w:tc>
      </w:tr>
    </w:tbl>
    <w:p>
      <w:pPr>
        <w:jc w:val="right"/>
        <w:rPr>
          <w:rFonts w:hint="eastAsia" w:ascii="宋体" w:hAnsi="宋体"/>
          <w:szCs w:val="21"/>
        </w:rPr>
      </w:pPr>
      <w:bookmarkStart w:id="0" w:name="_GoBack"/>
      <w:bookmarkEnd w:id="0"/>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68621D"/>
    <w:multiLevelType w:val="singleLevel"/>
    <w:tmpl w:val="C968621D"/>
    <w:lvl w:ilvl="0" w:tentative="0">
      <w:start w:val="2"/>
      <w:numFmt w:val="decimal"/>
      <w:suff w:val="nothing"/>
      <w:lvlText w:val="%1、"/>
      <w:lvlJc w:val="left"/>
    </w:lvl>
  </w:abstractNum>
  <w:abstractNum w:abstractNumId="1">
    <w:nsid w:val="D755CDB1"/>
    <w:multiLevelType w:val="singleLevel"/>
    <w:tmpl w:val="D755CDB1"/>
    <w:lvl w:ilvl="0" w:tentative="0">
      <w:start w:val="1"/>
      <w:numFmt w:val="chineseCounting"/>
      <w:suff w:val="nothing"/>
      <w:lvlText w:val="%1、"/>
      <w:lvlJc w:val="left"/>
      <w:rPr>
        <w:rFonts w:hint="eastAsia"/>
      </w:rPr>
    </w:lvl>
  </w:abstractNum>
  <w:abstractNum w:abstractNumId="2">
    <w:nsid w:val="7AD9F602"/>
    <w:multiLevelType w:val="singleLevel"/>
    <w:tmpl w:val="7AD9F602"/>
    <w:lvl w:ilvl="0" w:tentative="0">
      <w:start w:val="4"/>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13A8F"/>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16062FB5"/>
    <w:rsid w:val="232B688E"/>
    <w:rsid w:val="241F6CC6"/>
    <w:rsid w:val="423326A7"/>
    <w:rsid w:val="6ACC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qFormat/>
    <w:uiPriority w:val="99"/>
  </w:style>
  <w:style w:type="character" w:customStyle="1" w:styleId="8">
    <w:name w:val="页脚 字符"/>
    <w:basedOn w:val="6"/>
    <w:link w:val="2"/>
    <w:uiPriority w:val="0"/>
    <w:rPr>
      <w:rFonts w:ascii="Times New Roman" w:hAnsi="Times New Roman" w:eastAsia="宋体" w:cs="Times New Roman"/>
      <w:sz w:val="18"/>
      <w:szCs w:val="18"/>
    </w:rPr>
  </w:style>
  <w:style w:type="character" w:customStyle="1" w:styleId="9">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30</TotalTime>
  <ScaleCrop>false</ScaleCrop>
  <LinksUpToDate>false</LinksUpToDate>
  <CharactersWithSpaces>251</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不想grow滴孩纸</cp:lastModifiedBy>
  <dcterms:modified xsi:type="dcterms:W3CDTF">2020-10-08T11:43:39Z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