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1640" w:after="360" w:line="300" w:lineRule="auto"/>
        <w:jc w:val="center"/>
      </w:pPr>
      <w:r>
        <w:rPr>
          <w:rFonts w:ascii="Calibri" w:hAnsi="Calibri"/>
          <w:b/>
          <w:i w:val="0"/>
          <w:color w:val="16C7A3"/>
          <w:sz w:val="20"/>
        </w:rPr>
        <w:t>DOCUMENTACIÓN DE PRODUCTO Y ARQUITECTURA</w:t>
      </w:r>
    </w:p>
    <w:p>
      <w:pPr>
        <w:keepNext w:val="0"/>
        <w:widowControl/>
        <w:spacing w:before="0" w:after="120" w:line="300" w:lineRule="auto"/>
        <w:jc w:val="center"/>
      </w:pPr>
      <w:r>
        <w:rPr>
          <w:rFonts w:ascii="Calibri" w:hAnsi="Calibri"/>
          <w:b/>
          <w:i w:val="0"/>
          <w:color w:val="11182F"/>
          <w:sz w:val="68"/>
        </w:rPr>
        <w:t>CeluCheck</w:t>
      </w:r>
    </w:p>
    <w:p>
      <w:pPr>
        <w:keepNext w:val="0"/>
        <w:widowControl/>
        <w:spacing w:before="0" w:after="320" w:line="300" w:lineRule="auto"/>
        <w:jc w:val="center"/>
      </w:pPr>
      <w:r>
        <w:rPr>
          <w:rFonts w:ascii="Calibri" w:hAnsi="Calibri"/>
          <w:b w:val="0"/>
          <w:i w:val="0"/>
          <w:color w:val="3047A8"/>
          <w:sz w:val="32"/>
        </w:rPr>
        <w:t>Comparador profesional de celulares y precios</w:t>
      </w:r>
    </w:p>
    <w:p>
      <w:pPr>
        <w:keepNext w:val="0"/>
        <w:widowControl/>
        <w:spacing w:before="0" w:after="1440" w:line="300" w:lineRule="auto"/>
        <w:jc w:val="center"/>
      </w:pPr>
      <w:r>
        <w:rPr>
          <w:rFonts w:ascii="Calibri" w:hAnsi="Calibri"/>
          <w:b w:val="0"/>
          <w:i w:val="0"/>
          <w:color w:val="64748B"/>
          <w:sz w:val="22"/>
        </w:rPr>
        <w:t>Arquitectura · Inteligencia del sistema · Base de datos · API · Swagger · Despliegue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2FF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color w:val="3047A8"/>
                <w:sz w:val="18"/>
              </w:rPr>
              <w:t xml:space="preserve">ESTADO DEL PROYECTO  </w:t>
            </w:r>
            <w:r>
              <w:rPr>
                <w:rFonts w:ascii="Calibri" w:hAnsi="Calibri"/>
                <w:color w:val="11182F"/>
                <w:sz w:val="21"/>
              </w:rPr>
              <w:t>Aplicación Java 17 + Spring Boot 3.5.3 desplegada en Render, con PostgreSQL en producción y MySQL para desarrollo local.</w:t>
            </w:r>
          </w:p>
        </w:tc>
      </w:tr>
    </w:tbl>
    <w:p>
      <w:pPr>
        <w:widowControl/>
        <w:spacing w:after="40"/>
      </w:pPr>
    </w:p>
    <w:p>
      <w:pPr>
        <w:keepNext w:val="0"/>
        <w:widowControl/>
        <w:spacing w:before="840" w:after="40" w:line="300" w:lineRule="auto"/>
        <w:jc w:val="center"/>
      </w:pPr>
      <w:r>
        <w:rPr>
          <w:rFonts w:ascii="Calibri" w:hAnsi="Calibri"/>
          <w:b/>
          <w:i w:val="0"/>
          <w:color w:val="11182F"/>
          <w:sz w:val="20"/>
        </w:rPr>
        <w:t>Versión del documento: 1.0</w:t>
      </w:r>
    </w:p>
    <w:p>
      <w:pPr>
        <w:keepNext w:val="0"/>
        <w:widowControl/>
        <w:spacing w:before="0" w:after="40" w:line="300" w:lineRule="auto"/>
        <w:jc w:val="center"/>
      </w:pPr>
      <w:r>
        <w:rPr>
          <w:rFonts w:ascii="Calibri" w:hAnsi="Calibri"/>
          <w:b w:val="0"/>
          <w:i w:val="0"/>
          <w:color w:val="64748B"/>
          <w:sz w:val="19"/>
        </w:rPr>
        <w:t>Actualizado: 20 de julio de 2026</w:t>
      </w:r>
    </w:p>
    <w:p>
      <w:pPr>
        <w:keepNext w:val="0"/>
        <w:widowControl/>
        <w:spacing w:before="0" w:after="120" w:line="300" w:lineRule="auto"/>
        <w:jc w:val="center"/>
      </w:pPr>
      <w:r>
        <w:rPr>
          <w:rFonts w:ascii="Calibri" w:hAnsi="Calibri"/>
          <w:b w:val="0"/>
          <w:i w:val="0"/>
          <w:color w:val="64748B"/>
          <w:sz w:val="19"/>
        </w:rPr>
        <w:t xml:space="preserve">Sitio en producción: </w:t>
      </w:r>
      <w:hyperlink r:id="rId11">
        <w:r>
          <w:rPr>
            <w:color w:val="3047A8"/>
            <w:u w:val="single"/>
          </w:rPr>
          <w:t>Abrir sitio CeluCheck</w:t>
        </w:r>
      </w:hyperlink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Resumen ejecutivo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11182F"/>
          <w:sz w:val="22"/>
        </w:rPr>
        <w:t>CeluCheck es una aplicación web full stack para comparar celulares, revisar especificaciones, contrastar precios referenciales entre Falabella, Ripley y Oechsle, guardar favoritos y recibir recomendaciones comprensibles. El sistema incluye una experiencia pública responsive, autenticación, panel administrativo, seguimiento de clics, reseñas, variantes de capacidad y documentación OpenAPI.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color w:val="3047A8"/>
                <w:sz w:val="18"/>
              </w:rPr>
              <w:t xml:space="preserve">CIFRAS ACTUALES  </w:t>
            </w:r>
            <w:r>
              <w:rPr>
                <w:rFonts w:ascii="Calibri" w:hAnsi="Calibri"/>
                <w:color w:val="11182F"/>
                <w:sz w:val="21"/>
              </w:rPr>
              <w:t>26 celulares, 11 marcas, 3 tiendas, 64 configuraciones de almacenamiento/RAM, 100 reseñas, 9 migraciones Flyway y 9 pruebas automatizadas.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1.1 Alcance funcional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Catálogo con búsqueda, filtros por marca, presupuesto y perfil de uso.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Comparador de hasta tres equipos con estado persistido en el navegador.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Ficha de producto con variantes, precios por tienda, disponibilidad referencial y reseñas.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Registro, inicio de sesión, roles USER/ADMIN, favoritos y protección CSRF.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Asistente de recomendación basado en reglas de cámara, batería, presupuesto y plataforma.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Panel administrativo para métricas, catálogo y gestión de usuarios.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API REST documentada con Swagger UI y OpenAPI 3.</w:t>
      </w:r>
    </w:p>
    <w:p>
      <w:pPr>
        <w:pStyle w:val="Heading1"/>
        <w:keepNext/>
        <w:widowControl/>
      </w:pPr>
      <w:r>
        <w:t>2. Inteligencias utilizadas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11182F"/>
          <w:sz w:val="22"/>
        </w:rPr>
        <w:t>En CeluCheck la palabra inteligencia cubre dos capas distintas: la lógica inteligente que funciona dentro de la aplicación y las herramientas de asistencia utilizadas durante el desarrollo. Es importante no confundirlas.</w:t>
      </w:r>
    </w:p>
    <w:p>
      <w:pPr>
        <w:pStyle w:val="Heading2"/>
        <w:keepNext/>
        <w:widowControl/>
      </w:pPr>
      <w:r>
        <w:t>2.1 Inteligencia que funciona dentro del producto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300"/>
        <w:gridCol w:w="4960"/>
      </w:tblGrid>
      <w:tr>
        <w:trPr>
          <w:tblHeader w:val="true"/>
          <w:tblHeader w:val="true"/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Capacidad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Implementación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Qué hace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Asistente de compra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ChatAssistantService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Clasifica preguntas por intención y responde con reglas sobre cámara, batería, presupuesto e iPhone vs. Android.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Perfiles de recomendación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CatalogService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Filtra dinámicamente por camera, gaming, battery, value y compact usando especificaciones y precios.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Mejor oferta y ahorro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ProductCard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Selecciona la oferta disponible más barata y calcula el porcentaje de ahorro frente al precio anterior.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Veredicto dinámico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detail.html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Explica fortalezas según RAM, almacenamiento, cámara, batería y tamaño de pantalla.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Variantes inteligentes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PhoneVariant + VariantOffer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Cambia capacidad/RAM y actualiza precio y disponibilidad referencial por tienda.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Personalización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FavoriteService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Mantiene una colección personal de celulares por usuario autenticado.</w:t>
            </w:r>
          </w:p>
        </w:tc>
      </w:tr>
    </w:tbl>
    <w:p>
      <w:pPr>
        <w:widowControl/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8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color w:val="7A5A00"/>
                <w:sz w:val="18"/>
              </w:rPr>
              <w:t xml:space="preserve">ACLARACIÓN TÉCNICA  </w:t>
            </w:r>
            <w:r>
              <w:rPr>
                <w:rFonts w:ascii="Calibri" w:hAnsi="Calibri"/>
                <w:color w:val="11182F"/>
                <w:sz w:val="21"/>
              </w:rPr>
              <w:t>La aplicación no consume OpenAI, ChatGPT, Gemini, Claude ni otro modelo generativo en tiempo de ejecución. El asistente actual es determinista y está basado en reglas Java; esto reduce costo y dependencia externa, pero limita la conversación libre.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2.2 Inteligencia usada durante el desarrollo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11182F"/>
          <w:sz w:val="22"/>
        </w:rPr>
        <w:t>OpenAI Codex fue utilizado como asistente de ingeniería para analizar requisitos, crear y revisar código, diseñar la experiencia responsive, elaborar migraciones, ejecutar pruebas y preparar despliegues. Codex no forma parte del artefacto ejecutable ni recibe consultas de los usuarios finales.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3. Arquitectura general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11182F"/>
          <w:sz w:val="22"/>
        </w:rPr>
        <w:t>La solución sigue una arquitectura web por capas, desplegada como un monolito modular Spring Boot. La interfaz se renderiza en el servidor con Thymeleaf y se complementa con JavaScript para interacciones rápidas.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2FF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color w:val="3047A8"/>
                <w:sz w:val="18"/>
              </w:rPr>
              <w:t xml:space="preserve">FLUJO PRINCIPAL  </w:t>
            </w:r>
            <w:r>
              <w:rPr>
                <w:rFonts w:ascii="Calibri" w:hAnsi="Calibri"/>
                <w:color w:val="11182F"/>
                <w:sz w:val="21"/>
              </w:rPr>
              <w:t>Navegador → Controladores Spring MVC/REST → Servicios de negocio → Repositorios Spring Data JPA → MySQL o PostgreSQL. Flyway crea y actualiza el esquema antes de que Hibernate lo valide.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100"/>
        <w:gridCol w:w="3760"/>
      </w:tblGrid>
      <w:tr>
        <w:trPr>
          <w:tblHeader w:val="true"/>
          <w:tblHeader w:val="true"/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Capa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Componentes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Ubicación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Presentación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Thymeleaf, HTML5, Tailwind CSS, CSS propio, JavaScript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src/main/resources/templates y static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Web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HomeController, ApiController, AdminController, ClickController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src/main/java/pe/celucheck/web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Negocio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CatalogService, UserService, FavoriteService, ChatAssistantService, AdminService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src/main/java/pe/celucheck/service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Persistencia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10 repositorios JpaRepository + EntityGraph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src/main/java/pe/celucheck/repository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Dominio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11 entidades JPA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src/main/java/pe/celucheck/domain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Datos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Flyway V1–V9; MySQL local y PostgreSQL en Render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src/main/resources/db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Operación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Docker multi-stage + Render Blueprint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Dockerfile y render.yaml</w:t>
            </w:r>
          </w:p>
        </w:tc>
      </w:tr>
    </w:tbl>
    <w:p>
      <w:pPr>
        <w:widowControl/>
        <w:spacing w:after="60"/>
      </w:pPr>
    </w:p>
    <w:p>
      <w:pPr>
        <w:pStyle w:val="Heading2"/>
        <w:keepNext/>
        <w:widowControl/>
      </w:pPr>
      <w:r>
        <w:t>3.1 Patrón de ejecución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El navegador solicita una página o un endpoint REST.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Spring Security valida si la ruta es pública, autenticada o exclusiva de ADMIN.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El controlador transforma parámetros y delega el trabajo a un servicio.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El servicio aplica reglas de negocio y usa repositorios JPA.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La base de datos devuelve entidades; los DTO evitan exponer el modelo completo en la API.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La respuesta se entrega como HTML, JSON o redirección externa controlada.</w:t>
      </w:r>
    </w:p>
    <w:p>
      <w:pPr>
        <w:pStyle w:val="Heading1"/>
        <w:keepNext/>
        <w:widowControl/>
      </w:pPr>
      <w:r>
        <w:t>4. Stack tecnológico completo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100"/>
        <w:gridCol w:w="5360"/>
      </w:tblGrid>
      <w:tr>
        <w:trPr>
          <w:tblHeader w:val="true"/>
          <w:tblHeader w:val="true"/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Tecnología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Versión / modalidad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Java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17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Lenguaje principal y runtime.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Spring Boot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3.5.3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Arranque, configuración y empaquetado de la aplicación.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Spring MVC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incluido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Controladores web, REST y binding de formularios.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Spring Data JPA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incluido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Repositorios, consultas JPQL y EntityGraph.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Hibernate ORM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6.6.x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Mapeo objeto-relacional y validación del esquema.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Spring Security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6.5.x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Sesiones, roles, BCrypt, CSRF y control de acceso.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Bean Validation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Jakarta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Validación de registros, formularios y API.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Thymeleaf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Spring starter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Renderizado HTML del lado servidor.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Tailwind CSS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4.3.0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Sistema de utilidades visuales compilado y minificado.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JavaScript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ES moderno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Comparador, favoritos, menú, chat, toast y UX.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Flyway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Spring Boot BOM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Migraciones versionadas y reproducibles.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MySQL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8+ / local 9.5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Base de datos principal de desarrollo local.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PostgreSQL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Render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Base de datos de producción.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H2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modo prueba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Compatibilidad automática de migraciones PostgreSQL.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springdoc-openapi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2.8.17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OpenAPI 3 y Swagger UI para la API REST.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Lombok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Spring Boot BOM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Reducción de código repetitivo.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Maven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3.9+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Dependencias, compilación, pruebas y JAR.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Docker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multi-stage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Construcción reproducible con JRE 17 no root.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Render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plan free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Hosting, PostgreSQL y despliegue automático desde GitHub.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Git/GitHub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master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Control de versiones y origen del despliegue.</w:t>
            </w:r>
          </w:p>
        </w:tc>
      </w:tr>
    </w:tbl>
    <w:p>
      <w:pPr>
        <w:widowControl/>
        <w:spacing w:after="6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5. Backend Java: responsabilidades y ubicación</w:t>
      </w:r>
    </w:p>
    <w:p>
      <w:pPr>
        <w:pStyle w:val="Heading2"/>
        <w:keepNext/>
        <w:widowControl/>
      </w:pPr>
      <w:r>
        <w:t>5.1 Controladores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  <w:tblHeader w:val="true"/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Clase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HomeController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Páginas públicas, catálogo, detalle, variantes, comparador, registro y favoritos.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ApiController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API JSON de productos, favoritos y asistente; anotada para OpenAPI.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AdminController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Dashboard, alta/edición/desactivación de equipos y usuarios.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ClickController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Registra clics y redirige a la tienda.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GlobalModelAdvice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Datos globales de sesión, usuario y favoritos para las vistas.</w:t>
            </w:r>
          </w:p>
        </w:tc>
      </w:tr>
    </w:tbl>
    <w:p>
      <w:pPr>
        <w:widowControl/>
        <w:spacing w:after="60"/>
      </w:pPr>
    </w:p>
    <w:p>
      <w:pPr>
        <w:pStyle w:val="Heading2"/>
        <w:keepNext/>
        <w:widowControl/>
      </w:pPr>
      <w:r>
        <w:t>5.2 Servicios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  <w:tblHeader w:val="true"/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Clase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CatalogService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Búsqueda, perfiles de uso, detalle y comparación.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UserService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Registro, BCrypt, carga de usuarios para Spring Security.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FavoriteService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Alterna y lista favoritos por usuario.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ChatAssistantService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Motor de recomendación por reglas y persistencia de conversaciones.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AdminService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CRUD lógico de equipos, precios y gestión segura de usuarios.</w:t>
            </w:r>
          </w:p>
        </w:tc>
      </w:tr>
    </w:tbl>
    <w:p>
      <w:pPr>
        <w:widowControl/>
        <w:spacing w:after="60"/>
      </w:pPr>
    </w:p>
    <w:p>
      <w:pPr>
        <w:pStyle w:val="Heading2"/>
        <w:keepNext/>
        <w:widowControl/>
      </w:pPr>
      <w:r>
        <w:t>5.3 DTO y contratos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ProductCard: proyección segura y compacta para tarjetas y API.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ChatRequest / ChatResponse: contrato validado del asistente.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RegisterRequest: datos de alta de usuario.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AdminPhoneForm: formulario del inventario administrativo.</w:t>
      </w:r>
    </w:p>
    <w:p>
      <w:pPr>
        <w:pStyle w:val="Heading1"/>
        <w:keepNext/>
        <w:widowControl/>
      </w:pPr>
      <w:r>
        <w:t>6. Frontend y experiencia UX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11182F"/>
          <w:sz w:val="22"/>
        </w:rPr>
        <w:t>La interfaz combina renderizado Thymeleaf con Tailwind CSS compilado y componentes CSS propios. No depende de un CDN de Tailwind en ejecución.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tblHeader w:val="true"/>
          <w:tblHeader w:val="true"/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Archivo / grupo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home.html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Inicio editorial, búsqueda, destacados, carruseles, perfiles y testimonios.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catalog.html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Catálogo independiente con filtros y tarjetas responsive.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detail.html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Variantes, radiografía técnica, tiendas, reseñas y CTA.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compare.html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Comparación de hasta tres equipos y eliminación individual.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favorites.html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Colección personal autenticada.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login/register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Acceso y creación de cuenta.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admin/*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Dashboard, catálogo responsive y usuarios.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fragments/layout.html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Cabecera, navegación, footer, chat y recursos comunes.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static/js/app.js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Estado del comparador, favoritos, menú móvil, chat y mensajes.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static/css/app.css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Diseño personalizado, breakpoints y componentes premium.</w:t>
            </w:r>
          </w:p>
        </w:tc>
      </w:tr>
    </w:tbl>
    <w:p>
      <w:pPr>
        <w:widowControl/>
        <w:spacing w:after="60"/>
      </w:pPr>
    </w:p>
    <w:p>
      <w:pPr>
        <w:pStyle w:val="Heading2"/>
        <w:keepNext/>
        <w:widowControl/>
      </w:pPr>
      <w:r>
        <w:t>6.1 Principios aplicados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Responsive real: escritorio, tablet y móvil sin desbordes horizontales.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Accesibilidad básica: etiquetas, estados focus-visible, navegación semántica y aria-label.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Feedback inmediato: contadores, toasts, estados seleccionados y confirmaciones.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Jerarquía visual consistente con los colores ink, brand, mint y cloud.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Precios y disponibilidad marcados como referenciales para no simular sincronización en tiempo real.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7. Base de datos y modelo de dominio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  <w:tblHeader w:val="true"/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Tabla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Propósito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app_user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Usuarios, roles, estado, contraseña BCrypt.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brand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Marcas normalizadas por slug.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store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Tiendas, logo, color y estado.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phone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Modelo base y especificaciones principales.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offer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Precio base por celular y tienda.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phone_variant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Configuraciones de almacenamiento y RAM.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variant_offer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Precio y stock referencial por variante/tienda.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product_review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Calificación, comentario, autor y verificación.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favorite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Relación única usuario-celular.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store_click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Analítica de salida hacia tiendas.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chat_message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Historial de preguntas y respuestas.</w:t>
            </w:r>
          </w:p>
        </w:tc>
      </w:tr>
    </w:tbl>
    <w:p>
      <w:pPr>
        <w:widowControl/>
        <w:spacing w:after="60"/>
      </w:pPr>
    </w:p>
    <w:p>
      <w:pPr>
        <w:pStyle w:val="Heading2"/>
        <w:keepNext/>
        <w:widowControl/>
      </w:pPr>
      <w:r>
        <w:t>7.1 Relaciones esenciales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brand 1 → N phone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phone 1 → N offer; store 1 → N offer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phone 1 → N phone_variant → N variant_offer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phone 1 → N product_review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app_user N ↔ N phone mediante favorite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offer 1 → N store_click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app_user 1 → N chat_message (usuario opcional)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2FF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color w:val="3047A8"/>
                <w:sz w:val="18"/>
              </w:rPr>
              <w:t xml:space="preserve">INTEGRIDAD  </w:t>
            </w:r>
            <w:r>
              <w:rPr>
                <w:rFonts w:ascii="Calibri" w:hAnsi="Calibri"/>
                <w:color w:val="11182F"/>
                <w:sz w:val="21"/>
              </w:rPr>
              <w:t>Las claves foráneas, restricciones únicas, índices y borrados en cascada están definidos en Flyway. Hibernate usa ddl-auto=validate: comprueba el esquema, pero no lo modifica.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8. Flyway: historial de migraciones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650"/>
        <w:gridCol w:w="5810"/>
      </w:tblGrid>
      <w:tr>
        <w:trPr>
          <w:tblHeader w:val="true"/>
          <w:tblHeader w:val="true"/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Versión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Nombre</w:t>
            </w:r>
          </w:p>
        </w:tc>
        <w:tc>
          <w:tcPr>
            <w:tcW w:type="dxa" w:w="5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V1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V1__create_schema.sql</w:t>
            </w:r>
          </w:p>
        </w:tc>
        <w:tc>
          <w:tcPr>
            <w:tcW w:type="dxa" w:w="5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Esquema inicial. Existe una variante para MySQL y otra para PostgreSQL.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V2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V2__seed_catalog.sql</w:t>
            </w:r>
          </w:p>
        </w:tc>
        <w:tc>
          <w:tcPr>
            <w:tcW w:type="dxa" w:w="5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Usuarios demo, marcas, tiendas, seis celulares, ofertas y clics.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V3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V3__harden_demo_passwords.sql</w:t>
            </w:r>
          </w:p>
        </w:tc>
        <w:tc>
          <w:tcPr>
            <w:tcW w:type="dxa" w:w="5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Reemplaza contraseñas iniciales por hashes BCrypt.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V4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V4__use_real_phone_images.sql</w:t>
            </w:r>
          </w:p>
        </w:tc>
        <w:tc>
          <w:tcPr>
            <w:tcW w:type="dxa" w:w="5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Actualiza imágenes de productos.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V5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V5__expand_premium_catalog.sql</w:t>
            </w:r>
          </w:p>
        </w:tc>
        <w:tc>
          <w:tcPr>
            <w:tcW w:type="dxa" w:w="5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Amplía el catálogo a 26 celulares y 11 marcas.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V6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V6__create_product_reviews.sql</w:t>
            </w:r>
          </w:p>
        </w:tc>
        <w:tc>
          <w:tcPr>
            <w:tcW w:type="dxa" w:w="5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Tabla de reseñas para MySQL/PostgreSQL.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V7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V7__seed_product_reviews.sql</w:t>
            </w:r>
          </w:p>
        </w:tc>
        <w:tc>
          <w:tcPr>
            <w:tcW w:type="dxa" w:w="5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Inserta exactamente 100 reseñas contextuales.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V8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V8__create_phone_variants.sql</w:t>
            </w:r>
          </w:p>
        </w:tc>
        <w:tc>
          <w:tcPr>
            <w:tcW w:type="dxa" w:w="5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Tablas de variantes y ofertas por variante.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V9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V9__seed_phone_variants.sql</w:t>
            </w:r>
          </w:p>
        </w:tc>
        <w:tc>
          <w:tcPr>
            <w:tcW w:type="dxa" w:w="5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Inserta 64 configuraciones y disponibilidad referencial.</w:t>
            </w:r>
          </w:p>
        </w:tc>
      </w:tr>
    </w:tbl>
    <w:p>
      <w:pPr>
        <w:widowControl/>
        <w:spacing w:after="60"/>
      </w:pPr>
    </w:p>
    <w:p>
      <w:pPr>
        <w:keepNext w:val="0"/>
        <w:widowControl/>
        <w:spacing w:before="0" w:after="120" w:line="300" w:lineRule="auto"/>
      </w:pPr>
      <w:r>
        <w:rPr>
          <w:rFonts w:ascii="Calibri" w:hAnsi="Calibri"/>
          <w:b w:val="0"/>
          <w:i/>
          <w:color w:val="64748B"/>
          <w:sz w:val="19"/>
        </w:rPr>
        <w:t>Ubicaciones: db/migration contiene migraciones comunes; db/migration-mysql y db/migration-postgres contienen DDL específico por motor.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9. API REST, OpenAPI y Swagger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11182F"/>
          <w:sz w:val="22"/>
        </w:rPr>
        <w:t>La documentación se genera automáticamente con springdoc-openapi 2.8.17, compatible con Spring Boot 3.5.x. Swagger UI permite explorar contratos y probar operaciones públicas.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600"/>
        <w:gridCol w:w="1700"/>
        <w:gridCol w:w="4160"/>
      </w:tblGrid>
      <w:tr>
        <w:trPr>
          <w:tblHeader w:val="true"/>
          <w:tblHeader w:val="true"/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Método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Ruta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Acceso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GET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/api/products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Público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Busca y filtra productos.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POST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/api/chat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Público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Obtiene una recomendación y registra la consulta.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POST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/api/favorites/{phoneId}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Sesión + CSRF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Guarda o quita un favorito.</w:t>
            </w:r>
          </w:p>
        </w:tc>
      </w:tr>
    </w:tbl>
    <w:p>
      <w:pPr>
        <w:widowControl/>
        <w:spacing w:after="60"/>
      </w:pPr>
    </w:p>
    <w:p>
      <w:pPr>
        <w:pStyle w:val="Heading2"/>
        <w:keepNext/>
        <w:widowControl/>
      </w:pPr>
      <w:r>
        <w:t>9.1 Direcciones</w:t>
      </w:r>
    </w:p>
    <w:p>
      <w:pPr>
        <w:keepNext w:val="0"/>
        <w:widowControl/>
        <w:spacing w:before="0" w:after="60" w:line="300" w:lineRule="auto"/>
      </w:pPr>
      <w:r>
        <w:rPr>
          <w:rFonts w:ascii="Calibri" w:hAnsi="Calibri"/>
          <w:b/>
          <w:i w:val="0"/>
          <w:color w:val="11182F"/>
          <w:sz w:val="21"/>
        </w:rPr>
        <w:t xml:space="preserve">Swagger local: </w:t>
      </w:r>
      <w:hyperlink r:id="rId12">
        <w:r>
          <w:rPr>
            <w:color w:val="3047A8"/>
            <w:u w:val="single"/>
          </w:rPr>
          <w:t>Abrir enlace</w:t>
        </w:r>
      </w:hyperlink>
    </w:p>
    <w:p>
      <w:pPr>
        <w:keepNext w:val="0"/>
        <w:widowControl/>
        <w:spacing w:before="0" w:after="60" w:line="300" w:lineRule="auto"/>
      </w:pPr>
      <w:r>
        <w:rPr>
          <w:rFonts w:ascii="Calibri" w:hAnsi="Calibri"/>
          <w:b/>
          <w:i w:val="0"/>
          <w:color w:val="11182F"/>
          <w:sz w:val="21"/>
        </w:rPr>
        <w:t xml:space="preserve">OpenAPI JSON local: </w:t>
      </w:r>
      <w:hyperlink r:id="rId13">
        <w:r>
          <w:rPr>
            <w:color w:val="3047A8"/>
            <w:u w:val="single"/>
          </w:rPr>
          <w:t>Abrir enlace</w:t>
        </w:r>
      </w:hyperlink>
    </w:p>
    <w:p>
      <w:pPr>
        <w:keepNext w:val="0"/>
        <w:widowControl/>
        <w:spacing w:before="0" w:after="60" w:line="300" w:lineRule="auto"/>
      </w:pPr>
      <w:r>
        <w:rPr>
          <w:rFonts w:ascii="Calibri" w:hAnsi="Calibri"/>
          <w:b/>
          <w:i w:val="0"/>
          <w:color w:val="11182F"/>
          <w:sz w:val="21"/>
        </w:rPr>
        <w:t xml:space="preserve">Swagger producción: </w:t>
      </w:r>
      <w:hyperlink r:id="rId14">
        <w:r>
          <w:rPr>
            <w:color w:val="3047A8"/>
            <w:u w:val="single"/>
          </w:rPr>
          <w:t>Abrir enlace</w:t>
        </w:r>
      </w:hyperlink>
    </w:p>
    <w:p>
      <w:pPr>
        <w:keepNext w:val="0"/>
        <w:widowControl/>
        <w:spacing w:before="0" w:after="60" w:line="300" w:lineRule="auto"/>
      </w:pPr>
      <w:r>
        <w:rPr>
          <w:rFonts w:ascii="Calibri" w:hAnsi="Calibri"/>
          <w:b/>
          <w:i w:val="0"/>
          <w:color w:val="11182F"/>
          <w:sz w:val="21"/>
        </w:rPr>
        <w:t xml:space="preserve">OpenAPI JSON producción: </w:t>
      </w:r>
      <w:hyperlink r:id="rId15">
        <w:r>
          <w:rPr>
            <w:color w:val="3047A8"/>
            <w:u w:val="single"/>
          </w:rPr>
          <w:t>Abrir enlace</w:t>
        </w:r>
      </w:hyperlink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8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color w:val="7A5A00"/>
                <w:sz w:val="18"/>
              </w:rPr>
              <w:t xml:space="preserve">FAVORITOS EN SWAGGER  </w:t>
            </w:r>
            <w:r>
              <w:rPr>
                <w:rFonts w:ascii="Calibri" w:hAnsi="Calibri"/>
                <w:color w:val="11182F"/>
                <w:sz w:val="21"/>
              </w:rPr>
              <w:t>La operación requiere una cookie JSESSIONID válida y token CSRF. Para pruebas manuales completas es más sencillo iniciar sesión desde la aplicación y usar el frontend; Swagger conserva el contrato y la seguridad declarada.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10. Seguridad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Control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Autenticación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Formulario Spring Security con sesión HTTP.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Contraseñas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BCrypt con factor de trabajo 12.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Autorización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USER para favoritos; ADMIN para /admin/**.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CSRF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Activo en formularios y favoritos; /api/chat está exceptuado.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Cookies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SameSite=Lax para reducir solicitudes cruzadas.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Consultas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Spring Data JPA usa parámetros; evita SQL concatenado desde el usuario.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Contenedor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8"/>
              </w:rPr>
              <w:t>Proceso ejecutado con usuario Linux no root.</w:t>
            </w:r>
          </w:p>
        </w:tc>
      </w:tr>
    </w:tbl>
    <w:p>
      <w:pPr>
        <w:widowControl/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color w:val="9B1C1C"/>
                <w:sz w:val="18"/>
              </w:rPr>
              <w:t xml:space="preserve">ACCIÓN OBLIGATORIA  </w:t>
            </w:r>
            <w:r>
              <w:rPr>
                <w:rFonts w:ascii="Calibri" w:hAnsi="Calibri"/>
                <w:color w:val="11182F"/>
                <w:sz w:val="21"/>
              </w:rPr>
              <w:t>Las cuentas demo están documentadas para evaluación. En un entorno comercial deben eliminarse o rotarse, y los secretos deben permanecer únicamente como variables de entorno.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11. Despliegue y operación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11182F"/>
          <w:sz w:val="22"/>
        </w:rPr>
        <w:t>El repositorio GitHub es la fuente del despliegue. Render detecta commits en master, construye el Dockerfile y publica el servicio. PostgreSQL vive como recurso separado del mismo Blueprint.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100"/>
        <w:gridCol w:w="3560"/>
        <w:gridCol w:w="2000"/>
      </w:tblGrid>
      <w:tr>
        <w:trPr>
          <w:tblHeader w:val="true"/>
          <w:tblHeader w:val="true"/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Recurso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Proveedor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Configuración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Modalidad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Aplicación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Render Web Service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celucheck.onrender.com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Plan free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Base de datos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Render PostgreSQL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Perfil Spring render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Plan free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Construcción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Docker multi-stage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Maven 3.9.11 + Temurin 17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JAR ejecutable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Runtime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Temurin JRE 17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Usuario celucheck no root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Puerto Render</w:t>
            </w:r>
          </w:p>
        </w:tc>
      </w:tr>
    </w:tbl>
    <w:p>
      <w:pPr>
        <w:widowControl/>
        <w:spacing w:after="60"/>
      </w:pPr>
    </w:p>
    <w:p>
      <w:pPr>
        <w:pStyle w:val="Heading2"/>
        <w:keepNext/>
        <w:widowControl/>
      </w:pPr>
      <w:r>
        <w:t>11.1 Variables de entorno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SPRING_PROFILES_ACTIVE=render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DATABASE_URL (entregada por Render)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DB_NAME, DB_USERNAME y DB_PASSWORD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PORT (inyectado por Render)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DB_URL opcional para MySQL local personalizado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12. Pruebas y aseguramiento de calidad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500"/>
        <w:gridCol w:w="5260"/>
      </w:tblGrid>
      <w:tr>
        <w:trPr>
          <w:tblHeader w:val="true"/>
          <w:tblHeader w:val="true"/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Suite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Cobertura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CeluCheckWebTest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8 pruebas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Páginas públicas, perfiles, comparador, seguridad, admin, chat, login BCrypt y OpenAPI.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PostgresMigrationCompatibilityTest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1 escenario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Ejecuta V1–V9 en H2 modo PostgreSQL y valida 26 celulares, 100 reseñas y 64 variantes.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QA visual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Manual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Catálogo admin y detalle revisados en escritorio y móvil sin overflow horizontal.</w:t>
            </w:r>
          </w:p>
        </w:tc>
      </w:tr>
    </w:tbl>
    <w:p>
      <w:pPr>
        <w:widowControl/>
        <w:spacing w:after="60"/>
      </w:pPr>
    </w:p>
    <w:p>
      <w:pPr>
        <w:keepNext w:val="0"/>
        <w:widowControl/>
        <w:spacing w:before="0" w:after="120" w:line="300" w:lineRule="auto"/>
      </w:pPr>
      <w:r>
        <w:rPr>
          <w:rFonts w:ascii="Calibri" w:hAnsi="Calibri"/>
          <w:b/>
          <w:i w:val="0"/>
          <w:color w:val="3047A8"/>
          <w:sz w:val="21"/>
        </w:rPr>
        <w:t>Comando: mvn test</w:t>
      </w:r>
    </w:p>
    <w:p>
      <w:pPr>
        <w:pStyle w:val="Heading1"/>
        <w:keepNext/>
        <w:widowControl/>
      </w:pPr>
      <w:r>
        <w:t>13. Guía de ejecución local</w:t>
      </w:r>
    </w:p>
    <w:p>
      <w:pPr>
        <w:pStyle w:val="Heading2"/>
        <w:keepNext/>
        <w:widowControl/>
      </w:pPr>
      <w:r>
        <w:t>13.1 Requisitos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Java 17 o superior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Maven 3.9 o superior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MySQL 8 o superior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Node.js/npm solamente para recompilar Tailwind</w:t>
      </w:r>
    </w:p>
    <w:p>
      <w:pPr>
        <w:pStyle w:val="Heading2"/>
        <w:keepNext/>
        <w:widowControl/>
      </w:pPr>
      <w:r>
        <w:t>13.2 Base de datos y aplicación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Crear la base: CREATE DATABASE celucheck;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Configurar DB_USERNAME y DB_PASSWORD si no se usan root/root.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Ejecutar mvn spring-boot:run desde C:\SpringProjectsnew\compy.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Abrir http://localhost:8080.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Flyway aplicará automáticamente las migraciones pendientes.</w:t>
      </w:r>
    </w:p>
    <w:p>
      <w:pPr>
        <w:pStyle w:val="Heading2"/>
        <w:keepNext/>
        <w:widowControl/>
      </w:pPr>
      <w:r>
        <w:t>13.3 CSS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npm install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/>
          <w:color w:val="11182F"/>
          <w:sz w:val="21"/>
        </w:rPr>
        <w:t>npm run build:css</w:t>
      </w:r>
    </w:p>
    <w:p>
      <w:pPr>
        <w:pStyle w:val="Heading1"/>
        <w:keepNext/>
        <w:widowControl/>
      </w:pPr>
      <w:r>
        <w:t>14. Mapa de ubicaciones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Elemento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Ruta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Configuración Maven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pom.xml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Configuración Spring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src/main/resources/application.yml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Seguridad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src/main/java/pe/celucheck/config/SecurityConfig.java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Swagger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src/main/java/pe/celucheck/config/OpenApiConfig.java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Controladores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src/main/java/pe/celucheck/web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Servicios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src/main/java/pe/celucheck/service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Entidades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src/main/java/pe/celucheck/domain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Repositorios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src/main/java/pe/celucheck/repository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DTO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src/main/java/pe/celucheck/dto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Vistas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src/main/resources/templates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CSS fuente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src/main/resources/static/css/app.css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CSS compilado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src/main/resources/static/css/tailwind.css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JavaScript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src/main/resources/static/js/app.js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Migraciones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src/main/resources/db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Pruebas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src/test/java/pe/celucheck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Docker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Dockerfile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Render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render.yaml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Documentación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README.md y docs/Documentacion_Tecnica_CeluCheck.docx</w:t>
            </w:r>
          </w:p>
        </w:tc>
      </w:tr>
    </w:tbl>
    <w:p>
      <w:pPr>
        <w:widowControl/>
        <w:spacing w:after="6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15. Limitaciones actuales y próximos pasos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500"/>
        <w:gridCol w:w="4160"/>
      </w:tblGrid>
      <w:tr>
        <w:trPr>
          <w:tblHeader w:val="true"/>
          <w:tblHeader w:val="true"/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Área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Estado actual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1182F"/>
                <w:sz w:val="18"/>
              </w:rPr>
              <w:t>Evolución recomendada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Sincronización de tiendas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Los precios, enlaces y stocks son referenciales.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Integrar APIs o feeds autorizados y tareas programadas.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Asistente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Motor por reglas; no mantiene conversación semántica profunda.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Integrar un LLM con RAG, moderación, límites y control de costos.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Variantes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Parte de precios secundarios se deriva como demo.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Persistir SKU oficial y stock real por tienda.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Imágenes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Algunos equipos consumen imágenes externas.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Usar CDN propio con licencias y optimización WebP/AVIF.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Observabilidad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Métricas internas básicas.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Agregar Actuator, logs estructurados, alertas y trazas.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Infraestructura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Render free puede dormir y tardar al arrancar.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82F"/>
                <w:sz w:val="17"/>
              </w:rPr>
              <w:t>Migrar a plan persistente con backups y SLA.</w:t>
            </w:r>
          </w:p>
        </w:tc>
      </w:tr>
    </w:tbl>
    <w:p>
      <w:pPr>
        <w:widowControl/>
        <w:spacing w:after="60"/>
      </w:pPr>
    </w:p>
    <w:p>
      <w:pPr>
        <w:pStyle w:val="Heading1"/>
        <w:keepNext/>
        <w:widowControl/>
      </w:pPr>
      <w:r>
        <w:t>16. Fuentes y referencias</w:t>
      </w:r>
    </w:p>
    <w:p>
      <w:pPr>
        <w:keepNext w:val="0"/>
        <w:widowControl/>
        <w:spacing w:before="0" w:after="60" w:line="300" w:lineRule="auto"/>
      </w:pPr>
      <w:r>
        <w:rPr>
          <w:rFonts w:ascii="Calibri" w:hAnsi="Calibri"/>
          <w:b/>
          <w:i w:val="0"/>
          <w:color w:val="11182F"/>
          <w:sz w:val="20"/>
        </w:rPr>
        <w:t xml:space="preserve">Código fuente local: </w:t>
      </w:r>
      <w:r>
        <w:rPr>
          <w:rFonts w:ascii="Calibri" w:hAnsi="Calibri"/>
          <w:color w:val="64748B"/>
          <w:sz w:val="20"/>
        </w:rPr>
        <w:t>C:\SpringProjectsnew\compy</w:t>
      </w:r>
    </w:p>
    <w:p>
      <w:pPr>
        <w:keepNext w:val="0"/>
        <w:widowControl/>
        <w:spacing w:before="0" w:after="60" w:line="300" w:lineRule="auto"/>
      </w:pPr>
      <w:r>
        <w:rPr>
          <w:rFonts w:ascii="Calibri" w:hAnsi="Calibri"/>
          <w:b/>
          <w:i w:val="0"/>
          <w:color w:val="11182F"/>
          <w:sz w:val="20"/>
        </w:rPr>
        <w:t xml:space="preserve">Sitio CeluCheck: </w:t>
      </w:r>
      <w:hyperlink r:id="rId11">
        <w:r>
          <w:rPr>
            <w:color w:val="3047A8"/>
            <w:u w:val="single"/>
          </w:rPr>
          <w:t>Abrir referencia</w:t>
        </w:r>
      </w:hyperlink>
    </w:p>
    <w:p>
      <w:pPr>
        <w:keepNext w:val="0"/>
        <w:widowControl/>
        <w:spacing w:before="0" w:after="60" w:line="300" w:lineRule="auto"/>
      </w:pPr>
      <w:r>
        <w:rPr>
          <w:rFonts w:ascii="Calibri" w:hAnsi="Calibri"/>
          <w:b/>
          <w:i w:val="0"/>
          <w:color w:val="11182F"/>
          <w:sz w:val="20"/>
        </w:rPr>
        <w:t xml:space="preserve">Springdoc OpenAPI: </w:t>
      </w:r>
      <w:hyperlink r:id="rId16">
        <w:r>
          <w:rPr>
            <w:color w:val="3047A8"/>
            <w:u w:val="single"/>
          </w:rPr>
          <w:t>Abrir referencia</w:t>
        </w:r>
      </w:hyperlink>
    </w:p>
    <w:p>
      <w:pPr>
        <w:keepNext w:val="0"/>
        <w:widowControl/>
        <w:spacing w:before="0" w:after="60" w:line="300" w:lineRule="auto"/>
      </w:pPr>
      <w:r>
        <w:rPr>
          <w:rFonts w:ascii="Calibri" w:hAnsi="Calibri"/>
          <w:b/>
          <w:i w:val="0"/>
          <w:color w:val="11182F"/>
          <w:sz w:val="20"/>
        </w:rPr>
        <w:t xml:space="preserve">Swagger UI: </w:t>
      </w:r>
      <w:hyperlink r:id="rId17">
        <w:r>
          <w:rPr>
            <w:color w:val="3047A8"/>
            <w:u w:val="single"/>
          </w:rPr>
          <w:t>Abrir referencia</w:t>
        </w:r>
      </w:hyperlink>
    </w:p>
    <w:p>
      <w:pPr>
        <w:keepNext w:val="0"/>
        <w:widowControl/>
        <w:spacing w:before="0" w:after="60" w:line="300" w:lineRule="auto"/>
      </w:pPr>
      <w:r>
        <w:rPr>
          <w:rFonts w:ascii="Calibri" w:hAnsi="Calibri"/>
          <w:b/>
          <w:i w:val="0"/>
          <w:color w:val="11182F"/>
          <w:sz w:val="20"/>
        </w:rPr>
        <w:t xml:space="preserve">Spring Boot: </w:t>
      </w:r>
      <w:hyperlink r:id="rId18">
        <w:r>
          <w:rPr>
            <w:color w:val="3047A8"/>
            <w:u w:val="single"/>
          </w:rPr>
          <w:t>Abrir referencia</w:t>
        </w:r>
      </w:hyperlink>
    </w:p>
    <w:p>
      <w:pPr>
        <w:keepNext w:val="0"/>
        <w:widowControl/>
        <w:spacing w:before="0" w:after="60" w:line="300" w:lineRule="auto"/>
      </w:pPr>
      <w:r>
        <w:rPr>
          <w:rFonts w:ascii="Calibri" w:hAnsi="Calibri"/>
          <w:b/>
          <w:i w:val="0"/>
          <w:color w:val="11182F"/>
          <w:sz w:val="20"/>
        </w:rPr>
        <w:t xml:space="preserve">Flyway: </w:t>
      </w:r>
      <w:hyperlink r:id="rId19">
        <w:r>
          <w:rPr>
            <w:color w:val="3047A8"/>
            <w:u w:val="single"/>
          </w:rPr>
          <w:t>Abrir referencia</w:t>
        </w:r>
      </w:hyperlink>
    </w:p>
    <w:p>
      <w:pPr>
        <w:keepNext w:val="0"/>
        <w:widowControl/>
        <w:spacing w:before="0" w:after="60" w:line="300" w:lineRule="auto"/>
      </w:pPr>
      <w:r>
        <w:rPr>
          <w:rFonts w:ascii="Calibri" w:hAnsi="Calibri"/>
          <w:b/>
          <w:i w:val="0"/>
          <w:color w:val="11182F"/>
          <w:sz w:val="20"/>
        </w:rPr>
        <w:t xml:space="preserve">Render: </w:t>
      </w:r>
      <w:hyperlink r:id="rId20">
        <w:r>
          <w:rPr>
            <w:color w:val="3047A8"/>
            <w:u w:val="single"/>
          </w:rPr>
          <w:t>Abrir referencia</w:t>
        </w:r>
      </w:hyperlink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BF6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color w:val="16C7A3"/>
                <w:sz w:val="18"/>
              </w:rPr>
              <w:t xml:space="preserve">CONCLUSIÓN  </w:t>
            </w:r>
            <w:r>
              <w:rPr>
                <w:rFonts w:ascii="Calibri" w:hAnsi="Calibri"/>
                <w:color w:val="11182F"/>
                <w:sz w:val="21"/>
              </w:rPr>
              <w:t>CeluCheck ya funciona como una plataforma full stack completa y desplegada. Su arquitectura permite evolucionar hacia sincronización real de tiendas y un asistente generativo sin reemplazar la base actual.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4748B"/>
        <w:sz w:val="17"/>
      </w:rPr>
      <w:t>CELUCHECK  |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3047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047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elucheck.onrender.com" TargetMode="External"/><Relationship Id="rId12" Type="http://schemas.openxmlformats.org/officeDocument/2006/relationships/hyperlink" Target="http://localhost:8080/swagger-ui.html" TargetMode="External"/><Relationship Id="rId13" Type="http://schemas.openxmlformats.org/officeDocument/2006/relationships/hyperlink" Target="http://localhost:8080/v3/api-docs" TargetMode="External"/><Relationship Id="rId14" Type="http://schemas.openxmlformats.org/officeDocument/2006/relationships/hyperlink" Target="https://celucheck.onrender.com/swagger-ui.html" TargetMode="External"/><Relationship Id="rId15" Type="http://schemas.openxmlformats.org/officeDocument/2006/relationships/hyperlink" Target="https://celucheck.onrender.com/v3/api-docs" TargetMode="External"/><Relationship Id="rId16" Type="http://schemas.openxmlformats.org/officeDocument/2006/relationships/hyperlink" Target="https://springdoc.org/" TargetMode="External"/><Relationship Id="rId17" Type="http://schemas.openxmlformats.org/officeDocument/2006/relationships/hyperlink" Target="https://swagger.io/tools/swagger-ui/" TargetMode="External"/><Relationship Id="rId18" Type="http://schemas.openxmlformats.org/officeDocument/2006/relationships/hyperlink" Target="https://spring.io/projects/spring-boot" TargetMode="External"/><Relationship Id="rId19" Type="http://schemas.openxmlformats.org/officeDocument/2006/relationships/hyperlink" Target="https://documentation.red-gate.com/flyway" TargetMode="External"/><Relationship Id="rId20" Type="http://schemas.openxmlformats.org/officeDocument/2006/relationships/hyperlink" Target="https://render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CeluCheck</dc:title>
  <dc:subject>Arquitectura, tecnologías, inteligencia, API y operación</dc:subject>
  <dc:creator>CeluCheck</dc:creator>
  <cp:keywords>CeluCheck, Spring Boot, Java, Flyway, Swagger, OpenAPI, Render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