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824D2" w14:textId="33DF6C05" w:rsidR="00516570" w:rsidRDefault="00813B28">
      <w:pPr>
        <w:rPr>
          <w:b/>
        </w:rPr>
      </w:pPr>
      <w:r>
        <w:rPr>
          <w:b/>
        </w:rPr>
        <w:t>PROCEDURE</w:t>
      </w:r>
      <w:r w:rsidR="00516570">
        <w:rPr>
          <w:b/>
        </w:rPr>
        <w:t>:</w:t>
      </w:r>
    </w:p>
    <w:p w14:paraId="35A8FA04" w14:textId="64BD3708" w:rsidR="00516570" w:rsidRPr="00516570" w:rsidRDefault="3EFCA3F7" w:rsidP="4DE57FD4">
      <w:pPr>
        <w:pStyle w:val="ListParagraph"/>
        <w:numPr>
          <w:ilvl w:val="0"/>
          <w:numId w:val="2"/>
        </w:numPr>
      </w:pPr>
      <w:r>
        <w:t xml:space="preserve">UV </w:t>
      </w:r>
      <w:r w:rsidR="71E35F4E">
        <w:t>d</w:t>
      </w:r>
      <w:r>
        <w:t xml:space="preserve">isinfection </w:t>
      </w:r>
      <w:r w:rsidR="61005153">
        <w:t>s</w:t>
      </w:r>
      <w:r w:rsidR="0CAA4BFA">
        <w:t>ystem</w:t>
      </w:r>
      <w:r>
        <w:t xml:space="preserve"> to be used to treat patient rooms on select inpatient units following a manual discharge clean by Environmental Services. </w:t>
      </w:r>
      <w:r w:rsidR="6752970C">
        <w:t xml:space="preserve"> UV </w:t>
      </w:r>
      <w:r w:rsidR="38C42135">
        <w:t>d</w:t>
      </w:r>
      <w:r w:rsidR="6752970C">
        <w:t>isinfection</w:t>
      </w:r>
      <w:r w:rsidR="7AAAFCA9">
        <w:t xml:space="preserve"> </w:t>
      </w:r>
      <w:r w:rsidR="62CBD1B7">
        <w:t>s</w:t>
      </w:r>
      <w:r w:rsidR="7AAAFCA9">
        <w:t>ystem</w:t>
      </w:r>
      <w:r w:rsidR="6752970C">
        <w:t xml:space="preserve"> may</w:t>
      </w:r>
      <w:r>
        <w:t xml:space="preserve"> not be used on rooms that have not been manually cleaned and disinfected by EVS.</w:t>
      </w:r>
    </w:p>
    <w:p w14:paraId="0703F19D" w14:textId="59D3FC0D" w:rsidR="00516570" w:rsidRPr="00516570" w:rsidRDefault="74AC6646" w:rsidP="4DE57FD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</w:t>
      </w:r>
      <w:r w:rsidR="3EFCA3F7">
        <w:t xml:space="preserve">UV </w:t>
      </w:r>
      <w:r w:rsidR="4405BA13">
        <w:t>d</w:t>
      </w:r>
      <w:r w:rsidR="3EFCA3F7">
        <w:t xml:space="preserve">isinfection </w:t>
      </w:r>
      <w:r w:rsidR="0FF49471">
        <w:t>s</w:t>
      </w:r>
      <w:r w:rsidR="3FA4FD12">
        <w:t>ystem is</w:t>
      </w:r>
      <w:r w:rsidR="3EFCA3F7">
        <w:t xml:space="preserve"> approved for discharge disinfection on the following units. </w:t>
      </w:r>
    </w:p>
    <w:tbl>
      <w:tblPr>
        <w:tblW w:w="8820" w:type="dxa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0"/>
        <w:gridCol w:w="4050"/>
      </w:tblGrid>
      <w:tr w:rsidR="002B3B46" w:rsidRPr="005C4EDF" w14:paraId="06D9D596" w14:textId="77777777" w:rsidTr="002B3B46">
        <w:tc>
          <w:tcPr>
            <w:tcW w:w="4770" w:type="dxa"/>
            <w:shd w:val="clear" w:color="auto" w:fill="auto"/>
          </w:tcPr>
          <w:p w14:paraId="0FFE63E3" w14:textId="77777777" w:rsidR="002B3B46" w:rsidRPr="005C4EDF" w:rsidRDefault="002B3B46" w:rsidP="002B3B46">
            <w:pPr>
              <w:spacing w:after="0" w:line="240" w:lineRule="auto"/>
              <w:jc w:val="center"/>
              <w:rPr>
                <w:b/>
              </w:rPr>
            </w:pPr>
            <w:r w:rsidRPr="005C4EDF">
              <w:rPr>
                <w:b/>
              </w:rPr>
              <w:t>Unit</w:t>
            </w:r>
          </w:p>
        </w:tc>
        <w:tc>
          <w:tcPr>
            <w:tcW w:w="4050" w:type="dxa"/>
            <w:shd w:val="clear" w:color="auto" w:fill="auto"/>
          </w:tcPr>
          <w:p w14:paraId="6F35DBC6" w14:textId="77777777" w:rsidR="002B3B46" w:rsidRPr="005C4EDF" w:rsidRDefault="002B3B46" w:rsidP="002B3B46">
            <w:pPr>
              <w:spacing w:after="0" w:line="240" w:lineRule="auto"/>
              <w:jc w:val="center"/>
              <w:rPr>
                <w:b/>
              </w:rPr>
            </w:pPr>
            <w:r w:rsidRPr="005C4EDF">
              <w:rPr>
                <w:b/>
              </w:rPr>
              <w:t>Frequency</w:t>
            </w:r>
          </w:p>
        </w:tc>
      </w:tr>
      <w:tr w:rsidR="002B3B46" w:rsidRPr="005C4EDF" w14:paraId="5F7A2F9A" w14:textId="77777777" w:rsidTr="002B3B46">
        <w:tc>
          <w:tcPr>
            <w:tcW w:w="4770" w:type="dxa"/>
            <w:shd w:val="clear" w:color="auto" w:fill="auto"/>
          </w:tcPr>
          <w:p w14:paraId="154FC1FB" w14:textId="2B4888C3" w:rsidR="002B3B46" w:rsidRPr="005C4EDF" w:rsidRDefault="002B3B46" w:rsidP="005C4EDF">
            <w:pPr>
              <w:spacing w:after="0" w:line="240" w:lineRule="auto"/>
            </w:pPr>
            <w:r>
              <w:t xml:space="preserve">Anderson Pavilion PICU, NICCU, CTICU </w:t>
            </w:r>
          </w:p>
          <w:p w14:paraId="672A6659" w14:textId="77777777" w:rsidR="002B3B46" w:rsidRPr="005C4EDF" w:rsidRDefault="002B3B46" w:rsidP="005C4EDF">
            <w:pPr>
              <w:spacing w:after="0" w:line="240" w:lineRule="auto"/>
              <w:rPr>
                <w:b/>
              </w:rPr>
            </w:pPr>
          </w:p>
        </w:tc>
        <w:tc>
          <w:tcPr>
            <w:tcW w:w="4050" w:type="dxa"/>
            <w:shd w:val="clear" w:color="auto" w:fill="auto"/>
          </w:tcPr>
          <w:p w14:paraId="0E0542E1" w14:textId="77777777" w:rsidR="002B3B46" w:rsidRPr="005C4EDF" w:rsidRDefault="002B3B46" w:rsidP="005C4EDF">
            <w:pPr>
              <w:spacing w:after="0" w:line="240" w:lineRule="auto"/>
            </w:pPr>
            <w:r w:rsidRPr="005C4EDF">
              <w:t xml:space="preserve">After discharges </w:t>
            </w:r>
          </w:p>
        </w:tc>
      </w:tr>
      <w:tr w:rsidR="002B3B46" w:rsidRPr="005C4EDF" w14:paraId="11D19B47" w14:textId="77777777" w:rsidTr="002B3B46">
        <w:tc>
          <w:tcPr>
            <w:tcW w:w="4770" w:type="dxa"/>
            <w:shd w:val="clear" w:color="auto" w:fill="auto"/>
          </w:tcPr>
          <w:p w14:paraId="189E8B4D" w14:textId="77777777" w:rsidR="002B3B46" w:rsidRPr="005C4EDF" w:rsidRDefault="002B3B46" w:rsidP="005C4EDF">
            <w:pPr>
              <w:spacing w:after="0" w:line="240" w:lineRule="auto"/>
            </w:pPr>
            <w:r w:rsidRPr="005C4EDF">
              <w:t>Anderson Pavilion 4East</w:t>
            </w:r>
          </w:p>
          <w:p w14:paraId="5DAB6C7B" w14:textId="77777777" w:rsidR="002B3B46" w:rsidRPr="005C4EDF" w:rsidRDefault="002B3B46" w:rsidP="005C4EDF">
            <w:pPr>
              <w:spacing w:after="0" w:line="240" w:lineRule="auto"/>
              <w:rPr>
                <w:b/>
              </w:rPr>
            </w:pPr>
          </w:p>
        </w:tc>
        <w:tc>
          <w:tcPr>
            <w:tcW w:w="4050" w:type="dxa"/>
            <w:shd w:val="clear" w:color="auto" w:fill="auto"/>
          </w:tcPr>
          <w:p w14:paraId="5B556CE8" w14:textId="77777777" w:rsidR="002B3B46" w:rsidRPr="005C4EDF" w:rsidRDefault="002B3B46" w:rsidP="005C4EDF">
            <w:pPr>
              <w:spacing w:after="0" w:line="240" w:lineRule="auto"/>
            </w:pPr>
            <w:r w:rsidRPr="005C4EDF">
              <w:t xml:space="preserve">After discharges </w:t>
            </w:r>
          </w:p>
        </w:tc>
      </w:tr>
      <w:tr w:rsidR="002B3B46" w:rsidRPr="005C4EDF" w14:paraId="26C2C9D3" w14:textId="77777777" w:rsidTr="002B3B46">
        <w:tc>
          <w:tcPr>
            <w:tcW w:w="4770" w:type="dxa"/>
            <w:shd w:val="clear" w:color="auto" w:fill="auto"/>
          </w:tcPr>
          <w:p w14:paraId="366142CA" w14:textId="77777777" w:rsidR="002B3B46" w:rsidRPr="002B3B46" w:rsidRDefault="002B3B46" w:rsidP="005C4EDF">
            <w:pPr>
              <w:spacing w:after="0" w:line="240" w:lineRule="auto"/>
            </w:pPr>
            <w:r w:rsidRPr="002B3B46">
              <w:t>Anderson Pavilion 4West</w:t>
            </w:r>
          </w:p>
          <w:p w14:paraId="02EB378F" w14:textId="77777777" w:rsidR="002B3B46" w:rsidRPr="002B3B46" w:rsidRDefault="002B3B46" w:rsidP="005C4EDF">
            <w:pPr>
              <w:spacing w:after="0" w:line="240" w:lineRule="auto"/>
              <w:rPr>
                <w:b/>
              </w:rPr>
            </w:pPr>
          </w:p>
        </w:tc>
        <w:tc>
          <w:tcPr>
            <w:tcW w:w="4050" w:type="dxa"/>
            <w:shd w:val="clear" w:color="auto" w:fill="auto"/>
          </w:tcPr>
          <w:p w14:paraId="12D1309B" w14:textId="77777777" w:rsidR="002B3B46" w:rsidRPr="002B3B46" w:rsidRDefault="002B3B46" w:rsidP="005C4EDF">
            <w:pPr>
              <w:spacing w:after="0" w:line="240" w:lineRule="auto"/>
            </w:pPr>
            <w:r w:rsidRPr="002B3B46">
              <w:t xml:space="preserve">After discharges </w:t>
            </w:r>
          </w:p>
        </w:tc>
      </w:tr>
      <w:tr w:rsidR="002B3B46" w14:paraId="7DAABB42" w14:textId="77777777" w:rsidTr="002B3B46">
        <w:tc>
          <w:tcPr>
            <w:tcW w:w="4770" w:type="dxa"/>
            <w:shd w:val="clear" w:color="auto" w:fill="auto"/>
          </w:tcPr>
          <w:p w14:paraId="161A3FB8" w14:textId="52DA611D" w:rsidR="002B3B46" w:rsidRPr="002B3B46" w:rsidRDefault="002B3B46" w:rsidP="6F3CE2AB">
            <w:pPr>
              <w:spacing w:line="240" w:lineRule="auto"/>
            </w:pPr>
            <w:r w:rsidRPr="002B3B46">
              <w:t>BMT: Overflow/ Re-admits</w:t>
            </w:r>
          </w:p>
        </w:tc>
        <w:tc>
          <w:tcPr>
            <w:tcW w:w="4050" w:type="dxa"/>
            <w:shd w:val="clear" w:color="auto" w:fill="auto"/>
          </w:tcPr>
          <w:p w14:paraId="4CD53DD2" w14:textId="368E47DC" w:rsidR="002B3B46" w:rsidRPr="002B3B46" w:rsidRDefault="002B3B46" w:rsidP="45C51A63">
            <w:pPr>
              <w:spacing w:line="240" w:lineRule="auto"/>
            </w:pPr>
            <w:r w:rsidRPr="002B3B46">
              <w:t>Prior to admission</w:t>
            </w:r>
          </w:p>
          <w:p w14:paraId="2020CBF1" w14:textId="45F70932" w:rsidR="002B3B46" w:rsidRPr="002B3B46" w:rsidRDefault="002B3B46" w:rsidP="17C4FCC3">
            <w:pPr>
              <w:spacing w:line="240" w:lineRule="auto"/>
            </w:pPr>
          </w:p>
          <w:p w14:paraId="707F2D23" w14:textId="70A34C1F" w:rsidR="002B3B46" w:rsidRPr="002B3B46" w:rsidRDefault="002B3B46" w:rsidP="45C51A63">
            <w:pPr>
              <w:spacing w:line="240" w:lineRule="auto"/>
              <w:rPr>
                <w:rFonts w:cs="Calibri"/>
              </w:rPr>
            </w:pPr>
            <w:r w:rsidRPr="002B3B46">
              <w:t xml:space="preserve">Note: </w:t>
            </w:r>
            <w:r w:rsidRPr="002B3B46">
              <w:rPr>
                <w:rFonts w:cs="Calibri"/>
              </w:rPr>
              <w:t>In the event of a critical bed shortage, UV disinfection can be skipped at the direction of the House Sup if not BMT patient</w:t>
            </w:r>
          </w:p>
          <w:p w14:paraId="4FB4D34F" w14:textId="2E707C33" w:rsidR="002B3B46" w:rsidRPr="002B3B46" w:rsidRDefault="002B3B46" w:rsidP="45C51A63">
            <w:pPr>
              <w:spacing w:line="240" w:lineRule="auto"/>
            </w:pPr>
          </w:p>
        </w:tc>
      </w:tr>
      <w:tr w:rsidR="002B3B46" w:rsidRPr="005C4EDF" w14:paraId="7CE455D0" w14:textId="77777777" w:rsidTr="002B3B46">
        <w:tc>
          <w:tcPr>
            <w:tcW w:w="4770" w:type="dxa"/>
            <w:shd w:val="clear" w:color="auto" w:fill="auto"/>
          </w:tcPr>
          <w:p w14:paraId="3AD95BDC" w14:textId="77777777" w:rsidR="002B3B46" w:rsidRPr="002B3B46" w:rsidRDefault="002B3B46" w:rsidP="005C4EDF">
            <w:pPr>
              <w:spacing w:after="0" w:line="240" w:lineRule="auto"/>
            </w:pPr>
            <w:r w:rsidRPr="002B3B46">
              <w:t>Main Operating Room</w:t>
            </w:r>
          </w:p>
        </w:tc>
        <w:tc>
          <w:tcPr>
            <w:tcW w:w="4050" w:type="dxa"/>
            <w:shd w:val="clear" w:color="auto" w:fill="auto"/>
          </w:tcPr>
          <w:p w14:paraId="5D389F2A" w14:textId="77777777" w:rsidR="002B3B46" w:rsidRPr="002B3B46" w:rsidRDefault="002B3B46" w:rsidP="005C4EDF">
            <w:pPr>
              <w:spacing w:after="0" w:line="240" w:lineRule="auto"/>
            </w:pPr>
            <w:r w:rsidRPr="002B3B46">
              <w:t>Nightly terminal cleans of all Main Operating Rooms</w:t>
            </w:r>
          </w:p>
        </w:tc>
      </w:tr>
      <w:tr w:rsidR="002B3B46" w14:paraId="5ED36128" w14:textId="77777777" w:rsidTr="002B3B46">
        <w:tc>
          <w:tcPr>
            <w:tcW w:w="4770" w:type="dxa"/>
            <w:shd w:val="clear" w:color="auto" w:fill="auto"/>
          </w:tcPr>
          <w:p w14:paraId="1117F171" w14:textId="60A9F878" w:rsidR="002B3B46" w:rsidRPr="002B3B46" w:rsidRDefault="002B3B46" w:rsidP="356F2D34">
            <w:pPr>
              <w:spacing w:line="240" w:lineRule="auto"/>
            </w:pPr>
            <w:r w:rsidRPr="002B3B46">
              <w:t>Contact (+), Combined-droplet (+), Enhanced Contact, Enhanced Droplet, and SP Eyewear (excluding ED)</w:t>
            </w:r>
          </w:p>
        </w:tc>
        <w:tc>
          <w:tcPr>
            <w:tcW w:w="4050" w:type="dxa"/>
            <w:shd w:val="clear" w:color="auto" w:fill="auto"/>
          </w:tcPr>
          <w:p w14:paraId="04AB503B" w14:textId="35E1A355" w:rsidR="002B3B46" w:rsidRPr="002B3B46" w:rsidRDefault="002B3B46" w:rsidP="7FCFB28E">
            <w:pPr>
              <w:spacing w:line="240" w:lineRule="auto"/>
            </w:pPr>
            <w:r w:rsidRPr="002B3B46">
              <w:t>After discharges</w:t>
            </w:r>
          </w:p>
        </w:tc>
      </w:tr>
      <w:tr w:rsidR="002B3B46" w14:paraId="7B17C416" w14:textId="77777777" w:rsidTr="002B3B46">
        <w:trPr>
          <w:trHeight w:val="300"/>
        </w:trPr>
        <w:tc>
          <w:tcPr>
            <w:tcW w:w="4770" w:type="dxa"/>
            <w:shd w:val="clear" w:color="auto" w:fill="auto"/>
          </w:tcPr>
          <w:p w14:paraId="23987531" w14:textId="5D852EEF" w:rsidR="002B3B46" w:rsidRPr="002B3B46" w:rsidRDefault="002B3B46" w:rsidP="7BA4F85C">
            <w:pPr>
              <w:spacing w:line="240" w:lineRule="auto"/>
            </w:pPr>
            <w:r w:rsidRPr="002B3B46">
              <w:t>Pharmacy</w:t>
            </w:r>
          </w:p>
        </w:tc>
        <w:tc>
          <w:tcPr>
            <w:tcW w:w="4050" w:type="dxa"/>
            <w:shd w:val="clear" w:color="auto" w:fill="auto"/>
          </w:tcPr>
          <w:p w14:paraId="35CDB630" w14:textId="346C8910" w:rsidR="002B3B46" w:rsidRPr="002B3B46" w:rsidRDefault="002B3B46" w:rsidP="7BA4F85C">
            <w:pPr>
              <w:spacing w:line="240" w:lineRule="auto"/>
            </w:pPr>
            <w:r w:rsidRPr="002B3B46">
              <w:t xml:space="preserve">May be requested as needed </w:t>
            </w:r>
          </w:p>
          <w:p w14:paraId="3D820ABF" w14:textId="241C1FF0" w:rsidR="002B3B46" w:rsidRPr="002B3B46" w:rsidRDefault="002B3B46" w:rsidP="7BA4F85C">
            <w:pPr>
              <w:spacing w:line="240" w:lineRule="auto"/>
            </w:pPr>
            <w:r w:rsidRPr="002B3B46">
              <w:t>See Pharm 097 for details</w:t>
            </w:r>
          </w:p>
        </w:tc>
      </w:tr>
    </w:tbl>
    <w:p w14:paraId="27C7838D" w14:textId="227B9354" w:rsidR="00516570" w:rsidRPr="00437D74" w:rsidRDefault="29230F09" w:rsidP="4DE57FD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UV </w:t>
      </w:r>
      <w:r w:rsidR="5C54F06C">
        <w:t>d</w:t>
      </w:r>
      <w:r>
        <w:t>isinfection</w:t>
      </w:r>
      <w:r w:rsidR="71A4D224">
        <w:t xml:space="preserve"> </w:t>
      </w:r>
      <w:r w:rsidR="74752A54">
        <w:t>s</w:t>
      </w:r>
      <w:r w:rsidR="71A4D224">
        <w:t>ystem</w:t>
      </w:r>
      <w:r>
        <w:t xml:space="preserve"> may not be conducted in double rooms when occupied</w:t>
      </w:r>
    </w:p>
    <w:p w14:paraId="796294BF" w14:textId="79CFCA9D" w:rsidR="00437D74" w:rsidRPr="00786270" w:rsidRDefault="29230F09" w:rsidP="4DE57FD4">
      <w:pPr>
        <w:pStyle w:val="ListParagraph"/>
        <w:numPr>
          <w:ilvl w:val="0"/>
          <w:numId w:val="2"/>
        </w:numPr>
        <w:rPr>
          <w:b/>
          <w:bCs/>
        </w:rPr>
      </w:pPr>
      <w:r>
        <w:t>Every effort should be made to treat each discharge on the approved units w</w:t>
      </w:r>
      <w:r w:rsidR="3CBB57F5">
        <w:t xml:space="preserve">ith </w:t>
      </w:r>
      <w:r w:rsidR="03C6718F">
        <w:t xml:space="preserve"> UV </w:t>
      </w:r>
      <w:r w:rsidR="2A4EF8E8">
        <w:t>d</w:t>
      </w:r>
      <w:r w:rsidR="03C6718F">
        <w:t xml:space="preserve">isinfection </w:t>
      </w:r>
      <w:r w:rsidR="607F8894">
        <w:t>s</w:t>
      </w:r>
      <w:r w:rsidR="03C6718F">
        <w:t>ystem</w:t>
      </w:r>
      <w:r w:rsidR="3CBB57F5">
        <w:t xml:space="preserve">. </w:t>
      </w:r>
      <w:r>
        <w:t xml:space="preserve">Exceptions may </w:t>
      </w:r>
      <w:r w:rsidR="3CBB57F5">
        <w:t xml:space="preserve">only </w:t>
      </w:r>
      <w:r>
        <w:t>be made by CS House Supervisors due to high census or emergent need for bed.</w:t>
      </w:r>
    </w:p>
    <w:p w14:paraId="5B93DC91" w14:textId="252580EA" w:rsidR="00786270" w:rsidRPr="00437D74" w:rsidRDefault="202A19B7" w:rsidP="4DE57FD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UV </w:t>
      </w:r>
      <w:r w:rsidR="3D4EA2A3">
        <w:t>d</w:t>
      </w:r>
      <w:r>
        <w:t xml:space="preserve">isinfection </w:t>
      </w:r>
      <w:r w:rsidR="0701BE45">
        <w:t>s</w:t>
      </w:r>
      <w:r>
        <w:t>ystem</w:t>
      </w:r>
      <w:r w:rsidR="3CBB57F5">
        <w:t xml:space="preserve"> may be requested by Infection Prevention &amp; Control team on an ad hoc basis for exposures, outbreaks, or highly infectious pathogens.</w:t>
      </w:r>
    </w:p>
    <w:p w14:paraId="0D15F632" w14:textId="2ACF45E9" w:rsidR="00437D74" w:rsidRPr="00516570" w:rsidRDefault="7E50BBEF" w:rsidP="7FCFB28E">
      <w:pPr>
        <w:pStyle w:val="ListParagraph"/>
        <w:numPr>
          <w:ilvl w:val="0"/>
          <w:numId w:val="2"/>
        </w:numPr>
        <w:rPr>
          <w:b/>
          <w:bCs/>
        </w:rPr>
      </w:pPr>
      <w:r>
        <w:t>Approved unit list subject to change upon approval by  Infection Control Committee.</w:t>
      </w:r>
    </w:p>
    <w:sectPr w:rsidR="00437D74" w:rsidRPr="00516570" w:rsidSect="00A16D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1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924A5" w14:textId="77777777" w:rsidR="00A16DE9" w:rsidRDefault="00A16DE9" w:rsidP="00A16DE9">
      <w:pPr>
        <w:spacing w:after="0" w:line="240" w:lineRule="auto"/>
      </w:pPr>
      <w:r>
        <w:separator/>
      </w:r>
    </w:p>
  </w:endnote>
  <w:endnote w:type="continuationSeparator" w:id="0">
    <w:p w14:paraId="2604D86C" w14:textId="77777777" w:rsidR="00A16DE9" w:rsidRDefault="00A16DE9" w:rsidP="00A16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E6FF0" w14:textId="77777777" w:rsidR="000F01F3" w:rsidRDefault="000F01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4405F" w14:textId="0138BCD6" w:rsidR="00A16DE9" w:rsidRPr="00A16DE9" w:rsidRDefault="00A16DE9" w:rsidP="00A16DE9">
    <w:pPr>
      <w:ind w:left="720"/>
      <w:jc w:val="center"/>
      <w:rPr>
        <w:rFonts w:ascii="Book Antiqua" w:hAnsi="Book Antiqua"/>
        <w:i/>
        <w:iCs/>
        <w:color w:val="FF0000"/>
        <w:sz w:val="18"/>
        <w:szCs w:val="16"/>
      </w:rPr>
    </w:pPr>
    <w:bookmarkStart w:id="0" w:name="_Hlk77574945"/>
    <w:bookmarkStart w:id="1" w:name="_Hlk77574946"/>
    <w:bookmarkStart w:id="2" w:name="_Hlk77575117"/>
    <w:bookmarkStart w:id="3" w:name="_Hlk77575118"/>
    <w:bookmarkStart w:id="4" w:name="_Hlk77575250"/>
    <w:bookmarkStart w:id="5" w:name="_Hlk77575251"/>
    <w:bookmarkStart w:id="6" w:name="_Hlk77575356"/>
    <w:bookmarkStart w:id="7" w:name="_Hlk77575357"/>
    <w:bookmarkStart w:id="8" w:name="_Hlk77575565"/>
    <w:bookmarkStart w:id="9" w:name="_Hlk77575566"/>
    <w:bookmarkStart w:id="10" w:name="_Hlk77575611"/>
    <w:bookmarkStart w:id="11" w:name="_Hlk77575612"/>
    <w:bookmarkStart w:id="12" w:name="_Hlk77575747"/>
    <w:bookmarkStart w:id="13" w:name="_Hlk77575748"/>
    <w:bookmarkStart w:id="14" w:name="_Hlk77576103"/>
    <w:bookmarkStart w:id="15" w:name="_Hlk77576104"/>
    <w:bookmarkStart w:id="16" w:name="_Hlk77576213"/>
    <w:bookmarkStart w:id="17" w:name="_Hlk77576214"/>
    <w:bookmarkStart w:id="18" w:name="_Hlk77576523"/>
    <w:bookmarkStart w:id="19" w:name="_Hlk77576524"/>
    <w:bookmarkStart w:id="20" w:name="_Hlk77576696"/>
    <w:bookmarkStart w:id="21" w:name="_Hlk77576697"/>
    <w:bookmarkStart w:id="22" w:name="_Hlk77577092"/>
    <w:bookmarkStart w:id="23" w:name="_Hlk77577093"/>
    <w:bookmarkStart w:id="24" w:name="_Hlk77577263"/>
    <w:bookmarkStart w:id="25" w:name="_Hlk77577264"/>
    <w:bookmarkStart w:id="26" w:name="_Hlk77577585"/>
    <w:bookmarkStart w:id="27" w:name="_Hlk77577586"/>
    <w:bookmarkStart w:id="28" w:name="_Hlk77577687"/>
    <w:bookmarkStart w:id="29" w:name="_Hlk77577688"/>
    <w:bookmarkStart w:id="30" w:name="_Hlk77578223"/>
    <w:bookmarkStart w:id="31" w:name="_Hlk77578224"/>
    <w:bookmarkStart w:id="32" w:name="_Hlk77578556"/>
    <w:bookmarkStart w:id="33" w:name="_Hlk77578557"/>
    <w:bookmarkStart w:id="34" w:name="_Hlk77578719"/>
    <w:bookmarkStart w:id="35" w:name="_Hlk77578720"/>
    <w:bookmarkStart w:id="36" w:name="_Hlk77578976"/>
    <w:bookmarkStart w:id="37" w:name="_Hlk77578977"/>
    <w:bookmarkStart w:id="38" w:name="_Hlk77579141"/>
    <w:bookmarkStart w:id="39" w:name="_Hlk77579142"/>
    <w:bookmarkStart w:id="40" w:name="_Hlk77579288"/>
    <w:bookmarkStart w:id="41" w:name="_Hlk77579289"/>
    <w:bookmarkStart w:id="42" w:name="_Hlk77579404"/>
    <w:bookmarkStart w:id="43" w:name="_Hlk77579405"/>
    <w:bookmarkStart w:id="44" w:name="_Hlk77579539"/>
    <w:bookmarkStart w:id="45" w:name="_Hlk77579540"/>
    <w:bookmarkStart w:id="46" w:name="_Hlk77579695"/>
    <w:bookmarkStart w:id="47" w:name="_Hlk77579696"/>
    <w:bookmarkStart w:id="48" w:name="_Hlk77580312"/>
    <w:bookmarkStart w:id="49" w:name="_Hlk77580313"/>
    <w:bookmarkStart w:id="50" w:name="_Hlk77581334"/>
    <w:bookmarkStart w:id="51" w:name="_Hlk77581335"/>
    <w:bookmarkStart w:id="52" w:name="_Hlk77581464"/>
    <w:bookmarkStart w:id="53" w:name="_Hlk77581465"/>
    <w:bookmarkStart w:id="54" w:name="_Hlk77581702"/>
    <w:bookmarkStart w:id="55" w:name="_Hlk77581703"/>
    <w:bookmarkStart w:id="56" w:name="_Hlk77581765"/>
    <w:bookmarkStart w:id="57" w:name="_Hlk77581766"/>
    <w:bookmarkStart w:id="58" w:name="_Hlk77581945"/>
    <w:bookmarkStart w:id="59" w:name="_Hlk77581946"/>
    <w:bookmarkStart w:id="60" w:name="_Hlk77582326"/>
    <w:bookmarkStart w:id="61" w:name="_Hlk77582327"/>
    <w:bookmarkStart w:id="62" w:name="_Hlk77582728"/>
    <w:bookmarkStart w:id="63" w:name="_Hlk77582729"/>
    <w:bookmarkStart w:id="64" w:name="_Hlk77583289"/>
    <w:bookmarkStart w:id="65" w:name="_Hlk77583290"/>
    <w:bookmarkStart w:id="66" w:name="_Hlk77583382"/>
    <w:bookmarkStart w:id="67" w:name="_Hlk77583383"/>
    <w:bookmarkStart w:id="68" w:name="_Hlk77583496"/>
    <w:bookmarkStart w:id="69" w:name="_Hlk77583497"/>
    <w:bookmarkStart w:id="70" w:name="_Hlk77583761"/>
    <w:bookmarkStart w:id="71" w:name="_Hlk77583762"/>
    <w:bookmarkStart w:id="72" w:name="_Hlk77583897"/>
    <w:bookmarkStart w:id="73" w:name="_Hlk77583898"/>
    <w:bookmarkStart w:id="74" w:name="_Hlk77584222"/>
    <w:bookmarkStart w:id="75" w:name="_Hlk77584223"/>
    <w:bookmarkStart w:id="76" w:name="_Hlk77584676"/>
    <w:bookmarkStart w:id="77" w:name="_Hlk77584677"/>
    <w:bookmarkStart w:id="78" w:name="_Hlk77585034"/>
    <w:bookmarkStart w:id="79" w:name="_Hlk77585035"/>
    <w:bookmarkStart w:id="80" w:name="_Hlk77585139"/>
    <w:bookmarkStart w:id="81" w:name="_Hlk77585140"/>
    <w:bookmarkStart w:id="82" w:name="_Hlk77585500"/>
    <w:bookmarkStart w:id="83" w:name="_Hlk77585501"/>
    <w:bookmarkStart w:id="84" w:name="_Hlk77585746"/>
    <w:bookmarkStart w:id="85" w:name="_Hlk77585747"/>
    <w:bookmarkStart w:id="86" w:name="_Hlk77586017"/>
    <w:bookmarkStart w:id="87" w:name="_Hlk77586018"/>
    <w:bookmarkStart w:id="88" w:name="_Hlk77586116"/>
    <w:bookmarkStart w:id="89" w:name="_Hlk77586117"/>
    <w:bookmarkStart w:id="90" w:name="_Hlk77588958"/>
    <w:bookmarkStart w:id="91" w:name="_Hlk77588959"/>
    <w:bookmarkStart w:id="92" w:name="_Hlk77589161"/>
    <w:bookmarkStart w:id="93" w:name="_Hlk77589162"/>
    <w:bookmarkStart w:id="94" w:name="_Hlk77589363"/>
    <w:bookmarkStart w:id="95" w:name="_Hlk77589364"/>
    <w:bookmarkStart w:id="96" w:name="_Hlk77589462"/>
    <w:bookmarkStart w:id="97" w:name="_Hlk77589463"/>
    <w:bookmarkStart w:id="98" w:name="_Hlk77589576"/>
    <w:bookmarkStart w:id="99" w:name="_Hlk77589577"/>
    <w:bookmarkStart w:id="100" w:name="_Hlk77589901"/>
    <w:bookmarkStart w:id="101" w:name="_Hlk77589902"/>
    <w:bookmarkStart w:id="102" w:name="_Hlk77589982"/>
    <w:bookmarkStart w:id="103" w:name="_Hlk77589983"/>
    <w:bookmarkStart w:id="104" w:name="_Hlk77590089"/>
    <w:bookmarkStart w:id="105" w:name="_Hlk77590090"/>
    <w:bookmarkStart w:id="106" w:name="_Hlk77590429"/>
    <w:bookmarkStart w:id="107" w:name="_Hlk77590430"/>
    <w:bookmarkStart w:id="108" w:name="_Hlk77590544"/>
    <w:bookmarkStart w:id="109" w:name="_Hlk77590545"/>
    <w:bookmarkStart w:id="110" w:name="_Hlk77590647"/>
    <w:bookmarkStart w:id="111" w:name="_Hlk77590648"/>
    <w:bookmarkStart w:id="112" w:name="_Hlk77593442"/>
    <w:bookmarkStart w:id="113" w:name="_Hlk77593443"/>
    <w:bookmarkStart w:id="114" w:name="_Hlk77593781"/>
    <w:bookmarkStart w:id="115" w:name="_Hlk77593782"/>
    <w:bookmarkStart w:id="116" w:name="_Hlk77594307"/>
    <w:bookmarkStart w:id="117" w:name="_Hlk77594308"/>
    <w:bookmarkStart w:id="118" w:name="_Hlk77594430"/>
    <w:bookmarkStart w:id="119" w:name="_Hlk77594431"/>
    <w:r w:rsidRPr="003D074D">
      <w:rPr>
        <w:rFonts w:ascii="Book Antiqua" w:hAnsi="Book Antiqua"/>
        <w:b/>
        <w:bCs/>
        <w:i/>
        <w:iCs/>
        <w:color w:val="FF0000"/>
        <w:sz w:val="20"/>
        <w:szCs w:val="16"/>
      </w:rPr>
      <w:t>*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 xml:space="preserve">Once this </w:t>
    </w:r>
    <w:r>
      <w:rPr>
        <w:rFonts w:ascii="Book Antiqua" w:hAnsi="Book Antiqua"/>
        <w:b/>
        <w:bCs/>
        <w:i/>
        <w:iCs/>
        <w:color w:val="FF0000"/>
        <w:sz w:val="20"/>
        <w:szCs w:val="16"/>
      </w:rPr>
      <w:t>document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 xml:space="preserve"> is printed or otherwise distributed from the CHLA Policies and Procedures Library, it is not considered a controlled document. Please review the electronic version of this </w:t>
    </w:r>
    <w:r>
      <w:rPr>
        <w:rFonts w:ascii="Book Antiqua" w:hAnsi="Book Antiqua"/>
        <w:b/>
        <w:bCs/>
        <w:i/>
        <w:iCs/>
        <w:color w:val="FF0000"/>
        <w:sz w:val="20"/>
        <w:szCs w:val="16"/>
      </w:rPr>
      <w:t>document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 xml:space="preserve"> in the CHLA Policies and Procedures Library as this may not be the current version.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3B71C" w14:textId="77777777" w:rsidR="000F01F3" w:rsidRDefault="000F01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29F1C" w14:textId="77777777" w:rsidR="00A16DE9" w:rsidRDefault="00A16DE9" w:rsidP="00A16DE9">
      <w:pPr>
        <w:spacing w:after="0" w:line="240" w:lineRule="auto"/>
      </w:pPr>
      <w:r>
        <w:separator/>
      </w:r>
    </w:p>
  </w:footnote>
  <w:footnote w:type="continuationSeparator" w:id="0">
    <w:p w14:paraId="071398D0" w14:textId="77777777" w:rsidR="00A16DE9" w:rsidRDefault="00A16DE9" w:rsidP="00A16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26947" w14:textId="77777777" w:rsidR="000F01F3" w:rsidRDefault="000F01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42" w:type="dxa"/>
      <w:tblInd w:w="-79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132" w:type="dxa"/>
        <w:right w:w="132" w:type="dxa"/>
      </w:tblCellMar>
      <w:tblLook w:val="0000" w:firstRow="0" w:lastRow="0" w:firstColumn="0" w:lastColumn="0" w:noHBand="0" w:noVBand="0"/>
    </w:tblPr>
    <w:tblGrid>
      <w:gridCol w:w="2790"/>
      <w:gridCol w:w="6892"/>
      <w:gridCol w:w="1260"/>
    </w:tblGrid>
    <w:tr w:rsidR="00813B28" w:rsidRPr="00813B28" w14:paraId="5B2E7551" w14:textId="77777777" w:rsidTr="00813B28">
      <w:trPr>
        <w:cantSplit/>
        <w:trHeight w:hRule="exact" w:val="576"/>
      </w:trPr>
      <w:tc>
        <w:tcPr>
          <w:tcW w:w="2790" w:type="dxa"/>
          <w:vMerge w:val="restart"/>
          <w:vAlign w:val="bottom"/>
        </w:tcPr>
        <w:p w14:paraId="21321ACC" w14:textId="77777777" w:rsidR="00813B28" w:rsidRPr="00813B28" w:rsidRDefault="00813B28" w:rsidP="00813B28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/>
              <w:snapToGrid w:val="0"/>
              <w:sz w:val="24"/>
              <w:szCs w:val="20"/>
            </w:rPr>
          </w:pPr>
          <w:r w:rsidRPr="00813B28">
            <w:rPr>
              <w:rFonts w:ascii="Times New Roman" w:eastAsia="Times New Roman" w:hAnsi="Times New Roman"/>
              <w:b/>
              <w:snapToGrid w:val="0"/>
              <w:sz w:val="70"/>
              <w:szCs w:val="20"/>
            </w:rPr>
            <w:t>CHLA</w:t>
          </w:r>
        </w:p>
      </w:tc>
      <w:tc>
        <w:tcPr>
          <w:tcW w:w="8152" w:type="dxa"/>
          <w:gridSpan w:val="2"/>
          <w:vAlign w:val="center"/>
        </w:tcPr>
        <w:p w14:paraId="1A3AC1EE" w14:textId="77777777" w:rsidR="00813B28" w:rsidRPr="00813B28" w:rsidRDefault="00813B28" w:rsidP="00813B28">
          <w:pPr>
            <w:widowControl w:val="0"/>
            <w:tabs>
              <w:tab w:val="center" w:pos="1218"/>
            </w:tabs>
            <w:spacing w:after="0" w:line="240" w:lineRule="auto"/>
            <w:jc w:val="center"/>
            <w:rPr>
              <w:rFonts w:ascii="Book Antiqua" w:eastAsia="Times New Roman" w:hAnsi="Book Antiqua"/>
              <w:snapToGrid w:val="0"/>
              <w:sz w:val="24"/>
              <w:szCs w:val="20"/>
            </w:rPr>
          </w:pPr>
          <w:r w:rsidRPr="00813B28">
            <w:rPr>
              <w:rFonts w:ascii="Book Antiqua" w:eastAsia="Times New Roman" w:hAnsi="Book Antiqua"/>
              <w:snapToGrid w:val="0"/>
              <w:sz w:val="28"/>
              <w:szCs w:val="20"/>
            </w:rPr>
            <w:t>HOSPITAL POLICY AND PROCEDURE MANUAL</w:t>
          </w:r>
        </w:p>
      </w:tc>
    </w:tr>
    <w:tr w:rsidR="00813B28" w:rsidRPr="00813B28" w14:paraId="299E23F6" w14:textId="77777777" w:rsidTr="00813B28">
      <w:trPr>
        <w:cantSplit/>
        <w:trHeight w:hRule="exact" w:val="443"/>
      </w:trPr>
      <w:tc>
        <w:tcPr>
          <w:tcW w:w="2790" w:type="dxa"/>
          <w:vMerge/>
          <w:vAlign w:val="bottom"/>
        </w:tcPr>
        <w:p w14:paraId="20578490" w14:textId="77777777" w:rsidR="00813B28" w:rsidRPr="00813B28" w:rsidRDefault="00813B28" w:rsidP="00813B28">
          <w:pPr>
            <w:widowControl w:val="0"/>
            <w:spacing w:after="0" w:line="163" w:lineRule="exact"/>
            <w:rPr>
              <w:rFonts w:ascii="Times New Roman" w:eastAsia="Times New Roman" w:hAnsi="Times New Roman"/>
              <w:snapToGrid w:val="0"/>
              <w:sz w:val="24"/>
              <w:szCs w:val="20"/>
            </w:rPr>
          </w:pPr>
        </w:p>
      </w:tc>
      <w:tc>
        <w:tcPr>
          <w:tcW w:w="8152" w:type="dxa"/>
          <w:gridSpan w:val="2"/>
        </w:tcPr>
        <w:p w14:paraId="58853D83" w14:textId="21636532" w:rsidR="00813B28" w:rsidRPr="00813B28" w:rsidRDefault="00813B28" w:rsidP="00813B28">
          <w:pPr>
            <w:widowControl w:val="0"/>
            <w:tabs>
              <w:tab w:val="left" w:pos="1809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 w:val="16"/>
              <w:szCs w:val="16"/>
            </w:rPr>
          </w:pPr>
          <w:r w:rsidRPr="00813B28">
            <w:rPr>
              <w:rFonts w:ascii="Arial" w:eastAsia="Times New Roman" w:hAnsi="Arial" w:cs="Arial"/>
              <w:snapToGrid w:val="0"/>
              <w:sz w:val="16"/>
              <w:szCs w:val="16"/>
            </w:rPr>
            <w:fldChar w:fldCharType="begin"/>
          </w:r>
          <w:r w:rsidRPr="00813B28">
            <w:rPr>
              <w:rFonts w:ascii="Arial" w:eastAsia="Times New Roman" w:hAnsi="Arial" w:cs="Arial"/>
              <w:snapToGrid w:val="0"/>
              <w:sz w:val="16"/>
              <w:szCs w:val="16"/>
            </w:rPr>
            <w:instrText>ADVANCE \u14</w:instrText>
          </w:r>
          <w:r w:rsidRPr="00813B28">
            <w:rPr>
              <w:rFonts w:ascii="Arial" w:eastAsia="Times New Roman" w:hAnsi="Arial" w:cs="Arial"/>
              <w:snapToGrid w:val="0"/>
              <w:sz w:val="16"/>
              <w:szCs w:val="16"/>
            </w:rPr>
            <w:fldChar w:fldCharType="end"/>
          </w:r>
          <w:r w:rsidRPr="00813B28">
            <w:rPr>
              <w:rFonts w:ascii="Arial" w:eastAsia="Times New Roman" w:hAnsi="Arial"/>
              <w:snapToGrid w:val="0"/>
              <w:sz w:val="16"/>
              <w:szCs w:val="16"/>
            </w:rPr>
            <w:t xml:space="preserve"> </w:t>
          </w:r>
          <w:r w:rsidRPr="00813B28">
            <w:rPr>
              <w:rFonts w:ascii="Arial" w:eastAsia="Times New Roman" w:hAnsi="Arial" w:cs="Arial"/>
              <w:snapToGrid w:val="0"/>
              <w:sz w:val="16"/>
              <w:szCs w:val="16"/>
            </w:rPr>
            <w:t>TITLE</w:t>
          </w:r>
          <w:r w:rsidRPr="00813B28">
            <w:rPr>
              <w:rFonts w:ascii="Arial" w:eastAsia="Times New Roman" w:hAnsi="Arial"/>
              <w:snapToGrid w:val="0"/>
              <w:sz w:val="16"/>
              <w:szCs w:val="16"/>
            </w:rPr>
            <w:t xml:space="preserve">: </w:t>
          </w:r>
          <w:r>
            <w:rPr>
              <w:rFonts w:ascii="Arial" w:eastAsia="Times New Roman" w:hAnsi="Arial"/>
              <w:snapToGrid w:val="0"/>
              <w:sz w:val="16"/>
              <w:szCs w:val="16"/>
            </w:rPr>
            <w:t>Appendix G: UV Disinfection System Standard Operating Procedure</w:t>
          </w:r>
        </w:p>
        <w:p w14:paraId="0A95A315" w14:textId="77777777" w:rsidR="00813B28" w:rsidRPr="00813B28" w:rsidRDefault="00813B28" w:rsidP="00813B28">
          <w:pPr>
            <w:widowControl w:val="0"/>
            <w:tabs>
              <w:tab w:val="right" w:pos="2436"/>
            </w:tabs>
            <w:spacing w:after="0" w:line="240" w:lineRule="auto"/>
            <w:rPr>
              <w:rFonts w:ascii="Arial" w:eastAsia="Times New Roman" w:hAnsi="Arial" w:cs="Arial"/>
              <w:snapToGrid w:val="0"/>
              <w:sz w:val="16"/>
              <w:szCs w:val="16"/>
            </w:rPr>
          </w:pPr>
        </w:p>
      </w:tc>
    </w:tr>
    <w:tr w:rsidR="00813B28" w:rsidRPr="00813B28" w14:paraId="0E968DE8" w14:textId="77777777" w:rsidTr="00813B28">
      <w:trPr>
        <w:cantSplit/>
        <w:trHeight w:val="673"/>
      </w:trPr>
      <w:tc>
        <w:tcPr>
          <w:tcW w:w="2790" w:type="dxa"/>
          <w:vMerge/>
        </w:tcPr>
        <w:p w14:paraId="32D66B36" w14:textId="77777777" w:rsidR="00813B28" w:rsidRPr="00813B28" w:rsidRDefault="00813B28" w:rsidP="00813B28">
          <w:pPr>
            <w:widowControl w:val="0"/>
            <w:spacing w:after="0" w:line="240" w:lineRule="auto"/>
            <w:rPr>
              <w:rFonts w:ascii="Times New Roman" w:eastAsia="Times New Roman" w:hAnsi="Times New Roman"/>
              <w:snapToGrid w:val="0"/>
              <w:sz w:val="24"/>
              <w:szCs w:val="20"/>
            </w:rPr>
          </w:pPr>
        </w:p>
      </w:tc>
      <w:tc>
        <w:tcPr>
          <w:tcW w:w="8152" w:type="dxa"/>
          <w:gridSpan w:val="2"/>
        </w:tcPr>
        <w:p w14:paraId="2D95F7D6" w14:textId="77777777" w:rsidR="00813B28" w:rsidRPr="00813B28" w:rsidRDefault="00813B28" w:rsidP="00813B28">
          <w:pPr>
            <w:widowControl w:val="0"/>
            <w:spacing w:after="0" w:line="240" w:lineRule="auto"/>
            <w:rPr>
              <w:rFonts w:ascii="Arial" w:eastAsia="Times New Roman" w:hAnsi="Arial" w:cs="Arial"/>
              <w:snapToGrid w:val="0"/>
              <w:sz w:val="16"/>
              <w:szCs w:val="16"/>
            </w:rPr>
          </w:pPr>
          <w:r w:rsidRPr="00813B28">
            <w:rPr>
              <w:rFonts w:ascii="Arial" w:eastAsia="Times New Roman" w:hAnsi="Arial" w:cs="Arial"/>
              <w:snapToGrid w:val="0"/>
              <w:sz w:val="16"/>
              <w:szCs w:val="16"/>
            </w:rPr>
            <w:t>REVISED DATE:</w:t>
          </w:r>
        </w:p>
        <w:p w14:paraId="1E99D53F" w14:textId="092B3435" w:rsidR="00813B28" w:rsidRPr="00813B28" w:rsidRDefault="002B3B46" w:rsidP="00813B28">
          <w:pPr>
            <w:widowControl w:val="0"/>
            <w:spacing w:after="0" w:line="240" w:lineRule="auto"/>
            <w:rPr>
              <w:rFonts w:ascii="Arial" w:eastAsia="Times New Roman" w:hAnsi="Arial" w:cs="Arial"/>
              <w:snapToGrid w:val="0"/>
              <w:sz w:val="16"/>
              <w:szCs w:val="16"/>
            </w:rPr>
          </w:pPr>
          <w:r>
            <w:rPr>
              <w:rFonts w:ascii="Arial" w:eastAsia="Times New Roman" w:hAnsi="Arial" w:cs="Arial"/>
              <w:snapToGrid w:val="0"/>
              <w:sz w:val="16"/>
              <w:szCs w:val="16"/>
            </w:rPr>
            <w:t>0</w:t>
          </w:r>
          <w:r w:rsidR="000F01F3">
            <w:rPr>
              <w:rFonts w:ascii="Arial" w:eastAsia="Times New Roman" w:hAnsi="Arial" w:cs="Arial"/>
              <w:snapToGrid w:val="0"/>
              <w:sz w:val="16"/>
              <w:szCs w:val="16"/>
            </w:rPr>
            <w:t>2/06</w:t>
          </w:r>
          <w:r>
            <w:rPr>
              <w:rFonts w:ascii="Arial" w:eastAsia="Times New Roman" w:hAnsi="Arial" w:cs="Arial"/>
              <w:snapToGrid w:val="0"/>
              <w:sz w:val="16"/>
              <w:szCs w:val="16"/>
            </w:rPr>
            <w:t>/2023</w:t>
          </w:r>
        </w:p>
      </w:tc>
    </w:tr>
    <w:tr w:rsidR="00813B28" w:rsidRPr="00813B28" w14:paraId="59C27AE5" w14:textId="77777777" w:rsidTr="00813B28">
      <w:trPr>
        <w:cantSplit/>
        <w:trHeight w:hRule="exact" w:val="515"/>
      </w:trPr>
      <w:tc>
        <w:tcPr>
          <w:tcW w:w="2790" w:type="dxa"/>
        </w:tcPr>
        <w:p w14:paraId="183AC112" w14:textId="64B0F368" w:rsidR="00813B28" w:rsidRPr="00813B28" w:rsidRDefault="00813B28" w:rsidP="00813B28">
          <w:pPr>
            <w:widowControl w:val="0"/>
            <w:tabs>
              <w:tab w:val="right" w:pos="2436"/>
            </w:tabs>
            <w:spacing w:after="19" w:line="240" w:lineRule="auto"/>
            <w:rPr>
              <w:rFonts w:ascii="Arial" w:eastAsia="Times New Roman" w:hAnsi="Arial"/>
              <w:snapToGrid w:val="0"/>
              <w:sz w:val="15"/>
              <w:szCs w:val="15"/>
            </w:rPr>
          </w:pPr>
          <w:r w:rsidRPr="00813B28">
            <w:rPr>
              <w:rFonts w:ascii="Arial" w:eastAsia="Times New Roman" w:hAnsi="Arial"/>
              <w:snapToGrid w:val="0"/>
              <w:sz w:val="15"/>
              <w:szCs w:val="15"/>
            </w:rPr>
            <w:fldChar w:fldCharType="begin"/>
          </w:r>
          <w:r w:rsidRPr="00813B28">
            <w:rPr>
              <w:rFonts w:ascii="Arial" w:eastAsia="Times New Roman" w:hAnsi="Arial"/>
              <w:snapToGrid w:val="0"/>
              <w:sz w:val="15"/>
              <w:szCs w:val="15"/>
            </w:rPr>
            <w:instrText>ADVANCE \u14</w:instrText>
          </w:r>
          <w:r w:rsidRPr="00813B28">
            <w:rPr>
              <w:rFonts w:ascii="Arial" w:eastAsia="Times New Roman" w:hAnsi="Arial"/>
              <w:snapToGrid w:val="0"/>
              <w:sz w:val="15"/>
              <w:szCs w:val="15"/>
            </w:rPr>
            <w:fldChar w:fldCharType="end"/>
          </w:r>
          <w:r w:rsidRPr="00813B28">
            <w:rPr>
              <w:rFonts w:ascii="Arial" w:eastAsia="Times New Roman" w:hAnsi="Arial"/>
              <w:snapToGrid w:val="0"/>
              <w:sz w:val="16"/>
              <w:szCs w:val="16"/>
            </w:rPr>
            <w:t xml:space="preserve">POLICY NUMBER: </w:t>
          </w:r>
          <w:r>
            <w:rPr>
              <w:rFonts w:ascii="Arial" w:eastAsia="Times New Roman" w:hAnsi="Arial"/>
              <w:snapToGrid w:val="0"/>
              <w:sz w:val="16"/>
              <w:szCs w:val="16"/>
            </w:rPr>
            <w:t>IC – 716.6</w:t>
          </w:r>
        </w:p>
      </w:tc>
      <w:tc>
        <w:tcPr>
          <w:tcW w:w="6892" w:type="dxa"/>
        </w:tcPr>
        <w:p w14:paraId="210D90CE" w14:textId="6ECF5F57" w:rsidR="00813B28" w:rsidRPr="00813B28" w:rsidRDefault="00813B28" w:rsidP="00813B28">
          <w:pPr>
            <w:widowControl w:val="0"/>
            <w:tabs>
              <w:tab w:val="right" w:pos="2436"/>
            </w:tabs>
            <w:spacing w:after="0" w:line="240" w:lineRule="auto"/>
            <w:rPr>
              <w:rFonts w:ascii="Arial" w:eastAsia="Times New Roman" w:hAnsi="Arial" w:cs="Arial"/>
              <w:snapToGrid w:val="0"/>
              <w:sz w:val="16"/>
              <w:szCs w:val="16"/>
            </w:rPr>
          </w:pPr>
          <w:r w:rsidRPr="00813B28">
            <w:rPr>
              <w:rFonts w:ascii="Arial" w:eastAsia="Times New Roman" w:hAnsi="Arial" w:cs="Arial"/>
              <w:snapToGrid w:val="0"/>
              <w:sz w:val="16"/>
              <w:szCs w:val="16"/>
            </w:rPr>
            <w:t xml:space="preserve">CHAPTER: </w:t>
          </w:r>
          <w:r>
            <w:rPr>
              <w:rFonts w:ascii="Arial" w:eastAsia="Times New Roman" w:hAnsi="Arial" w:cs="Arial"/>
              <w:snapToGrid w:val="0"/>
              <w:sz w:val="16"/>
              <w:szCs w:val="16"/>
            </w:rPr>
            <w:t>ENTERPRISE – INFECTION CONTROL</w:t>
          </w:r>
        </w:p>
      </w:tc>
      <w:tc>
        <w:tcPr>
          <w:tcW w:w="1260" w:type="dxa"/>
        </w:tcPr>
        <w:p w14:paraId="2078EA55" w14:textId="77777777" w:rsidR="00813B28" w:rsidRPr="00813B28" w:rsidRDefault="00813B28" w:rsidP="00813B28">
          <w:pPr>
            <w:widowControl w:val="0"/>
            <w:tabs>
              <w:tab w:val="right" w:pos="2436"/>
            </w:tabs>
            <w:spacing w:after="0" w:line="240" w:lineRule="auto"/>
            <w:rPr>
              <w:rFonts w:ascii="Arial" w:eastAsia="Times New Roman" w:hAnsi="Arial" w:cs="Arial"/>
              <w:snapToGrid w:val="0"/>
              <w:sz w:val="16"/>
              <w:szCs w:val="16"/>
              <w:highlight w:val="yellow"/>
            </w:rPr>
          </w:pPr>
          <w:r w:rsidRPr="00813B28">
            <w:rPr>
              <w:rFonts w:ascii="Arial" w:eastAsia="Times New Roman" w:hAnsi="Arial" w:cs="Arial"/>
              <w:snapToGrid w:val="0"/>
              <w:sz w:val="16"/>
              <w:szCs w:val="16"/>
            </w:rPr>
            <w:t xml:space="preserve">PAGE </w:t>
          </w:r>
          <w:r w:rsidRPr="00813B28">
            <w:rPr>
              <w:rFonts w:ascii="Arial" w:eastAsia="Times New Roman" w:hAnsi="Arial" w:cs="Arial"/>
              <w:snapToGrid w:val="0"/>
              <w:sz w:val="16"/>
              <w:szCs w:val="16"/>
            </w:rPr>
            <w:fldChar w:fldCharType="begin"/>
          </w:r>
          <w:r w:rsidRPr="00813B28">
            <w:rPr>
              <w:rFonts w:ascii="Arial" w:eastAsia="Times New Roman" w:hAnsi="Arial" w:cs="Arial"/>
              <w:snapToGrid w:val="0"/>
              <w:sz w:val="16"/>
              <w:szCs w:val="16"/>
            </w:rPr>
            <w:instrText xml:space="preserve"> PAGE  \* Arabic  \* MERGEFORMAT </w:instrText>
          </w:r>
          <w:r w:rsidRPr="00813B28">
            <w:rPr>
              <w:rFonts w:ascii="Arial" w:eastAsia="Times New Roman" w:hAnsi="Arial" w:cs="Arial"/>
              <w:snapToGrid w:val="0"/>
              <w:sz w:val="16"/>
              <w:szCs w:val="16"/>
            </w:rPr>
            <w:fldChar w:fldCharType="separate"/>
          </w:r>
          <w:r w:rsidRPr="00813B28">
            <w:rPr>
              <w:rFonts w:ascii="Arial" w:eastAsia="Times New Roman" w:hAnsi="Arial" w:cs="Arial"/>
              <w:noProof/>
              <w:snapToGrid w:val="0"/>
              <w:sz w:val="16"/>
              <w:szCs w:val="16"/>
            </w:rPr>
            <w:t>1</w:t>
          </w:r>
          <w:r w:rsidRPr="00813B28">
            <w:rPr>
              <w:rFonts w:ascii="Arial" w:eastAsia="Times New Roman" w:hAnsi="Arial" w:cs="Arial"/>
              <w:snapToGrid w:val="0"/>
              <w:sz w:val="16"/>
              <w:szCs w:val="16"/>
            </w:rPr>
            <w:fldChar w:fldCharType="end"/>
          </w:r>
          <w:r w:rsidRPr="00813B28">
            <w:rPr>
              <w:rFonts w:ascii="Arial" w:eastAsia="Times New Roman" w:hAnsi="Arial" w:cs="Arial"/>
              <w:snapToGrid w:val="0"/>
              <w:sz w:val="16"/>
              <w:szCs w:val="16"/>
            </w:rPr>
            <w:t xml:space="preserve"> of </w:t>
          </w:r>
          <w:r w:rsidRPr="00813B28">
            <w:rPr>
              <w:rFonts w:ascii="Arial" w:eastAsia="Times New Roman" w:hAnsi="Arial" w:cs="Arial"/>
              <w:snapToGrid w:val="0"/>
              <w:sz w:val="16"/>
              <w:szCs w:val="16"/>
            </w:rPr>
            <w:fldChar w:fldCharType="begin"/>
          </w:r>
          <w:r w:rsidRPr="00813B28">
            <w:rPr>
              <w:rFonts w:ascii="Arial" w:eastAsia="Times New Roman" w:hAnsi="Arial" w:cs="Arial"/>
              <w:snapToGrid w:val="0"/>
              <w:sz w:val="16"/>
              <w:szCs w:val="16"/>
            </w:rPr>
            <w:instrText xml:space="preserve"> NUMPAGES  \* Arabic  \* MERGEFORMAT </w:instrText>
          </w:r>
          <w:r w:rsidRPr="00813B28">
            <w:rPr>
              <w:rFonts w:ascii="Arial" w:eastAsia="Times New Roman" w:hAnsi="Arial" w:cs="Arial"/>
              <w:snapToGrid w:val="0"/>
              <w:sz w:val="16"/>
              <w:szCs w:val="16"/>
            </w:rPr>
            <w:fldChar w:fldCharType="separate"/>
          </w:r>
          <w:r w:rsidRPr="00813B28">
            <w:rPr>
              <w:rFonts w:ascii="Arial" w:eastAsia="Times New Roman" w:hAnsi="Arial" w:cs="Arial"/>
              <w:noProof/>
              <w:snapToGrid w:val="0"/>
              <w:sz w:val="16"/>
              <w:szCs w:val="16"/>
            </w:rPr>
            <w:t>2</w:t>
          </w:r>
          <w:r w:rsidRPr="00813B28">
            <w:rPr>
              <w:rFonts w:ascii="Arial" w:eastAsia="Times New Roman" w:hAnsi="Arial" w:cs="Arial"/>
              <w:snapToGrid w:val="0"/>
              <w:sz w:val="16"/>
              <w:szCs w:val="16"/>
            </w:rPr>
            <w:fldChar w:fldCharType="end"/>
          </w:r>
        </w:p>
      </w:tc>
    </w:tr>
  </w:tbl>
  <w:p w14:paraId="0086F2B6" w14:textId="77777777" w:rsidR="00813B28" w:rsidRDefault="00813B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C3CD2" w14:textId="77777777" w:rsidR="000F01F3" w:rsidRDefault="000F01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A1E4B"/>
    <w:multiLevelType w:val="hybridMultilevel"/>
    <w:tmpl w:val="C17E7B5A"/>
    <w:lvl w:ilvl="0" w:tplc="9D6470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93E81"/>
    <w:multiLevelType w:val="hybridMultilevel"/>
    <w:tmpl w:val="3D705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269205">
    <w:abstractNumId w:val="1"/>
  </w:num>
  <w:num w:numId="2" w16cid:durableId="1957710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70"/>
    <w:rsid w:val="000F01F3"/>
    <w:rsid w:val="00111CD3"/>
    <w:rsid w:val="001A4A2A"/>
    <w:rsid w:val="001A7F9A"/>
    <w:rsid w:val="001B0125"/>
    <w:rsid w:val="001B3C77"/>
    <w:rsid w:val="001F1F75"/>
    <w:rsid w:val="002B3B46"/>
    <w:rsid w:val="00437D74"/>
    <w:rsid w:val="00516570"/>
    <w:rsid w:val="005C4EDF"/>
    <w:rsid w:val="00786270"/>
    <w:rsid w:val="007B3D6E"/>
    <w:rsid w:val="007E5225"/>
    <w:rsid w:val="00813B28"/>
    <w:rsid w:val="00A16DE9"/>
    <w:rsid w:val="00A93CFD"/>
    <w:rsid w:val="00C23915"/>
    <w:rsid w:val="00CA6EB1"/>
    <w:rsid w:val="00D5640F"/>
    <w:rsid w:val="00DC1D93"/>
    <w:rsid w:val="00FC53AD"/>
    <w:rsid w:val="024437B4"/>
    <w:rsid w:val="02AA0FBD"/>
    <w:rsid w:val="02BDB51A"/>
    <w:rsid w:val="0377DF79"/>
    <w:rsid w:val="03A818B9"/>
    <w:rsid w:val="03C6718F"/>
    <w:rsid w:val="05DB4840"/>
    <w:rsid w:val="0701BE45"/>
    <w:rsid w:val="085969F7"/>
    <w:rsid w:val="09EEE11A"/>
    <w:rsid w:val="0A298E28"/>
    <w:rsid w:val="0A59AB95"/>
    <w:rsid w:val="0C9B2282"/>
    <w:rsid w:val="0CAA4BFA"/>
    <w:rsid w:val="0CECA235"/>
    <w:rsid w:val="0DA39360"/>
    <w:rsid w:val="0E9E9B4E"/>
    <w:rsid w:val="0FF49471"/>
    <w:rsid w:val="11E95062"/>
    <w:rsid w:val="1235EC85"/>
    <w:rsid w:val="1348CF54"/>
    <w:rsid w:val="1734830C"/>
    <w:rsid w:val="17C4FCC3"/>
    <w:rsid w:val="1A28F0B1"/>
    <w:rsid w:val="1A2B7CA2"/>
    <w:rsid w:val="1B8D6690"/>
    <w:rsid w:val="1BB20930"/>
    <w:rsid w:val="1BCEE92B"/>
    <w:rsid w:val="1BFEF1EB"/>
    <w:rsid w:val="1C40B2C7"/>
    <w:rsid w:val="1C9DCAEC"/>
    <w:rsid w:val="1D3193DD"/>
    <w:rsid w:val="1D5C7FE2"/>
    <w:rsid w:val="1F5E197E"/>
    <w:rsid w:val="1F84D7E5"/>
    <w:rsid w:val="202A19B7"/>
    <w:rsid w:val="20E86FCD"/>
    <w:rsid w:val="21C8C548"/>
    <w:rsid w:val="21FC3B1E"/>
    <w:rsid w:val="21FF77BA"/>
    <w:rsid w:val="22557B26"/>
    <w:rsid w:val="2392CA1D"/>
    <w:rsid w:val="245B9FB6"/>
    <w:rsid w:val="24DBCA4B"/>
    <w:rsid w:val="262232DA"/>
    <w:rsid w:val="269305D5"/>
    <w:rsid w:val="26EC8842"/>
    <w:rsid w:val="278BAB71"/>
    <w:rsid w:val="282963A7"/>
    <w:rsid w:val="28E8D384"/>
    <w:rsid w:val="29230F09"/>
    <w:rsid w:val="29E531F6"/>
    <w:rsid w:val="2A4EF8E8"/>
    <w:rsid w:val="2B470774"/>
    <w:rsid w:val="2B8D90DA"/>
    <w:rsid w:val="2C13691E"/>
    <w:rsid w:val="2D8FF1A1"/>
    <w:rsid w:val="2DAC20B6"/>
    <w:rsid w:val="2E0AC5DC"/>
    <w:rsid w:val="2EF6E481"/>
    <w:rsid w:val="3088292C"/>
    <w:rsid w:val="3171F514"/>
    <w:rsid w:val="3224A6FC"/>
    <w:rsid w:val="32F0D344"/>
    <w:rsid w:val="335546ED"/>
    <w:rsid w:val="3485DA65"/>
    <w:rsid w:val="356F2D34"/>
    <w:rsid w:val="3654C191"/>
    <w:rsid w:val="36F4272B"/>
    <w:rsid w:val="38C42135"/>
    <w:rsid w:val="38F9136C"/>
    <w:rsid w:val="3AB39878"/>
    <w:rsid w:val="3B5C3112"/>
    <w:rsid w:val="3CBB57F5"/>
    <w:rsid w:val="3D3550C6"/>
    <w:rsid w:val="3D4EA2A3"/>
    <w:rsid w:val="3EFCA3F7"/>
    <w:rsid w:val="3FA4FD12"/>
    <w:rsid w:val="40BF4F9C"/>
    <w:rsid w:val="418FFCA6"/>
    <w:rsid w:val="43154780"/>
    <w:rsid w:val="440168BF"/>
    <w:rsid w:val="4405BA13"/>
    <w:rsid w:val="4463AC84"/>
    <w:rsid w:val="44D98EA5"/>
    <w:rsid w:val="45C51A63"/>
    <w:rsid w:val="46A99ABD"/>
    <w:rsid w:val="46AEA546"/>
    <w:rsid w:val="48456B1E"/>
    <w:rsid w:val="49E9AD33"/>
    <w:rsid w:val="4A4FFE98"/>
    <w:rsid w:val="4A913673"/>
    <w:rsid w:val="4AC24620"/>
    <w:rsid w:val="4AFD90C2"/>
    <w:rsid w:val="4B6DA19C"/>
    <w:rsid w:val="4D02EFD1"/>
    <w:rsid w:val="4D6A42A3"/>
    <w:rsid w:val="4DE57FD4"/>
    <w:rsid w:val="4FB1AD3E"/>
    <w:rsid w:val="5024CC57"/>
    <w:rsid w:val="509C33C3"/>
    <w:rsid w:val="514D6007"/>
    <w:rsid w:val="51783E06"/>
    <w:rsid w:val="51954BFC"/>
    <w:rsid w:val="537F5DB4"/>
    <w:rsid w:val="55A938A0"/>
    <w:rsid w:val="5787FDD9"/>
    <w:rsid w:val="57E5D1EC"/>
    <w:rsid w:val="58CAE9BE"/>
    <w:rsid w:val="5903F95D"/>
    <w:rsid w:val="5C54F06C"/>
    <w:rsid w:val="5CE040F9"/>
    <w:rsid w:val="5D1A08A8"/>
    <w:rsid w:val="5D30A3FD"/>
    <w:rsid w:val="5D9D5EC2"/>
    <w:rsid w:val="5F33796B"/>
    <w:rsid w:val="5F755880"/>
    <w:rsid w:val="604E6671"/>
    <w:rsid w:val="607F8894"/>
    <w:rsid w:val="61005153"/>
    <w:rsid w:val="62CBD1B7"/>
    <w:rsid w:val="62FEB72D"/>
    <w:rsid w:val="639BBC04"/>
    <w:rsid w:val="63CE44D6"/>
    <w:rsid w:val="64548047"/>
    <w:rsid w:val="652A6E68"/>
    <w:rsid w:val="6752970C"/>
    <w:rsid w:val="68A27527"/>
    <w:rsid w:val="68BE9D43"/>
    <w:rsid w:val="68E6C4A2"/>
    <w:rsid w:val="694E1C90"/>
    <w:rsid w:val="6E8F1941"/>
    <w:rsid w:val="6F3CE2AB"/>
    <w:rsid w:val="7009DAC5"/>
    <w:rsid w:val="71A4D224"/>
    <w:rsid w:val="71E35F4E"/>
    <w:rsid w:val="728EC1EE"/>
    <w:rsid w:val="72D3A553"/>
    <w:rsid w:val="7409A703"/>
    <w:rsid w:val="74752A54"/>
    <w:rsid w:val="74AC6646"/>
    <w:rsid w:val="7530E96B"/>
    <w:rsid w:val="7569B597"/>
    <w:rsid w:val="781B93DF"/>
    <w:rsid w:val="79CD9D94"/>
    <w:rsid w:val="7AAAFCA9"/>
    <w:rsid w:val="7BA4F85C"/>
    <w:rsid w:val="7E50BBEF"/>
    <w:rsid w:val="7E78EB65"/>
    <w:rsid w:val="7FCFB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1A4A658"/>
  <w15:chartTrackingRefBased/>
  <w15:docId w15:val="{7F9DBAA6-A36A-4815-A495-91290886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70"/>
    <w:pPr>
      <w:ind w:left="720"/>
      <w:contextualSpacing/>
    </w:pPr>
  </w:style>
  <w:style w:type="table" w:styleId="TableGrid">
    <w:name w:val="Table Grid"/>
    <w:basedOn w:val="TableNormal"/>
    <w:uiPriority w:val="39"/>
    <w:rsid w:val="00516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A16DE9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16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DE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16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DE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documenttasks/documenttasks1.xml><?xml version="1.0" encoding="utf-8"?>
<t:Tasks xmlns:t="http://schemas.microsoft.com/office/tasks/2019/documenttasks" xmlns:oel="http://schemas.microsoft.com/office/2019/extlst">
  <t:Task id="{283FED51-9310-48B4-B484-FE39F829CF0D}">
    <t:Anchor>
      <t:Comment id="1153035720"/>
    </t:Anchor>
    <t:History>
      <t:Event id="{066E0035-C990-4BE6-A1A5-0EBA4F281664}" time="2022-11-15T18:18:46.785Z">
        <t:Attribution userId="S::esalas@chla.usc.edu::f57ce2c3-ada1-40fa-a291-e9f906d43e87" userProvider="AD" userName="Salas, Edahrline"/>
        <t:Anchor>
          <t:Comment id="1153035720"/>
        </t:Anchor>
        <t:Create/>
      </t:Event>
      <t:Event id="{AC1616B8-20C8-4D20-BAB5-287D11CF7B0C}" time="2022-11-15T18:18:46.785Z">
        <t:Attribution userId="S::esalas@chla.usc.edu::f57ce2c3-ada1-40fa-a291-e9f906d43e87" userProvider="AD" userName="Salas, Edahrline"/>
        <t:Anchor>
          <t:Comment id="1153035720"/>
        </t:Anchor>
        <t:Assign userId="S::arbrown@chla.usc.edu::dba50693-a6fd-4b50-bba7-51d92e989a1d" userProvider="AD" userName="Brown, Arileo"/>
      </t:Event>
      <t:Event id="{83A594D1-93EB-4D35-B8E1-496A550907DE}" time="2022-11-15T18:18:46.785Z">
        <t:Attribution userId="S::esalas@chla.usc.edu::f57ce2c3-ada1-40fa-a291-e9f906d43e87" userProvider="AD" userName="Salas, Edahrline"/>
        <t:Anchor>
          <t:Comment id="1153035720"/>
        </t:Anchor>
        <t:SetTitle title="@Brown, Arileo is there a reason why the cycles per room columns were removed?"/>
      </t:Event>
      <t:Event id="{01DB13E6-87E0-4DC1-B4D1-15C5A93FBE96}" time="2022-11-15T19:27:49.332Z">
        <t:Attribution userId="S::arbrown@chla.usc.edu::dba50693-a6fd-4b50-bba7-51d92e989a1d" userProvider="AD" userName="Brown, Arileo"/>
        <t:Anchor>
          <t:Comment id="841739067"/>
        </t:Anchor>
        <t:UnassignAll/>
      </t:Event>
      <t:Event id="{54E4942E-A8D9-4709-9EA3-CC29B6BFDF26}" time="2022-11-15T19:27:49.332Z">
        <t:Attribution userId="S::arbrown@chla.usc.edu::dba50693-a6fd-4b50-bba7-51d92e989a1d" userProvider="AD" userName="Brown, Arileo"/>
        <t:Anchor>
          <t:Comment id="841739067"/>
        </t:Anchor>
        <t:Assign userId="S::ESalas@chla.usc.edu::f57ce2c3-ada1-40fa-a291-e9f906d43e87" userProvider="AD" userName="Salas, Edahrline"/>
      </t:Event>
      <t:Event id="{2BD0BD08-C72E-4D54-9A7D-20511C9532DC}" time="2022-11-15T20:27:32.595Z">
        <t:Attribution userId="S::esalas@chla.usc.edu::f57ce2c3-ada1-40fa-a291-e9f906d43e87" userProvider="AD" userName="Salas, Edahrline"/>
        <t:Anchor>
          <t:Comment id="895192403"/>
        </t:Anchor>
        <t:UnassignAll/>
      </t:Event>
      <t:Event id="{682B5BD1-F687-4FAF-A3E4-F58CD9270CBF}" time="2022-11-15T20:27:32.595Z">
        <t:Attribution userId="S::esalas@chla.usc.edu::f57ce2c3-ada1-40fa-a291-e9f906d43e87" userProvider="AD" userName="Salas, Edahrline"/>
        <t:Anchor>
          <t:Comment id="895192403"/>
        </t:Anchor>
        <t:Assign userId="S::arbrown@chla.usc.edu::dba50693-a6fd-4b50-bba7-51d92e989a1d" userProvider="AD" userName="Brown, Arileo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0A1418F96DE40ABC4B29D424915A4" ma:contentTypeVersion="4" ma:contentTypeDescription="Create a new document." ma:contentTypeScope="" ma:versionID="6f1d22b005fe59d7c2910dff4b55fd40">
  <xsd:schema xmlns:xsd="http://www.w3.org/2001/XMLSchema" xmlns:xs="http://www.w3.org/2001/XMLSchema" xmlns:p="http://schemas.microsoft.com/office/2006/metadata/properties" xmlns:ns2="3f4669e4-7371-48d7-a9a7-f50f4d2c5e67" targetNamespace="http://schemas.microsoft.com/office/2006/metadata/properties" ma:root="true" ma:fieldsID="21856aa37a3ff06c9fa1dd7ccf773f0b" ns2:_="">
    <xsd:import namespace="3f4669e4-7371-48d7-a9a7-f50f4d2c5e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669e4-7371-48d7-a9a7-f50f4d2c5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BEC8B4-8C5E-4949-9130-66D231E24481}"/>
</file>

<file path=customXml/itemProps2.xml><?xml version="1.0" encoding="utf-8"?>
<ds:datastoreItem xmlns:ds="http://schemas.openxmlformats.org/officeDocument/2006/customXml" ds:itemID="{7172A561-C9FA-451D-A654-20C91853FC63}">
  <ds:schemaRefs>
    <ds:schemaRef ds:uri="http://schemas.microsoft.com/office/2006/metadata/properties"/>
    <ds:schemaRef ds:uri="http://schemas.microsoft.com/office/infopath/2007/PartnerControls"/>
    <ds:schemaRef ds:uri="bc4b8715-cd12-4f71-bb6e-fde4a4ed6550"/>
  </ds:schemaRefs>
</ds:datastoreItem>
</file>

<file path=customXml/itemProps3.xml><?xml version="1.0" encoding="utf-8"?>
<ds:datastoreItem xmlns:ds="http://schemas.openxmlformats.org/officeDocument/2006/customXml" ds:itemID="{5B58A3A5-5DC5-4D33-869D-1CA6F0511B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218</Words>
  <Characters>1248</Characters>
  <Application>Microsoft Office Word</Application>
  <DocSecurity>0</DocSecurity>
  <Lines>10</Lines>
  <Paragraphs>2</Paragraphs>
  <ScaleCrop>false</ScaleCrop>
  <Company>CHLA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 - 716.7 Xenex UV Disinfecting Machines Standard Operating Procedures</dc:title>
  <dc:subject/>
  <dc:creator>Glucoft, Marisa</dc:creator>
  <cp:keywords/>
  <dc:description/>
  <cp:lastModifiedBy>Huynh, Fuong</cp:lastModifiedBy>
  <cp:revision>25</cp:revision>
  <cp:lastPrinted>2020-01-21T15:13:00Z</cp:lastPrinted>
  <dcterms:created xsi:type="dcterms:W3CDTF">2022-11-03T22:46:00Z</dcterms:created>
  <dcterms:modified xsi:type="dcterms:W3CDTF">2023-04-27T15:25:00Z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0x010100B710A1418F96DE40ABC4B29D424915A4</vt:lpwstr>
  </property>
</Properties>
</file>