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 xml:space="preserve">PURPOSE: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i/>
          <w:i/>
          <w:sz w:val="23"/>
          <w:szCs w:val="23"/>
        </w:rPr>
      </w:pPr>
      <w:r>
        <w:rPr>
          <w:rFonts w:cs="Book Antiqua" w:ascii="Book Antiqua" w:hAnsi="Book Antiqua"/>
          <w:sz w:val="23"/>
          <w:szCs w:val="23"/>
        </w:rPr>
        <w:t>In accordance with Section 2500, 2504, 2505, 2508, Title 17, California Administrative Code and the Los Angeles County Department of Public Health Regulations for Communicable Disease Reporting (B-82), patients with the following diagnosed or suspected diseases may not be admitted to nor treated at CHLA without authorization of the Infection Control Officer and should be sent to the Communicable Disease Unit, Los Angeles County/USC Medical Center.</w:t>
      </w:r>
    </w:p>
    <w:p>
      <w:pPr>
        <w:pStyle w:val="Normal"/>
        <w:jc w:val="both"/>
        <w:rPr>
          <w:rFonts w:ascii="Book Antiqua" w:hAnsi="Book Antiqua" w:cs="Book Antiqua"/>
          <w:b/>
          <w:i/>
          <w:i/>
          <w:sz w:val="23"/>
          <w:szCs w:val="23"/>
        </w:rPr>
      </w:pPr>
      <w:r>
        <w:rPr>
          <w:rFonts w:cs="Book Antiqua" w:ascii="Book Antiqua" w:hAnsi="Book Antiqua"/>
          <w:b/>
          <w:i/>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 xml:space="preserve">Patients with any of the following diagnosed or suspected diseases listed below shall not be admitted to nor treated in any healthcare facility without notification of and prior approval from the Chief of Acute Communicable Disease Control or the Director of Disease Control Programs (213) 240-7941. If after hours, contact the County Operator to reach the Administrative Officer of the Day (AOD)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 xml:space="preserve">If one of the diseases below is diagnosed or develops in a patient admitted at CHLA, LA County Department of Public Health will coordinate transferring the patient to another designated hospital, </w:t>
      </w:r>
      <w:r>
        <w:rPr>
          <w:rFonts w:cs="Book Antiqua" w:ascii="Book Antiqua" w:hAnsi="Book Antiqua"/>
          <w:sz w:val="23"/>
          <w:szCs w:val="23"/>
          <w:u w:val="single"/>
        </w:rPr>
        <w:t>unless otherwise authorized by the hospital Infection Control Officer or designee</w:t>
      </w:r>
      <w:r>
        <w:rPr>
          <w:rFonts w:cs="Book Antiqua" w:ascii="Book Antiqua" w:hAnsi="Book Antiqua"/>
          <w:sz w:val="23"/>
          <w:szCs w:val="23"/>
        </w:rPr>
        <w:t xml:space="preserve">. </w:t>
      </w:r>
    </w:p>
    <w:p>
      <w:pPr>
        <w:pStyle w:val="Normal"/>
        <w:numPr>
          <w:ilvl w:val="0"/>
          <w:numId w:val="3"/>
        </w:numPr>
        <w:tabs>
          <w:tab w:val="clear" w:pos="720"/>
          <w:tab w:val="left" w:pos="2070" w:leader="none"/>
        </w:tabs>
        <w:jc w:val="both"/>
        <w:rPr>
          <w:rFonts w:ascii="Book Antiqua" w:hAnsi="Book Antiqua" w:cs="Book Antiqua"/>
          <w:sz w:val="23"/>
          <w:szCs w:val="23"/>
        </w:rPr>
      </w:pPr>
      <w:r>
        <w:rPr>
          <w:rFonts w:cs="Book Antiqua" w:ascii="Book Antiqua" w:hAnsi="Book Antiqua"/>
          <w:sz w:val="23"/>
          <w:szCs w:val="23"/>
        </w:rPr>
        <w:t>Cholera</w:t>
      </w:r>
    </w:p>
    <w:p>
      <w:pPr>
        <w:pStyle w:val="Normal"/>
        <w:numPr>
          <w:ilvl w:val="0"/>
          <w:numId w:val="3"/>
        </w:numPr>
        <w:jc w:val="both"/>
        <w:rPr>
          <w:rFonts w:ascii="Book Antiqua" w:hAnsi="Book Antiqua" w:cs="Book Antiqua"/>
          <w:sz w:val="23"/>
          <w:szCs w:val="23"/>
        </w:rPr>
      </w:pPr>
      <w:r>
        <w:rPr>
          <w:rFonts w:cs="Book Antiqua" w:ascii="Book Antiqua" w:hAnsi="Book Antiqua"/>
          <w:sz w:val="23"/>
          <w:szCs w:val="23"/>
        </w:rPr>
        <w:t>Diphtheria: Evaluation on a case-by-case basis in consultation with Acute Communicable Disease Department, LAC/DHS.</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Diphtheria carriers may be admitted after 3 negative cultures are taken 24hrs apart, no less than 7 days after antibiotics are discontinued.</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Plague</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Rabies</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Relapsing fever (louse-borne)</w:t>
      </w:r>
    </w:p>
    <w:p>
      <w:pPr>
        <w:pStyle w:val="ListParagraph"/>
        <w:numPr>
          <w:ilvl w:val="0"/>
          <w:numId w:val="3"/>
        </w:numPr>
        <w:jc w:val="both"/>
        <w:rPr>
          <w:rFonts w:ascii="Book Antiqua" w:hAnsi="Book Antiqua" w:cs="Book Antiqua"/>
          <w:sz w:val="23"/>
          <w:szCs w:val="23"/>
        </w:rPr>
      </w:pPr>
      <w:r>
        <w:rPr>
          <w:rFonts w:cs="Book Antiqua" w:ascii="Book Antiqua" w:hAnsi="Book Antiqua"/>
          <w:bCs/>
          <w:sz w:val="23"/>
          <w:szCs w:val="23"/>
        </w:rPr>
        <w:t>Typhus (louse-borne)</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Viral hemorrhagic fever (i.e.: Lassa, Ebola, Marburg, Crimean-Congo).</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 xml:space="preserve">Patients with suspected or confirmed communicable airborne-transmissible diseases shall not be admitted to any healthcare facility that lacks the ability to comply with the current regulations for airborne-transmissible diseases in the </w:t>
      </w:r>
      <w:r>
        <w:rPr>
          <w:rFonts w:cs="Book Antiqua" w:ascii="Book Antiqua" w:hAnsi="Book Antiqua"/>
          <w:i/>
          <w:iCs/>
          <w:sz w:val="23"/>
          <w:szCs w:val="23"/>
        </w:rPr>
        <w:t xml:space="preserve">California Code of Regulations, </w:t>
      </w:r>
      <w:r>
        <w:rPr>
          <w:rFonts w:cs="Book Antiqua" w:ascii="Book Antiqua" w:hAnsi="Book Antiqua"/>
          <w:sz w:val="23"/>
          <w:szCs w:val="23"/>
        </w:rPr>
        <w:t xml:space="preserve">Title 8 (i.e. no private airborne isolation rooms are available). See </w:t>
      </w:r>
      <w:hyperlink r:id="rId2">
        <w:r>
          <w:rPr>
            <w:rStyle w:val="Hyperlink"/>
            <w:rFonts w:cs="Book Antiqua" w:ascii="Book Antiqua" w:hAnsi="Book Antiqua"/>
            <w:sz w:val="23"/>
            <w:szCs w:val="23"/>
          </w:rPr>
          <w:t>Aerosol Transmissible Disease (ATB) Plan</w:t>
        </w:r>
      </w:hyperlink>
      <w:r>
        <w:rPr>
          <w:rFonts w:cs="Book Antiqua" w:ascii="Book Antiqua" w:hAnsi="Book Antiqua"/>
          <w:sz w:val="23"/>
          <w:szCs w:val="23"/>
        </w:rPr>
        <w:t>.</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1"/>
          <w:numId w:val="2"/>
        </w:numPr>
        <w:jc w:val="both"/>
        <w:rPr>
          <w:rFonts w:ascii="Book Antiqua" w:hAnsi="Book Antiqua" w:cs="Book Antiqua"/>
          <w:sz w:val="23"/>
          <w:szCs w:val="23"/>
        </w:rPr>
      </w:pPr>
      <w:r>
        <w:rPr>
          <w:rFonts w:cs="Book Antiqua" w:ascii="Book Antiqua" w:hAnsi="Book Antiqua"/>
          <w:sz w:val="23"/>
          <w:szCs w:val="23"/>
        </w:rPr>
        <w:t xml:space="preserve">If no negative pressure isolation rooms are available: suspected and or diagnosed cases in need of hospitalization should be referred to a neighboring Medical Center using the Medical Alert Center (MAC) (323) 887-5310.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rPr>
        <w:t>Section 2500, 2504, 2505, 2508, Title 17, California Administrative Code, revised.</w:t>
      </w:r>
    </w:p>
    <w:p>
      <w:pPr>
        <w:pStyle w:val="Normal"/>
        <w:numPr>
          <w:ilvl w:val="0"/>
          <w:numId w:val="4"/>
        </w:numPr>
        <w:jc w:val="both"/>
        <w:rPr>
          <w:rFonts w:ascii="Book Antiqua" w:hAnsi="Book Antiqua" w:cs="Book Antiqua"/>
          <w:sz w:val="23"/>
          <w:szCs w:val="23"/>
        </w:rPr>
      </w:pPr>
      <w:r>
        <w:rPr>
          <w:rFonts w:eastAsia="Book Antiqua" w:cs="Book Antiqua" w:ascii="Book Antiqua" w:hAnsi="Book Antiqua"/>
          <w:sz w:val="23"/>
          <w:szCs w:val="23"/>
        </w:rPr>
        <w:t xml:space="preserve"> </w:t>
      </w:r>
      <w:r>
        <w:rPr>
          <w:rFonts w:cs="Book Antiqua" w:ascii="Book Antiqua" w:hAnsi="Book Antiqua"/>
          <w:sz w:val="23"/>
          <w:szCs w:val="23"/>
        </w:rPr>
        <w:t>Los Angeles County Department of Public Health Regulations for Communicable Disease Reporting (B-82), revised 02/2000.</w:t>
      </w:r>
    </w:p>
    <w:p>
      <w:pPr>
        <w:pStyle w:val="Normal"/>
        <w:numPr>
          <w:ilvl w:val="0"/>
          <w:numId w:val="4"/>
        </w:numPr>
        <w:jc w:val="both"/>
        <w:rPr>
          <w:rFonts w:ascii="Book Antiqua" w:hAnsi="Book Antiqua" w:cs="Book Antiqua"/>
          <w:sz w:val="23"/>
          <w:szCs w:val="23"/>
        </w:rPr>
      </w:pPr>
      <w:hyperlink r:id="rId3">
        <w:r>
          <w:rPr>
            <w:rStyle w:val="Hyperlink"/>
            <w:rFonts w:cs="Book Antiqua" w:ascii="Book Antiqua" w:hAnsi="Book Antiqua"/>
            <w:sz w:val="23"/>
            <w:szCs w:val="23"/>
          </w:rPr>
          <w:t>Aerosol Transmissible Disease (ATB) Plan</w:t>
        </w:r>
      </w:hyperlink>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rFonts w:ascii="Book Antiqua" w:hAnsi="Book Antiqua" w:cs="Book Antiqua"/>
          <w:i/>
          <w:i/>
          <w:sz w:val="23"/>
          <w:szCs w:val="23"/>
        </w:rPr>
      </w:pPr>
      <w:r>
        <w:rPr>
          <w:rFonts w:cs="Book Antiqua" w:ascii="Book Antiqua" w:hAnsi="Book Antiqua"/>
          <w:i/>
          <w:sz w:val="23"/>
          <w:szCs w:val="23"/>
        </w:rPr>
        <w:t>Director, Accreditation &amp; Licensing, Infection Prevention, and Emergency Management</w:t>
      </w:r>
    </w:p>
    <w:p>
      <w:pPr>
        <w:pStyle w:val="Normal"/>
        <w:jc w:val="both"/>
        <w:rPr>
          <w:rFonts w:ascii="Book Antiqua" w:hAnsi="Book Antiqua" w:cs="Book Antiqua"/>
          <w:b/>
          <w:i/>
          <w:i/>
          <w:sz w:val="23"/>
          <w:szCs w:val="23"/>
        </w:rPr>
      </w:pPr>
      <w:r>
        <w:rPr>
          <w:rFonts w:cs="Book Antiqua" w:ascii="Book Antiqua" w:hAnsi="Book Antiqua"/>
          <w:b/>
          <w:i/>
          <w:sz w:val="23"/>
          <w:szCs w:val="23"/>
        </w:rPr>
      </w:r>
    </w:p>
    <w:p>
      <w:pPr>
        <w:pStyle w:val="Normal"/>
        <w:jc w:val="both"/>
        <w:rPr>
          <w:rFonts w:ascii="Book Antiqua" w:hAnsi="Book Antiqua" w:cs="Book Antiqua"/>
          <w:b/>
          <w:i/>
          <w:i/>
          <w:sz w:val="23"/>
          <w:szCs w:val="23"/>
        </w:rPr>
      </w:pPr>
      <w:r>
        <w:rPr>
          <w:rFonts w:cs="Book Antiqua" w:ascii="Book Antiqua" w:hAnsi="Book Antiqua"/>
          <w:b/>
          <w:i/>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sectPr>
      <w:headerReference w:type="default" r:id="rId4"/>
      <w:footerReference w:type="default" r:id="rId5"/>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tbl>
    <w:tblPr>
      <w:tblW w:w="10942" w:type="dxa"/>
      <w:jc w:val="start"/>
      <w:tblInd w:w="-10" w:type="dxa"/>
      <w:tblLayout w:type="fixed"/>
      <w:tblCellMar>
        <w:top w:w="0" w:type="dxa"/>
        <w:start w:w="132" w:type="dxa"/>
        <w:bottom w:w="0" w:type="dxa"/>
        <w:end w:w="132" w:type="dxa"/>
      </w:tblCellMar>
    </w:tblPr>
    <w:tblGrid>
      <w:gridCol w:w="2662"/>
      <w:gridCol w:w="1928"/>
      <w:gridCol w:w="1800"/>
      <w:gridCol w:w="3292"/>
      <w:gridCol w:w="1260"/>
    </w:tblGrid>
    <w:tr>
      <w:trPr>
        <w:trHeight w:val="576" w:hRule="exact"/>
        <w:cantSplit w:val="true"/>
      </w:trPr>
      <w:tc>
        <w:tcPr>
          <w:tcW w:w="2662"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280"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280"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Communicable Diseases Not Admitted or Treated</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07/01/2001</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05/04/2021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662"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202.0</w:t>
          </w:r>
        </w:p>
      </w:tc>
      <w:tc>
        <w:tcPr>
          <w:tcW w:w="7020"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720"/>
        </w:tabs>
        <w:ind w:start="720" w:hanging="360"/>
      </w:pPr>
    </w:lvl>
    <w:lvl w:ilvl="1">
      <w:start w:val="1"/>
      <w:numFmt w:val="lowerLetter"/>
      <w:lvlText w:val="%2."/>
      <w:lvlJc w:val="start"/>
      <w:pPr>
        <w:tabs>
          <w:tab w:val="num" w:pos="1440"/>
        </w:tabs>
        <w:ind w:start="1440" w:hanging="360"/>
      </w:pPr>
      <w:rPr>
        <w:b w:val="false"/>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3">
    <w:lvl w:ilvl="0">
      <w:start w:val="1"/>
      <w:numFmt w:val="lowerLetter"/>
      <w:lvlText w:val="%1."/>
      <w:lvlJc w:val="start"/>
      <w:pPr>
        <w:tabs>
          <w:tab w:val="num" w:pos="2430"/>
        </w:tabs>
        <w:ind w:start="2430" w:hanging="360"/>
      </w:pPr>
      <w:rPr/>
    </w:lvl>
  </w:abstractNum>
  <w:abstractNum w:abstractNumId="4">
    <w:lvl w:ilvl="0">
      <w:start w:val="1"/>
      <w:numFmt w:val="decimal"/>
      <w:lvlText w:val="%1."/>
      <w:lvlJc w:val="start"/>
      <w:pPr>
        <w:tabs>
          <w:tab w:val="num" w:pos="720"/>
        </w:tabs>
        <w:ind w:start="7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1">
    <w:name w:val="WW8Num1z1"/>
    <w:qFormat/>
    <w:rPr>
      <w:b w:val="false"/>
    </w:rPr>
  </w:style>
  <w:style w:type="character" w:styleId="WW8Num2z0">
    <w:name w:val="WW8Num2z0"/>
    <w:qFormat/>
    <w:rPr>
      <w:sz w:val="24"/>
    </w:rPr>
  </w:style>
  <w:style w:type="character" w:styleId="WW8Num3z0">
    <w:name w:val="WW8Num3z0"/>
    <w:qFormat/>
    <w:rPr>
      <w:b/>
    </w:rPr>
  </w:style>
  <w:style w:type="character" w:styleId="WW8Num3z1">
    <w:name w:val="WW8Num3z1"/>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1z0">
    <w:name w:val="WW8Num11z0"/>
    <w:qFormat/>
    <w:rPr>
      <w:rFonts w:ascii="Symbol" w:hAnsi="Symbol" w:cs="Symbol"/>
    </w:rPr>
  </w:style>
  <w:style w:type="character" w:styleId="WW8Num11z2">
    <w:name w:val="WW8Num11z2"/>
    <w:qFormat/>
    <w:rPr/>
  </w:style>
  <w:style w:type="character" w:styleId="WW8Num11z4">
    <w:name w:val="WW8Num11z4"/>
    <w:qFormat/>
    <w:rPr>
      <w:rFonts w:ascii="Courier New" w:hAnsi="Courier New" w:cs="Courier New"/>
    </w:rPr>
  </w:style>
  <w:style w:type="character" w:styleId="WW8Num11z5">
    <w:name w:val="WW8Num11z5"/>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sz w:val="24"/>
    </w:rPr>
  </w:style>
  <w:style w:type="character" w:styleId="WW8Num15z0">
    <w:name w:val="WW8Num15z0"/>
    <w:qFormat/>
    <w:rPr/>
  </w:style>
  <w:style w:type="character" w:styleId="WW8Num16z0">
    <w:name w:val="WW8Num16z0"/>
    <w:qFormat/>
    <w:rPr/>
  </w:style>
  <w:style w:type="character" w:styleId="WW8Num17z0">
    <w:name w:val="WW8Num17z0"/>
    <w:qFormat/>
    <w:rPr>
      <w:b/>
    </w:rPr>
  </w:style>
  <w:style w:type="character" w:styleId="WW8Num18z0">
    <w:name w:val="WW8Num18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hu41kihpaTi5ldTUrQjdqQ==" TargetMode="External"/><Relationship Id="rId3" Type="http://schemas.openxmlformats.org/officeDocument/2006/relationships/hyperlink" Target="https://secure.compliance360.com/ext/hu41kihpaTi5ldTUrQjdqQ=="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2021-02-16T08:24:00Z</dcterms:created>
  <dc:creator>MAGGIE</dc:creator>
  <dc:description/>
  <cp:keywords/>
  <dc:language>en-US</dc:language>
  <cp:lastModifiedBy>Huynh, Fuong</cp:lastModifiedBy>
  <cp:lastPrinted>2017-12-27T17:55:00Z</cp:lastPrinted>
  <dcterms:modified xsi:type="dcterms:W3CDTF">2021-10-07T11:21:00Z</dcterms:modified>
  <cp:revision>12</cp:revision>
  <dc:subject/>
  <dc:title>IC - 202 Communicable Diseases Not Admitted or Treated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0x0101000E7481F7B478DF40B313608E8B4CE0D6</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y fmtid="{D5CDD505-2E9C-101B-9397-08002B2CF9AE}" pid="6" name="_ip_UnifiedCompliancePolicyProperties">
    <vt:lpwstr/>
  </property>
  <property fmtid="{D5CDD505-2E9C-101B-9397-08002B2CF9AE}" pid="7" name="_ip_UnifiedCompliancePolicyUIAction">
    <vt:lpwstr/>
  </property>
</Properties>
</file>