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t>IC 204.1 High-level Disinfection of Semi-Critical items</w:t>
      </w:r>
    </w:p>
    <w:p>
      <w:pPr>
        <w:pStyle w:val="Normal"/>
        <w:jc w:val="center"/>
        <w:rPr/>
      </w:pPr>
      <w:r>
        <w:rPr/>
        <w:t>Appendix A: Overview of Protocol for Enhanced Cleaning, Disinfection, and Quality Control for Duodenoscopes with an elevator channel</w:t>
      </w:r>
    </w:p>
    <w:p>
      <w:pPr>
        <w:pStyle w:val="Normal"/>
        <w:jc w:val="center"/>
        <w:rPr/>
      </w:pPr>
      <w:r>
        <w:rPr/>
      </w:r>
    </w:p>
    <w:p>
      <w:pPr>
        <w:pStyle w:val="Normal"/>
        <w:rPr/>
      </w:pPr>
      <w:r>
        <w:rPr/>
        <w:t>All reusable duodenoscopes with an elevator channel must be processed following the steps identified below in accordance with manufacturer guidance and current recommendations from the Centers for Disease Control and Prevention (CDC) and the U.S. Department of Health and Human Services Food and Drug Administration (FDA). (see attached appendices B-F)</w:t>
      </w:r>
    </w:p>
    <w:p>
      <w:pPr>
        <w:pStyle w:val="ListParagraph"/>
        <w:numPr>
          <w:ilvl w:val="0"/>
          <w:numId w:val="1"/>
        </w:numPr>
        <w:rPr/>
      </w:pPr>
      <w:r>
        <w:rPr/>
        <w:t>Pre-Cleaning at the bedside immediately following use with an enzymatic cleaner</w:t>
      </w:r>
    </w:p>
    <w:p>
      <w:pPr>
        <w:pStyle w:val="ListParagraph"/>
        <w:numPr>
          <w:ilvl w:val="0"/>
          <w:numId w:val="1"/>
        </w:numPr>
        <w:rPr/>
      </w:pPr>
      <w:r>
        <w:rPr/>
        <w:t>Leak Testing – performed in Sterile Processing Department</w:t>
      </w:r>
    </w:p>
    <w:p>
      <w:pPr>
        <w:pStyle w:val="ListParagraph"/>
        <w:numPr>
          <w:ilvl w:val="0"/>
          <w:numId w:val="1"/>
        </w:numPr>
        <w:rPr/>
      </w:pPr>
      <w:r>
        <w:rPr/>
        <w:t>Manual Cleaning and Brushing of Lumens and Elevator Channel- performed in Sterile Processing Department</w:t>
      </w:r>
    </w:p>
    <w:p>
      <w:pPr>
        <w:pStyle w:val="ListParagraph"/>
        <w:numPr>
          <w:ilvl w:val="0"/>
          <w:numId w:val="1"/>
        </w:numPr>
        <w:rPr/>
      </w:pPr>
      <w:r>
        <w:rPr/>
        <w:t>ATP ( Adenosine Triphosphate) testing after manual cleaning of ERCP ( Endoscopic Retrograde CholangioPancreatography ) scope.</w:t>
      </w:r>
    </w:p>
    <w:p>
      <w:pPr>
        <w:pStyle w:val="ListParagraph"/>
        <w:numPr>
          <w:ilvl w:val="0"/>
          <w:numId w:val="1"/>
        </w:numPr>
        <w:rPr/>
      </w:pPr>
      <w:r>
        <w:rPr/>
        <w:t>High level Disinfection in the Medivator Automated Endoscope Reprocessing Machine (AER) performed in Sterile Processing Department</w:t>
      </w:r>
    </w:p>
    <w:p>
      <w:pPr>
        <w:pStyle w:val="ListParagraph"/>
        <w:numPr>
          <w:ilvl w:val="0"/>
          <w:numId w:val="1"/>
        </w:numPr>
        <w:rPr/>
      </w:pPr>
      <w:r>
        <w:rPr/>
        <w:t>ERCP scopes are reprocessed 2x ( manual cleaning and Medivators ) before patient use.</w:t>
      </w:r>
    </w:p>
    <w:p>
      <w:pPr>
        <w:pStyle w:val="Normal"/>
        <w:rPr/>
      </w:pPr>
      <w:r>
        <w:rPr/>
        <w:t>Please reference Appendices B-F for specific detail regarding each of the steps outlined above.</w:t>
      </w:r>
    </w:p>
    <w:p>
      <w:pPr>
        <w:pStyle w:val="Normal"/>
        <w:rPr/>
      </w:pPr>
      <w:r>
        <w:rPr/>
        <w:t>Appendix B: Olympus Cleaning Instructions for TJF-Q180V</w:t>
      </w:r>
    </w:p>
    <w:p>
      <w:pPr>
        <w:pStyle w:val="Normal"/>
        <w:rPr/>
      </w:pPr>
      <w:r>
        <w:rPr/>
        <w:t>Appendix C: Olympus Reprocessing Manual for Olympus TJF Type Q180V</w:t>
      </w:r>
    </w:p>
    <w:p>
      <w:pPr>
        <w:pStyle w:val="Normal"/>
        <w:rPr/>
      </w:pPr>
      <w:r>
        <w:rPr/>
        <w:t>Appendix D: Medivators Processing Requirements</w:t>
      </w:r>
    </w:p>
    <w:p>
      <w:pPr>
        <w:pStyle w:val="Normal"/>
        <w:rPr>
          <w:rFonts w:ascii="Book Antiqua" w:hAnsi="Book Antiqua" w:cs="Book Antiqua"/>
        </w:rPr>
      </w:pPr>
      <w:r>
        <w:rPr/>
        <w:t>Appendix E: Reprocessing Medical Devices in Healthcare Settings: Validation Methods and Labeling Guidance for Industry and Food and Drug Administration Staff</w:t>
      </w:r>
    </w:p>
    <w:p>
      <w:pPr>
        <w:pStyle w:val="Normal"/>
        <w:rPr>
          <w:rFonts w:ascii="Book Antiqua" w:hAnsi="Book Antiqua" w:cs="Book Antiqua"/>
        </w:rPr>
      </w:pPr>
      <w:r>
        <w:rPr>
          <w:rFonts w:cs="Book Antiqua" w:ascii="Book Antiqua" w:hAnsi="Book Antiqua"/>
        </w:rPr>
      </w:r>
    </w:p>
    <w:p>
      <w:pPr>
        <w:pStyle w:val="Normal"/>
        <w:spacing w:before="0" w:after="200"/>
        <w:rPr/>
      </w:pPr>
      <w:r>
        <w:rPr/>
      </w:r>
    </w:p>
    <w:sectPr>
      <w:footerReference w:type="default" r:id="rId2"/>
      <w:type w:val="nextPage"/>
      <w:pgSz w:w="12240" w:h="15840"/>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Book Antiqua">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200"/>
      <w:ind w:start="720" w:end="0"/>
      <w:jc w:val="center"/>
      <w:rPr/>
    </w:pPr>
    <w:bookmarkStart w:id="0" w:name="_Hlk77594431"/>
    <w:bookmarkStart w:id="1" w:name="_Hlk77594430"/>
    <w:bookmarkStart w:id="2" w:name="_Hlk77594308"/>
    <w:bookmarkStart w:id="3" w:name="_Hlk77594307"/>
    <w:bookmarkStart w:id="4" w:name="_Hlk77593782"/>
    <w:bookmarkStart w:id="5" w:name="_Hlk77593781"/>
    <w:bookmarkStart w:id="6" w:name="_Hlk77593443"/>
    <w:bookmarkStart w:id="7" w:name="_Hlk77593442"/>
    <w:bookmarkStart w:id="8" w:name="_Hlk77590648"/>
    <w:bookmarkStart w:id="9" w:name="_Hlk77590647"/>
    <w:bookmarkStart w:id="10" w:name="_Hlk77590545"/>
    <w:bookmarkStart w:id="11" w:name="_Hlk77590544"/>
    <w:bookmarkStart w:id="12" w:name="_Hlk77590430"/>
    <w:bookmarkStart w:id="13" w:name="_Hlk77590429"/>
    <w:bookmarkStart w:id="14" w:name="_Hlk77590090"/>
    <w:bookmarkStart w:id="15" w:name="_Hlk77590089"/>
    <w:bookmarkStart w:id="16" w:name="_Hlk77589983"/>
    <w:bookmarkStart w:id="17" w:name="_Hlk77589982"/>
    <w:bookmarkStart w:id="18" w:name="_Hlk77589902"/>
    <w:bookmarkStart w:id="19" w:name="_Hlk77589901"/>
    <w:bookmarkStart w:id="20" w:name="_Hlk77589577"/>
    <w:bookmarkStart w:id="21" w:name="_Hlk77589576"/>
    <w:bookmarkStart w:id="22" w:name="_Hlk77589463"/>
    <w:bookmarkStart w:id="23" w:name="_Hlk77589462"/>
    <w:bookmarkStart w:id="24" w:name="_Hlk77589364"/>
    <w:bookmarkStart w:id="25" w:name="_Hlk77589363"/>
    <w:bookmarkStart w:id="26" w:name="_Hlk77589162"/>
    <w:bookmarkStart w:id="27" w:name="_Hlk77589161"/>
    <w:bookmarkStart w:id="28" w:name="_Hlk77588959"/>
    <w:bookmarkStart w:id="29" w:name="_Hlk77588958"/>
    <w:bookmarkStart w:id="30" w:name="_Hlk77586117"/>
    <w:bookmarkStart w:id="31" w:name="_Hlk77586116"/>
    <w:bookmarkStart w:id="32" w:name="_Hlk77586018"/>
    <w:bookmarkStart w:id="33" w:name="_Hlk77586017"/>
    <w:bookmarkStart w:id="34" w:name="_Hlk77585747"/>
    <w:bookmarkStart w:id="35" w:name="_Hlk77585746"/>
    <w:bookmarkStart w:id="36" w:name="_Hlk77585501"/>
    <w:bookmarkStart w:id="37" w:name="_Hlk77585500"/>
    <w:bookmarkStart w:id="38" w:name="_Hlk77585140"/>
    <w:bookmarkStart w:id="39" w:name="_Hlk77585139"/>
    <w:bookmarkStart w:id="40" w:name="_Hlk77585035"/>
    <w:bookmarkStart w:id="41" w:name="_Hlk77585034"/>
    <w:bookmarkStart w:id="42" w:name="_Hlk77584677"/>
    <w:bookmarkStart w:id="43" w:name="_Hlk77584676"/>
    <w:bookmarkStart w:id="44" w:name="_Hlk77584223"/>
    <w:bookmarkStart w:id="45" w:name="_Hlk77584222"/>
    <w:bookmarkStart w:id="46" w:name="_Hlk77583898"/>
    <w:bookmarkStart w:id="47" w:name="_Hlk77583897"/>
    <w:bookmarkStart w:id="48" w:name="_Hlk77583762"/>
    <w:bookmarkStart w:id="49" w:name="_Hlk77583761"/>
    <w:bookmarkStart w:id="50" w:name="_Hlk77583497"/>
    <w:bookmarkStart w:id="51" w:name="_Hlk77583496"/>
    <w:bookmarkStart w:id="52" w:name="_Hlk77583383"/>
    <w:bookmarkStart w:id="53" w:name="_Hlk77583382"/>
    <w:bookmarkStart w:id="54" w:name="_Hlk77583290"/>
    <w:bookmarkStart w:id="55" w:name="_Hlk77583289"/>
    <w:bookmarkStart w:id="56" w:name="_Hlk77582729"/>
    <w:bookmarkStart w:id="57" w:name="_Hlk77582728"/>
    <w:bookmarkStart w:id="58" w:name="_Hlk77582327"/>
    <w:bookmarkStart w:id="59" w:name="_Hlk77582326"/>
    <w:bookmarkStart w:id="60" w:name="_Hlk77581946"/>
    <w:bookmarkStart w:id="61" w:name="_Hlk77581945"/>
    <w:bookmarkStart w:id="62" w:name="_Hlk77581766"/>
    <w:bookmarkStart w:id="63" w:name="_Hlk77581765"/>
    <w:bookmarkStart w:id="64" w:name="_Hlk77581703"/>
    <w:bookmarkStart w:id="65" w:name="_Hlk77581702"/>
    <w:bookmarkStart w:id="66" w:name="_Hlk77581465"/>
    <w:bookmarkStart w:id="67" w:name="_Hlk77581464"/>
    <w:bookmarkStart w:id="68" w:name="_Hlk77581335"/>
    <w:bookmarkStart w:id="69" w:name="_Hlk77581334"/>
    <w:bookmarkStart w:id="70" w:name="_Hlk77580313"/>
    <w:bookmarkStart w:id="71" w:name="_Hlk77580312"/>
    <w:bookmarkStart w:id="72" w:name="_Hlk77579696"/>
    <w:bookmarkStart w:id="73" w:name="_Hlk77579695"/>
    <w:bookmarkStart w:id="74" w:name="_Hlk77579540"/>
    <w:bookmarkStart w:id="75" w:name="_Hlk77579539"/>
    <w:bookmarkStart w:id="76" w:name="_Hlk77579405"/>
    <w:bookmarkStart w:id="77" w:name="_Hlk77579404"/>
    <w:bookmarkStart w:id="78" w:name="_Hlk77579289"/>
    <w:bookmarkStart w:id="79" w:name="_Hlk77579288"/>
    <w:bookmarkStart w:id="80" w:name="_Hlk77579142"/>
    <w:bookmarkStart w:id="81" w:name="_Hlk77579141"/>
    <w:bookmarkStart w:id="82" w:name="_Hlk77578977"/>
    <w:bookmarkStart w:id="83" w:name="_Hlk77578976"/>
    <w:bookmarkStart w:id="84" w:name="_Hlk77578720"/>
    <w:bookmarkStart w:id="85" w:name="_Hlk77578719"/>
    <w:bookmarkStart w:id="86" w:name="_Hlk77578557"/>
    <w:bookmarkStart w:id="87" w:name="_Hlk77578556"/>
    <w:bookmarkStart w:id="88" w:name="_Hlk77578224"/>
    <w:bookmarkStart w:id="89" w:name="_Hlk77578223"/>
    <w:bookmarkStart w:id="90" w:name="_Hlk77577688"/>
    <w:bookmarkStart w:id="91" w:name="_Hlk77577687"/>
    <w:bookmarkStart w:id="92" w:name="_Hlk77577586"/>
    <w:bookmarkStart w:id="93" w:name="_Hlk77577585"/>
    <w:bookmarkStart w:id="94" w:name="_Hlk77577264"/>
    <w:bookmarkStart w:id="95" w:name="_Hlk77577263"/>
    <w:bookmarkStart w:id="96" w:name="_Hlk77577093"/>
    <w:bookmarkStart w:id="97" w:name="_Hlk77577092"/>
    <w:bookmarkStart w:id="98" w:name="_Hlk77576697"/>
    <w:bookmarkStart w:id="99" w:name="_Hlk77576696"/>
    <w:bookmarkStart w:id="100" w:name="_Hlk77576524"/>
    <w:bookmarkStart w:id="101" w:name="_Hlk77576523"/>
    <w:bookmarkStart w:id="102" w:name="_Hlk77576214"/>
    <w:bookmarkStart w:id="103" w:name="_Hlk77576213"/>
    <w:bookmarkStart w:id="104" w:name="_Hlk77576104"/>
    <w:bookmarkStart w:id="105" w:name="_Hlk77576103"/>
    <w:bookmarkStart w:id="106" w:name="_Hlk77575748"/>
    <w:bookmarkStart w:id="107" w:name="_Hlk77575747"/>
    <w:bookmarkStart w:id="108" w:name="_Hlk77575612"/>
    <w:bookmarkStart w:id="109" w:name="_Hlk77575611"/>
    <w:bookmarkStart w:id="110" w:name="_Hlk77575566"/>
    <w:bookmarkStart w:id="111" w:name="_Hlk77575565"/>
    <w:bookmarkStart w:id="112" w:name="_Hlk77575357"/>
    <w:bookmarkStart w:id="113" w:name="_Hlk77575356"/>
    <w:bookmarkStart w:id="114" w:name="_Hlk77575251"/>
    <w:bookmarkStart w:id="115" w:name="_Hlk77575250"/>
    <w:bookmarkStart w:id="116" w:name="_Hlk77575118"/>
    <w:bookmarkStart w:id="117" w:name="_Hlk77575117"/>
    <w:bookmarkStart w:id="118" w:name="_Hlk77574946"/>
    <w:bookmarkStart w:id="119" w:name="_Hlk77574945"/>
    <w:r>
      <w:rPr>
        <w:rFonts w:cs="Book Antiqua" w:ascii="Book Antiqua" w:hAnsi="Book Antiqua"/>
        <w:b/>
        <w:bCs/>
        <w:i/>
        <w:iCs/>
        <w:color w:val="FF0000"/>
        <w:sz w:val="20"/>
        <w:szCs w:val="16"/>
      </w:rPr>
      <w:t>*Once this policy is printed or otherwise distributed from the CHLA Policies and Procedures Library, it is not considered a controlled document. Please review the electronic version of this policy in the CHLA Policies and Procedures Library as this may not be the current version.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character" w:styleId="WW8Num1z0">
    <w:name w:val="WW8Num1z0"/>
    <w:qFormat/>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HeaderChar">
    <w:name w:val="Header Char"/>
    <w:qFormat/>
    <w:rPr>
      <w:sz w:val="22"/>
      <w:szCs w:val="22"/>
    </w:rPr>
  </w:style>
  <w:style w:type="character" w:styleId="FooterChar">
    <w:name w:val="Footer Char"/>
    <w:qFormat/>
    <w:rPr>
      <w:sz w:val="22"/>
      <w:szCs w:val="22"/>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qFormat/>
    <w:pPr>
      <w:spacing w:before="0" w:after="200"/>
      <w:ind w:hanging="0" w:start="720" w:end="0"/>
      <w:contextualSpacing/>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2021-09-10T11:16:00Z</dcterms:created>
  <dc:creator>mvirgallito</dc:creator>
  <dc:description/>
  <cp:keywords/>
  <dc:language>en-US</dc:language>
  <cp:lastModifiedBy>Huynh, Fuong</cp:lastModifiedBy>
  <cp:lastPrinted>2018-10-04T12:42:00Z</cp:lastPrinted>
  <dcterms:modified xsi:type="dcterms:W3CDTF">2021-11-19T14:54:00Z</dcterms:modified>
  <cp:revision>3</cp:revision>
  <dc:subject/>
  <dc:title>IC - 204.1 Appendix A Overview of Protocol for Enhanced Cleaning, Disinfection, and Quality Control</dc:title>
</cp:coreProperties>
</file>