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ook Antiqua" w:hAnsi="Book Antiqua" w:cs="Book Antiqua"/>
          <w:sz w:val="23"/>
          <w:szCs w:val="23"/>
        </w:rPr>
      </w:pPr>
      <w:r>
        <w:rPr>
          <w:rFonts w:cs="Arial" w:ascii="Book Antiqua" w:hAnsi="Book Antiqua"/>
          <w:b/>
          <w:sz w:val="23"/>
          <w:szCs w:val="23"/>
        </w:rPr>
        <w:t>PURPOSE:</w:t>
      </w:r>
      <w:r>
        <w:rPr>
          <w:rFonts w:cs="Book Antiqua" w:ascii="Book Antiqua" w:hAnsi="Book Antiqua"/>
          <w:sz w:val="23"/>
          <w:szCs w:val="23"/>
        </w:rPr>
        <w:t xml:space="preserve"> </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Arial"/>
          <w:sz w:val="23"/>
          <w:szCs w:val="23"/>
        </w:rPr>
      </w:pPr>
      <w:r>
        <w:rPr>
          <w:rFonts w:cs="Book Antiqua" w:ascii="Book Antiqua" w:hAnsi="Book Antiqua"/>
          <w:sz w:val="23"/>
          <w:szCs w:val="23"/>
        </w:rPr>
        <w:t>California Code of Regulations, Title 17, Public Health, Sections 2500, 2000 requires health care providers to report designated diseases and conditions of public health importance to the local health department. Likewise, Microbiology laboratory shall report evidence suggestive of diseases and conditions of public health importance to the local health officer as mandated under Section 2505 of the California Public Health Code.</w:t>
      </w:r>
    </w:p>
    <w:p>
      <w:pPr>
        <w:pStyle w:val="Normal"/>
        <w:rPr>
          <w:rFonts w:ascii="Book Antiqua" w:hAnsi="Book Antiqua" w:cs="Book Antiqua"/>
          <w:sz w:val="23"/>
          <w:szCs w:val="23"/>
        </w:rPr>
      </w:pPr>
      <w:r>
        <w:rPr>
          <w:rFonts w:cs="Book Antiqua" w:ascii="Book Antiqua" w:hAnsi="Book Antiqua"/>
          <w:sz w:val="23"/>
          <w:szCs w:val="23"/>
        </w:rPr>
      </w:r>
    </w:p>
    <w:p>
      <w:pPr>
        <w:pStyle w:val="Normal"/>
        <w:ind w:hanging="2160" w:start="2160" w:end="0"/>
        <w:rPr>
          <w:rFonts w:ascii="Book Antiqua" w:hAnsi="Book Antiqua" w:cs="Arial"/>
          <w:b/>
          <w:sz w:val="23"/>
          <w:szCs w:val="23"/>
        </w:rPr>
      </w:pPr>
      <w:r>
        <w:rPr>
          <w:rFonts w:cs="Arial" w:ascii="Book Antiqua" w:hAnsi="Book Antiqua"/>
          <w:b/>
          <w:sz w:val="23"/>
          <w:szCs w:val="23"/>
        </w:rPr>
        <w:t>PROCEDURES:</w:t>
      </w:r>
    </w:p>
    <w:p>
      <w:pPr>
        <w:pStyle w:val="Normal"/>
        <w:rPr>
          <w:rFonts w:ascii="Book Antiqua" w:hAnsi="Book Antiqua" w:cs="Arial"/>
          <w:b/>
          <w:sz w:val="23"/>
          <w:szCs w:val="23"/>
        </w:rPr>
      </w:pPr>
      <w:r>
        <w:rPr>
          <w:rFonts w:cs="Arial" w:ascii="Book Antiqua" w:hAnsi="Book Antiqua"/>
          <w:b/>
          <w:sz w:val="23"/>
          <w:szCs w:val="23"/>
        </w:rPr>
      </w:r>
    </w:p>
    <w:p>
      <w:pPr>
        <w:pStyle w:val="Normal"/>
        <w:rPr>
          <w:rFonts w:ascii="Book Antiqua" w:hAnsi="Book Antiqua" w:cs="Arial"/>
          <w:sz w:val="23"/>
          <w:szCs w:val="23"/>
        </w:rPr>
      </w:pPr>
      <w:r>
        <w:rPr>
          <w:rFonts w:cs="Arial" w:ascii="Book Antiqua" w:hAnsi="Book Antiqua"/>
          <w:sz w:val="23"/>
          <w:szCs w:val="23"/>
        </w:rPr>
        <w:t xml:space="preserve">The most up-to-date list of reportable diseases can be found on the LACDPH Acute Communicable Disease Control (ACDC) website at: </w:t>
      </w:r>
      <w:hyperlink r:id="rId2">
        <w:r>
          <w:rPr>
            <w:rStyle w:val="Hyperlink"/>
            <w:rFonts w:cs="Arial" w:ascii="Book Antiqua" w:hAnsi="Book Antiqua"/>
            <w:sz w:val="23"/>
            <w:szCs w:val="23"/>
          </w:rPr>
          <w:t>http://publichealth.lacounty.gov/acd/Cdrs.htm</w:t>
        </w:r>
      </w:hyperlink>
    </w:p>
    <w:p>
      <w:pPr>
        <w:pStyle w:val="Normal"/>
        <w:ind w:hanging="2160" w:start="360" w:end="0"/>
        <w:rPr>
          <w:rFonts w:ascii="Book Antiqua" w:hAnsi="Book Antiqua" w:cs="Arial"/>
          <w:b/>
          <w:sz w:val="23"/>
          <w:szCs w:val="23"/>
        </w:rPr>
      </w:pPr>
      <w:r>
        <w:rPr>
          <w:rFonts w:cs="Arial" w:ascii="Book Antiqua" w:hAnsi="Book Antiqua"/>
          <w:b/>
          <w:sz w:val="23"/>
          <w:szCs w:val="23"/>
        </w:rPr>
      </w:r>
    </w:p>
    <w:p>
      <w:pPr>
        <w:pStyle w:val="Normal"/>
        <w:rPr>
          <w:rFonts w:ascii="Book Antiqua" w:hAnsi="Book Antiqua" w:cs="Arial"/>
          <w:b/>
          <w:sz w:val="23"/>
          <w:szCs w:val="23"/>
        </w:rPr>
      </w:pPr>
      <w:r>
        <w:rPr>
          <w:rFonts w:cs="Arial" w:ascii="Book Antiqua" w:hAnsi="Book Antiqua"/>
          <w:b/>
          <w:sz w:val="23"/>
          <w:szCs w:val="23"/>
        </w:rPr>
        <w:t xml:space="preserve">Reporting Responsibility: </w:t>
        <w:tab/>
      </w:r>
    </w:p>
    <w:p>
      <w:pPr>
        <w:pStyle w:val="Normal"/>
        <w:rPr>
          <w:rFonts w:ascii="Book Antiqua" w:hAnsi="Book Antiqua" w:cs="Arial"/>
          <w:b/>
          <w:sz w:val="23"/>
          <w:szCs w:val="23"/>
        </w:rPr>
      </w:pPr>
      <w:r>
        <w:rPr>
          <w:rFonts w:cs="Arial" w:ascii="Book Antiqua" w:hAnsi="Book Antiqua"/>
          <w:b/>
          <w:sz w:val="23"/>
          <w:szCs w:val="23"/>
        </w:rPr>
      </w:r>
    </w:p>
    <w:p>
      <w:pPr>
        <w:pStyle w:val="Normal"/>
        <w:numPr>
          <w:ilvl w:val="0"/>
          <w:numId w:val="3"/>
        </w:numPr>
        <w:ind w:hanging="270" w:start="450" w:end="0"/>
        <w:rPr>
          <w:rFonts w:ascii="Book Antiqua" w:hAnsi="Book Antiqua" w:cs="Arial"/>
          <w:sz w:val="23"/>
          <w:szCs w:val="23"/>
        </w:rPr>
      </w:pPr>
      <w:r>
        <w:rPr>
          <w:rFonts w:eastAsia="Book Antiqua" w:cs="Book Antiqua" w:ascii="Book Antiqua" w:hAnsi="Book Antiqua"/>
          <w:sz w:val="23"/>
          <w:szCs w:val="23"/>
        </w:rPr>
        <w:t xml:space="preserve"> </w:t>
      </w:r>
      <w:r>
        <w:rPr>
          <w:rFonts w:cs="Arial" w:ascii="Book Antiqua" w:hAnsi="Book Antiqua"/>
          <w:b/>
          <w:sz w:val="23"/>
          <w:szCs w:val="23"/>
          <w:u w:val="single"/>
        </w:rPr>
        <w:t>Healthcare Provider Reporting</w:t>
      </w:r>
      <w:r>
        <w:rPr>
          <w:rFonts w:cs="Arial" w:ascii="Book Antiqua" w:hAnsi="Book Antiqua"/>
          <w:b/>
          <w:sz w:val="23"/>
          <w:szCs w:val="23"/>
        </w:rPr>
        <w:t>:</w:t>
      </w:r>
      <w:r>
        <w:rPr>
          <w:rFonts w:cs="Arial" w:ascii="Book Antiqua" w:hAnsi="Book Antiqua"/>
          <w:sz w:val="23"/>
          <w:szCs w:val="23"/>
        </w:rPr>
        <w:t xml:space="preserve"> CHLA workforce notifies the Infection Prevention &amp; Control (IPC) team when a case or suspected case is identified in order to expedite and centralize this reporting process at CHLA. This responsibility includes both inpatient and Emergency Department clinicians. </w:t>
      </w:r>
    </w:p>
    <w:p>
      <w:pPr>
        <w:pStyle w:val="Normal"/>
        <w:numPr>
          <w:ilvl w:val="0"/>
          <w:numId w:val="3"/>
        </w:numPr>
        <w:spacing w:before="240" w:after="0"/>
        <w:ind w:hanging="270" w:start="450" w:end="0"/>
        <w:rPr>
          <w:rFonts w:ascii="Book Antiqua" w:hAnsi="Book Antiqua" w:cs="Arial"/>
          <w:sz w:val="23"/>
          <w:szCs w:val="23"/>
        </w:rPr>
      </w:pPr>
      <w:r>
        <w:rPr>
          <w:rFonts w:cs="Arial" w:ascii="Book Antiqua" w:hAnsi="Book Antiqua"/>
          <w:b/>
          <w:sz w:val="23"/>
          <w:szCs w:val="23"/>
          <w:u w:val="single"/>
        </w:rPr>
        <w:t xml:space="preserve">Infection Prevention Reporting: </w:t>
      </w:r>
      <w:r>
        <w:rPr>
          <w:rFonts w:cs="Arial" w:ascii="Book Antiqua" w:hAnsi="Book Antiqua"/>
          <w:sz w:val="23"/>
          <w:szCs w:val="23"/>
        </w:rPr>
        <w:t>The IPC team reviews labs and medical records to identify reportable conditions. IPC will generate the appropriate reporting forms and forward them to the local health department in a timely manner as specified in the Reportable Diseases and Conditions Title 17 California Code of Regulations (CCR) 2500 (</w:t>
      </w:r>
      <w:hyperlink r:id="rId3">
        <w:r>
          <w:rPr>
            <w:rStyle w:val="Hyperlink"/>
            <w:rFonts w:cs="Book Antiqua" w:ascii="Book Antiqua" w:hAnsi="Book Antiqua"/>
            <w:sz w:val="23"/>
            <w:szCs w:val="23"/>
          </w:rPr>
          <w:t>http://www.publichealth.lacounty.gov/acd/docs/ReportableDiseaseListMarch2020.pdf</w:t>
        </w:r>
      </w:hyperlink>
      <w:r>
        <w:rPr>
          <w:rFonts w:cs="Book Antiqua" w:ascii="Book Antiqua" w:hAnsi="Book Antiqua"/>
          <w:sz w:val="23"/>
          <w:szCs w:val="23"/>
        </w:rPr>
        <w:t>)</w:t>
      </w:r>
      <w:r>
        <w:rPr>
          <w:rFonts w:cs="Arial" w:ascii="Book Antiqua" w:hAnsi="Book Antiqua"/>
          <w:sz w:val="23"/>
          <w:szCs w:val="23"/>
        </w:rPr>
        <w:t xml:space="preserve"> </w:t>
      </w:r>
    </w:p>
    <w:p>
      <w:pPr>
        <w:pStyle w:val="Normal"/>
        <w:numPr>
          <w:ilvl w:val="1"/>
          <w:numId w:val="3"/>
        </w:numPr>
        <w:rPr>
          <w:rFonts w:ascii="Book Antiqua" w:hAnsi="Book Antiqua" w:cs="Arial"/>
          <w:sz w:val="23"/>
          <w:szCs w:val="23"/>
        </w:rPr>
      </w:pPr>
      <w:r>
        <w:rPr>
          <w:rFonts w:cs="Arial" w:ascii="Book Antiqua" w:hAnsi="Book Antiqua"/>
          <w:sz w:val="23"/>
          <w:szCs w:val="23"/>
        </w:rPr>
        <w:t>The IPC team is responsible with communicating with LACDPH to provide status updates and information as needed.</w:t>
      </w:r>
    </w:p>
    <w:p>
      <w:pPr>
        <w:pStyle w:val="Normal"/>
        <w:rPr>
          <w:rFonts w:ascii="Book Antiqua" w:hAnsi="Book Antiqua" w:cs="Arial"/>
          <w:sz w:val="23"/>
          <w:szCs w:val="23"/>
        </w:rPr>
      </w:pPr>
      <w:r>
        <w:rPr>
          <w:rFonts w:cs="Arial" w:ascii="Book Antiqua" w:hAnsi="Book Antiqua"/>
          <w:sz w:val="23"/>
          <w:szCs w:val="23"/>
        </w:rPr>
      </w:r>
    </w:p>
    <w:p>
      <w:pPr>
        <w:pStyle w:val="Normal"/>
        <w:numPr>
          <w:ilvl w:val="0"/>
          <w:numId w:val="3"/>
        </w:numPr>
        <w:ind w:hanging="270" w:start="450" w:end="0"/>
        <w:rPr>
          <w:rFonts w:ascii="Book Antiqua" w:hAnsi="Book Antiqua" w:cs="Arial"/>
          <w:sz w:val="23"/>
          <w:szCs w:val="23"/>
        </w:rPr>
      </w:pPr>
      <w:r>
        <w:rPr>
          <w:rFonts w:cs="Arial" w:ascii="Book Antiqua" w:hAnsi="Book Antiqua"/>
          <w:b/>
          <w:sz w:val="23"/>
          <w:szCs w:val="23"/>
          <w:u w:val="single"/>
        </w:rPr>
        <w:t>Laboratory Reporting</w:t>
      </w:r>
      <w:r>
        <w:rPr>
          <w:rFonts w:cs="Arial" w:ascii="Book Antiqua" w:hAnsi="Book Antiqua"/>
          <w:b/>
          <w:sz w:val="23"/>
          <w:szCs w:val="23"/>
        </w:rPr>
        <w:t>:</w:t>
      </w:r>
      <w:r>
        <w:rPr>
          <w:rFonts w:cs="Arial" w:ascii="Book Antiqua" w:hAnsi="Book Antiqua"/>
          <w:sz w:val="23"/>
          <w:szCs w:val="23"/>
        </w:rPr>
        <w:t xml:space="preserve"> Microbiology laboratory shall report evidence suggestive of diseases and conditions of public health important to the local health officer as described in the Notification Required of Laboratories CCR 2505 list. </w:t>
      </w:r>
    </w:p>
    <w:p>
      <w:pPr>
        <w:pStyle w:val="Normal"/>
        <w:numPr>
          <w:ilvl w:val="1"/>
          <w:numId w:val="3"/>
        </w:numPr>
        <w:rPr>
          <w:rFonts w:ascii="Book Antiqua" w:hAnsi="Book Antiqua" w:cs="Arial"/>
          <w:sz w:val="23"/>
          <w:szCs w:val="23"/>
        </w:rPr>
      </w:pPr>
      <w:r>
        <w:rPr>
          <w:rFonts w:cs="Arial" w:ascii="Book Antiqua" w:hAnsi="Book Antiqua"/>
          <w:sz w:val="23"/>
          <w:szCs w:val="23"/>
        </w:rPr>
        <w:t>Critical values and microbiology results are reported to the ordering physician via phone call. Critical results are not released or posted until a physician is able to take the value. See Policy LAB - 037.0 Critical Results Management for more details.</w:t>
      </w:r>
    </w:p>
    <w:p>
      <w:pPr>
        <w:pStyle w:val="Normal"/>
        <w:numPr>
          <w:ilvl w:val="1"/>
          <w:numId w:val="3"/>
        </w:numPr>
        <w:rPr>
          <w:rFonts w:ascii="Book Antiqua" w:hAnsi="Book Antiqua" w:cs="Arial"/>
          <w:sz w:val="23"/>
          <w:szCs w:val="23"/>
        </w:rPr>
      </w:pPr>
      <w:r>
        <w:rPr>
          <w:rFonts w:cs="Arial" w:ascii="Book Antiqua" w:hAnsi="Book Antiqua"/>
          <w:sz w:val="23"/>
          <w:szCs w:val="23"/>
        </w:rPr>
        <w:t>Microbiology and virology results that meet requirements for LACDPH communicable disease reporting are also reported to the IPC team via emails, messages, and/or printouts.</w:t>
      </w:r>
    </w:p>
    <w:p>
      <w:pPr>
        <w:pStyle w:val="Normal"/>
        <w:rPr>
          <w:rFonts w:ascii="Book Antiqua" w:hAnsi="Book Antiqua" w:cs="Arial"/>
          <w:sz w:val="23"/>
          <w:szCs w:val="23"/>
        </w:rPr>
      </w:pPr>
      <w:r>
        <w:rPr>
          <w:rFonts w:cs="Arial" w:ascii="Book Antiqua" w:hAnsi="Book Antiqua"/>
          <w:sz w:val="23"/>
          <w:szCs w:val="23"/>
        </w:rPr>
      </w:r>
    </w:p>
    <w:p>
      <w:pPr>
        <w:pStyle w:val="Normal"/>
        <w:rPr/>
      </w:pPr>
      <w:r>
        <w:rPr>
          <w:rFonts w:cs="Arial" w:ascii="Book Antiqua" w:hAnsi="Book Antiqua"/>
          <w:b/>
          <w:sz w:val="23"/>
          <w:szCs w:val="23"/>
        </w:rPr>
        <w:t>Types of Reportable Diseases:</w:t>
      </w:r>
    </w:p>
    <w:p>
      <w:pPr>
        <w:pStyle w:val="Normal"/>
        <w:numPr>
          <w:ilvl w:val="0"/>
          <w:numId w:val="2"/>
        </w:numPr>
        <w:rPr>
          <w:rFonts w:ascii="Book Antiqua" w:hAnsi="Book Antiqua" w:cs="Arial"/>
          <w:b/>
          <w:sz w:val="23"/>
          <w:szCs w:val="23"/>
        </w:rPr>
      </w:pPr>
      <w:r>
        <w:rPr>
          <w:rFonts w:cs="Arial" w:ascii="Book Antiqua" w:hAnsi="Book Antiqua"/>
          <w:sz w:val="23"/>
          <w:szCs w:val="23"/>
        </w:rPr>
        <w:t xml:space="preserve">Diseases that require reporting immediately by telephone need to be reported to the local health department after suspect or confirmed identification. </w:t>
      </w:r>
    </w:p>
    <w:p>
      <w:pPr>
        <w:pStyle w:val="Normal"/>
        <w:numPr>
          <w:ilvl w:val="1"/>
          <w:numId w:val="2"/>
        </w:numPr>
        <w:rPr>
          <w:rFonts w:ascii="Book Antiqua" w:hAnsi="Book Antiqua" w:cs="Arial"/>
          <w:b/>
          <w:sz w:val="23"/>
          <w:szCs w:val="23"/>
        </w:rPr>
      </w:pPr>
      <w:r>
        <w:rPr>
          <w:rFonts w:cs="Arial" w:ascii="Book Antiqua" w:hAnsi="Book Antiqua"/>
          <w:sz w:val="23"/>
          <w:szCs w:val="23"/>
        </w:rPr>
        <w:t xml:space="preserve">During business hours (Monday-Friday 8:00 AM – 5:00 PM), CHLA workforce may contact the IPC team at x15510 or </w:t>
      </w:r>
      <w:hyperlink r:id="rId4">
        <w:r>
          <w:rPr>
            <w:rStyle w:val="Hyperlink"/>
            <w:rFonts w:cs="Arial" w:ascii="Book Antiqua" w:hAnsi="Book Antiqua"/>
            <w:sz w:val="23"/>
            <w:szCs w:val="23"/>
          </w:rPr>
          <w:t>InfectionPreventionAndControl@chla.usc.edu</w:t>
        </w:r>
      </w:hyperlink>
      <w:r>
        <w:rPr>
          <w:rFonts w:cs="Arial" w:ascii="Book Antiqua" w:hAnsi="Book Antiqua"/>
          <w:sz w:val="23"/>
          <w:szCs w:val="23"/>
        </w:rPr>
        <w:t>. During these hours, the IPC team is responsible for reporting a suspected communicable disease that requires immediate reporting.</w:t>
      </w:r>
    </w:p>
    <w:p>
      <w:pPr>
        <w:pStyle w:val="Normal"/>
        <w:numPr>
          <w:ilvl w:val="2"/>
          <w:numId w:val="2"/>
        </w:numPr>
        <w:rPr>
          <w:rFonts w:ascii="Book Antiqua" w:hAnsi="Book Antiqua" w:cs="Arial"/>
          <w:b/>
          <w:sz w:val="23"/>
          <w:szCs w:val="23"/>
        </w:rPr>
      </w:pPr>
      <w:r>
        <w:rPr>
          <w:rFonts w:cs="Arial" w:ascii="Book Antiqua" w:hAnsi="Book Antiqua"/>
          <w:sz w:val="23"/>
          <w:szCs w:val="23"/>
        </w:rPr>
        <w:t>During business hours, reports are to be called in to the local city or county health department:</w:t>
      </w:r>
    </w:p>
    <w:p>
      <w:pPr>
        <w:pStyle w:val="Normal"/>
        <w:numPr>
          <w:ilvl w:val="3"/>
          <w:numId w:val="2"/>
        </w:numPr>
        <w:rPr>
          <w:rFonts w:ascii="Book Antiqua" w:hAnsi="Book Antiqua" w:cs="Arial"/>
          <w:b/>
          <w:sz w:val="23"/>
          <w:szCs w:val="23"/>
        </w:rPr>
      </w:pPr>
      <w:r>
        <w:rPr>
          <w:rFonts w:eastAsia="Book Antiqua" w:cs="Book Antiqua" w:ascii="Book Antiqua" w:hAnsi="Book Antiqua"/>
          <w:sz w:val="23"/>
          <w:szCs w:val="23"/>
        </w:rPr>
        <w:t xml:space="preserve"> </w:t>
      </w:r>
      <w:r>
        <w:rPr>
          <w:rFonts w:cs="Arial" w:ascii="Book Antiqua" w:hAnsi="Book Antiqua"/>
          <w:sz w:val="23"/>
          <w:szCs w:val="23"/>
        </w:rPr>
        <w:t>LACDPH Acute Communicable Disease Control Program:  213-240-7941</w:t>
      </w:r>
    </w:p>
    <w:p>
      <w:pPr>
        <w:pStyle w:val="Normal"/>
        <w:numPr>
          <w:ilvl w:val="3"/>
          <w:numId w:val="2"/>
        </w:numPr>
        <w:rPr>
          <w:rFonts w:ascii="Book Antiqua" w:hAnsi="Book Antiqua" w:cs="Arial"/>
          <w:b/>
          <w:sz w:val="23"/>
          <w:szCs w:val="23"/>
        </w:rPr>
      </w:pPr>
      <w:r>
        <w:rPr>
          <w:rFonts w:cs="Arial" w:ascii="Book Antiqua" w:hAnsi="Book Antiqua"/>
          <w:sz w:val="23"/>
          <w:szCs w:val="23"/>
        </w:rPr>
        <w:t>Long Beach Health Department: 562-570-4302</w:t>
      </w:r>
    </w:p>
    <w:p>
      <w:pPr>
        <w:pStyle w:val="Normal"/>
        <w:numPr>
          <w:ilvl w:val="3"/>
          <w:numId w:val="2"/>
        </w:numPr>
        <w:rPr>
          <w:rFonts w:ascii="Book Antiqua" w:hAnsi="Book Antiqua" w:cs="Arial"/>
          <w:b/>
          <w:sz w:val="23"/>
          <w:szCs w:val="23"/>
        </w:rPr>
      </w:pPr>
      <w:r>
        <w:rPr>
          <w:rFonts w:cs="Arial" w:ascii="Book Antiqua" w:hAnsi="Book Antiqua"/>
          <w:sz w:val="23"/>
          <w:szCs w:val="23"/>
        </w:rPr>
        <w:t>Pasadena Public Health Department: 626-744-6089.</w:t>
      </w:r>
    </w:p>
    <w:p>
      <w:pPr>
        <w:pStyle w:val="Normal"/>
        <w:numPr>
          <w:ilvl w:val="1"/>
          <w:numId w:val="2"/>
        </w:numPr>
        <w:rPr>
          <w:rFonts w:ascii="Book Antiqua" w:hAnsi="Book Antiqua" w:cs="Arial"/>
          <w:b/>
          <w:sz w:val="23"/>
          <w:szCs w:val="23"/>
        </w:rPr>
      </w:pPr>
      <w:r>
        <w:rPr>
          <w:rFonts w:cs="Arial" w:ascii="Book Antiqua" w:hAnsi="Book Antiqua"/>
          <w:sz w:val="23"/>
          <w:szCs w:val="23"/>
        </w:rPr>
        <w:t>During nights, weekends, and holidays, staff (including inpatient and ED) may contact the Infectious Disease physician on call to report a suspected communicable disease that requires immediate reporting.</w:t>
      </w:r>
    </w:p>
    <w:p>
      <w:pPr>
        <w:pStyle w:val="Normal"/>
        <w:numPr>
          <w:ilvl w:val="2"/>
          <w:numId w:val="2"/>
        </w:numPr>
        <w:rPr>
          <w:rFonts w:ascii="Book Antiqua" w:hAnsi="Book Antiqua" w:cs="Arial"/>
          <w:b/>
          <w:sz w:val="23"/>
          <w:szCs w:val="23"/>
        </w:rPr>
      </w:pPr>
      <w:r>
        <w:rPr>
          <w:rFonts w:cs="Arial" w:ascii="Book Antiqua" w:hAnsi="Book Antiqua"/>
          <w:sz w:val="23"/>
          <w:szCs w:val="23"/>
        </w:rPr>
        <w:t>The after-hours reporting hotline for LACDPH can be reached at 213-974-1234.</w:t>
      </w:r>
    </w:p>
    <w:p>
      <w:pPr>
        <w:pStyle w:val="Normal"/>
        <w:numPr>
          <w:ilvl w:val="1"/>
          <w:numId w:val="2"/>
        </w:numPr>
        <w:rPr>
          <w:rFonts w:ascii="Book Antiqua" w:hAnsi="Book Antiqua" w:cs="Arial"/>
          <w:b/>
          <w:sz w:val="23"/>
          <w:szCs w:val="23"/>
        </w:rPr>
      </w:pPr>
      <w:r>
        <w:rPr>
          <w:rFonts w:cs="Arial" w:ascii="Book Antiqua" w:hAnsi="Book Antiqua"/>
          <w:sz w:val="23"/>
          <w:szCs w:val="23"/>
        </w:rPr>
        <w:t>Suspect, preliminary, and confirmed cases should all be reported.</w:t>
      </w:r>
    </w:p>
    <w:p>
      <w:pPr>
        <w:pStyle w:val="Normal"/>
        <w:numPr>
          <w:ilvl w:val="1"/>
          <w:numId w:val="2"/>
        </w:numPr>
        <w:rPr>
          <w:rFonts w:ascii="Book Antiqua" w:hAnsi="Book Antiqua" w:cs="Arial"/>
          <w:b/>
          <w:sz w:val="23"/>
          <w:szCs w:val="23"/>
        </w:rPr>
      </w:pPr>
      <w:r>
        <w:rPr>
          <w:rFonts w:cs="Arial" w:ascii="Book Antiqua" w:hAnsi="Book Antiqua"/>
          <w:sz w:val="23"/>
          <w:szCs w:val="23"/>
        </w:rPr>
        <w:t>Immediate reporting of suspect meningococcal disease should be made to LACDPH when the following criteria are met:</w:t>
      </w:r>
    </w:p>
    <w:p>
      <w:pPr>
        <w:pStyle w:val="Normal"/>
        <w:numPr>
          <w:ilvl w:val="2"/>
          <w:numId w:val="2"/>
        </w:numPr>
        <w:rPr>
          <w:rFonts w:ascii="Book Antiqua" w:hAnsi="Book Antiqua" w:cs="Arial"/>
          <w:b/>
          <w:sz w:val="23"/>
          <w:szCs w:val="23"/>
        </w:rPr>
      </w:pPr>
      <w:r>
        <w:rPr>
          <w:rFonts w:cs="Arial" w:ascii="Book Antiqua" w:hAnsi="Book Antiqua"/>
          <w:sz w:val="23"/>
          <w:szCs w:val="23"/>
        </w:rPr>
        <w:t>Gram negative diplococci from a sterile site (blood, CSF, synovial, pleural, and/or pericardial fluid)</w:t>
      </w:r>
    </w:p>
    <w:p>
      <w:pPr>
        <w:pStyle w:val="Normal"/>
        <w:numPr>
          <w:ilvl w:val="2"/>
          <w:numId w:val="2"/>
        </w:numPr>
        <w:rPr>
          <w:rFonts w:ascii="Book Antiqua" w:hAnsi="Book Antiqua" w:cs="Arial"/>
          <w:b/>
          <w:sz w:val="23"/>
          <w:szCs w:val="23"/>
        </w:rPr>
      </w:pPr>
      <w:r>
        <w:rPr>
          <w:rFonts w:cs="Arial" w:ascii="Book Antiqua" w:hAnsi="Book Antiqua"/>
          <w:sz w:val="23"/>
          <w:szCs w:val="23"/>
        </w:rPr>
        <w:t xml:space="preserve">No Gram stain performed but there is a high index of clinical suspicious, which includes those with clinical purpura or petechial rash or </w:t>
      </w:r>
      <w:r>
        <w:rPr>
          <w:rFonts w:cs="Arial" w:ascii="Book Antiqua" w:hAnsi="Book Antiqua"/>
          <w:i/>
          <w:sz w:val="23"/>
          <w:szCs w:val="23"/>
        </w:rPr>
        <w:t>N. meningitidis</w:t>
      </w:r>
      <w:r>
        <w:rPr>
          <w:rFonts w:cs="Arial" w:ascii="Book Antiqua" w:hAnsi="Book Antiqua"/>
          <w:sz w:val="23"/>
          <w:szCs w:val="23"/>
        </w:rPr>
        <w:t xml:space="preserve"> antigen in CSF or tissue</w:t>
      </w:r>
    </w:p>
    <w:p>
      <w:pPr>
        <w:pStyle w:val="Normal"/>
        <w:numPr>
          <w:ilvl w:val="1"/>
          <w:numId w:val="2"/>
        </w:numPr>
        <w:rPr>
          <w:rFonts w:ascii="Book Antiqua" w:hAnsi="Book Antiqua" w:cs="Arial"/>
          <w:b/>
          <w:sz w:val="23"/>
          <w:szCs w:val="23"/>
        </w:rPr>
      </w:pPr>
      <w:r>
        <w:rPr>
          <w:rFonts w:cs="Arial" w:ascii="Book Antiqua" w:hAnsi="Book Antiqua"/>
          <w:sz w:val="23"/>
          <w:szCs w:val="23"/>
        </w:rPr>
        <w:t>If a patient with an urgently reportable disease is identified to have been brought in via EMS, either IPC or the Infectious Disease physician on call will notify the EMS agency and/or transferring hospital for notification.</w:t>
      </w:r>
    </w:p>
    <w:p>
      <w:pPr>
        <w:pStyle w:val="Normal"/>
        <w:numPr>
          <w:ilvl w:val="0"/>
          <w:numId w:val="2"/>
        </w:numPr>
        <w:rPr>
          <w:rFonts w:ascii="Book Antiqua" w:hAnsi="Book Antiqua" w:cs="Arial"/>
          <w:b/>
          <w:sz w:val="23"/>
          <w:szCs w:val="23"/>
        </w:rPr>
      </w:pPr>
      <w:r>
        <w:rPr>
          <w:rFonts w:cs="Arial" w:ascii="Book Antiqua" w:hAnsi="Book Antiqua"/>
          <w:sz w:val="23"/>
          <w:szCs w:val="23"/>
        </w:rPr>
        <w:t>Diseases that require reporting within 1 working day or 7 calendar days from time of identification</w:t>
      </w:r>
    </w:p>
    <w:p>
      <w:pPr>
        <w:pStyle w:val="Normal"/>
        <w:numPr>
          <w:ilvl w:val="1"/>
          <w:numId w:val="2"/>
        </w:numPr>
        <w:rPr>
          <w:rFonts w:ascii="Book Antiqua" w:hAnsi="Book Antiqua" w:cs="Arial"/>
          <w:b/>
          <w:sz w:val="23"/>
          <w:szCs w:val="23"/>
        </w:rPr>
      </w:pPr>
      <w:r>
        <w:rPr>
          <w:rFonts w:cs="Arial" w:ascii="Book Antiqua" w:hAnsi="Book Antiqua"/>
          <w:sz w:val="23"/>
          <w:szCs w:val="23"/>
        </w:rPr>
        <w:t>These diseases are reported by the IPC team via LACDPH preferred method of reporting in the required time frame.</w:t>
      </w:r>
    </w:p>
    <w:p>
      <w:pPr>
        <w:pStyle w:val="Normal"/>
        <w:numPr>
          <w:ilvl w:val="0"/>
          <w:numId w:val="2"/>
        </w:numPr>
        <w:rPr>
          <w:rFonts w:ascii="Book Antiqua" w:hAnsi="Book Antiqua" w:cs="Arial"/>
          <w:b/>
          <w:sz w:val="23"/>
          <w:szCs w:val="23"/>
        </w:rPr>
      </w:pPr>
      <w:r>
        <w:rPr>
          <w:rFonts w:cs="Arial" w:ascii="Book Antiqua" w:hAnsi="Book Antiqua"/>
          <w:sz w:val="23"/>
          <w:szCs w:val="23"/>
        </w:rPr>
        <w:t>Outbreaks</w:t>
      </w:r>
    </w:p>
    <w:p>
      <w:pPr>
        <w:pStyle w:val="Normal"/>
        <w:numPr>
          <w:ilvl w:val="1"/>
          <w:numId w:val="2"/>
        </w:numPr>
        <w:rPr>
          <w:rFonts w:ascii="Book Antiqua" w:hAnsi="Book Antiqua" w:cs="Arial"/>
          <w:b/>
          <w:sz w:val="23"/>
          <w:szCs w:val="23"/>
        </w:rPr>
      </w:pPr>
      <w:r>
        <w:rPr>
          <w:rFonts w:cs="Arial" w:ascii="Book Antiqua" w:hAnsi="Book Antiqua"/>
          <w:sz w:val="23"/>
          <w:szCs w:val="23"/>
        </w:rPr>
        <w:t>Suspected or confirmed outbreaks of any communicable disease must be reported both to LACDPH and California Department of Public Health. See IC 110 for more information.</w:t>
      </w:r>
    </w:p>
    <w:p>
      <w:pPr>
        <w:pStyle w:val="Normal"/>
        <w:numPr>
          <w:ilvl w:val="0"/>
          <w:numId w:val="2"/>
        </w:numPr>
        <w:rPr>
          <w:rFonts w:ascii="Book Antiqua" w:hAnsi="Book Antiqua" w:cs="Arial"/>
          <w:b/>
          <w:sz w:val="23"/>
          <w:szCs w:val="23"/>
        </w:rPr>
      </w:pPr>
      <w:r>
        <w:rPr>
          <w:rFonts w:cs="Arial" w:ascii="Book Antiqua" w:hAnsi="Book Antiqua"/>
          <w:sz w:val="23"/>
          <w:szCs w:val="23"/>
        </w:rPr>
        <w:t>Unusual disease</w:t>
      </w:r>
    </w:p>
    <w:p>
      <w:pPr>
        <w:pStyle w:val="Normal"/>
        <w:numPr>
          <w:ilvl w:val="1"/>
          <w:numId w:val="2"/>
        </w:numPr>
        <w:rPr>
          <w:rFonts w:ascii="Book Antiqua" w:hAnsi="Book Antiqua" w:cs="Arial"/>
          <w:sz w:val="23"/>
          <w:szCs w:val="23"/>
        </w:rPr>
      </w:pPr>
      <w:r>
        <w:rPr>
          <w:rFonts w:cs="Arial" w:ascii="Book Antiqua" w:hAnsi="Book Antiqua"/>
          <w:sz w:val="23"/>
          <w:szCs w:val="23"/>
        </w:rPr>
        <w:t>Any unusual infectious or parasitic disease or infestation not listed in Section 2500 shall be promptly reported to LACDPH by the IPC team.</w:t>
      </w:r>
    </w:p>
    <w:p>
      <w:pPr>
        <w:pStyle w:val="Normal"/>
        <w:rPr>
          <w:rFonts w:ascii="Book Antiqua" w:hAnsi="Book Antiqua" w:cs="Arial"/>
          <w:sz w:val="23"/>
          <w:szCs w:val="23"/>
        </w:rPr>
      </w:pPr>
      <w:r>
        <w:rPr>
          <w:rFonts w:cs="Arial" w:ascii="Book Antiqua" w:hAnsi="Book Antiqua"/>
          <w:sz w:val="23"/>
          <w:szCs w:val="23"/>
        </w:rPr>
      </w:r>
    </w:p>
    <w:p>
      <w:pPr>
        <w:pStyle w:val="Normal"/>
        <w:rPr/>
      </w:pPr>
      <w:r>
        <w:rPr>
          <w:rFonts w:cs="Arial" w:ascii="Book Antiqua" w:hAnsi="Book Antiqua"/>
          <w:b/>
          <w:sz w:val="23"/>
          <w:szCs w:val="23"/>
        </w:rPr>
        <w:t>REFERENCES:</w:t>
      </w:r>
    </w:p>
    <w:p>
      <w:pPr>
        <w:pStyle w:val="Normal"/>
        <w:numPr>
          <w:ilvl w:val="0"/>
          <w:numId w:val="4"/>
        </w:numPr>
        <w:tabs>
          <w:tab w:val="clear" w:pos="720"/>
          <w:tab w:val="left" w:pos="-1440" w:leader="none"/>
        </w:tabs>
        <w:rPr>
          <w:rFonts w:ascii="Book Antiqua" w:hAnsi="Book Antiqua" w:cs="Book Antiqua"/>
          <w:sz w:val="23"/>
          <w:szCs w:val="23"/>
        </w:rPr>
      </w:pPr>
      <w:r>
        <w:rPr>
          <w:rFonts w:cs="Book Antiqua" w:ascii="Book Antiqua" w:hAnsi="Book Antiqua"/>
          <w:sz w:val="23"/>
          <w:szCs w:val="23"/>
        </w:rPr>
        <w:t xml:space="preserve">California Code of Regulations, Title 17, Public Health, Section 2500, Section 2500, 2504, 2505, 2508. </w:t>
      </w:r>
    </w:p>
    <w:p>
      <w:pPr>
        <w:pStyle w:val="Normal"/>
        <w:numPr>
          <w:ilvl w:val="0"/>
          <w:numId w:val="4"/>
        </w:numPr>
        <w:tabs>
          <w:tab w:val="clear" w:pos="720"/>
          <w:tab w:val="left" w:pos="-1440" w:leader="none"/>
        </w:tabs>
        <w:rPr>
          <w:rFonts w:ascii="Book Antiqua" w:hAnsi="Book Antiqua" w:cs="Book Antiqua"/>
          <w:sz w:val="23"/>
          <w:szCs w:val="23"/>
        </w:rPr>
      </w:pPr>
      <w:r>
        <w:rPr>
          <w:rFonts w:cs="Book Antiqua" w:ascii="Book Antiqua" w:hAnsi="Book Antiqua"/>
          <w:sz w:val="23"/>
          <w:szCs w:val="23"/>
        </w:rPr>
        <w:t xml:space="preserve">Los Angeles County List of Reportable Diseases, California Code of Regulations, Title 17, Public Health, Section 2500, Section 2500. </w:t>
      </w:r>
    </w:p>
    <w:p>
      <w:pPr>
        <w:pStyle w:val="Normal"/>
        <w:numPr>
          <w:ilvl w:val="1"/>
          <w:numId w:val="4"/>
        </w:numPr>
        <w:tabs>
          <w:tab w:val="clear" w:pos="720"/>
          <w:tab w:val="left" w:pos="-1440" w:leader="none"/>
        </w:tabs>
        <w:rPr>
          <w:rFonts w:ascii="Book Antiqua" w:hAnsi="Book Antiqua" w:cs="Book Antiqua"/>
          <w:sz w:val="23"/>
          <w:szCs w:val="23"/>
        </w:rPr>
      </w:pPr>
      <w:hyperlink r:id="rId5">
        <w:r>
          <w:rPr>
            <w:rStyle w:val="Hyperlink"/>
            <w:rFonts w:cs="Book Antiqua" w:ascii="Book Antiqua" w:hAnsi="Book Antiqua"/>
            <w:sz w:val="23"/>
            <w:szCs w:val="23"/>
          </w:rPr>
          <w:t>http://www.publichealth.lacounty.gov/acd/docs/ReportableDiseaseListMarch2020.pdf</w:t>
        </w:r>
      </w:hyperlink>
    </w:p>
    <w:p>
      <w:pPr>
        <w:pStyle w:val="Normal"/>
        <w:numPr>
          <w:ilvl w:val="0"/>
          <w:numId w:val="4"/>
        </w:numPr>
        <w:tabs>
          <w:tab w:val="clear" w:pos="720"/>
          <w:tab w:val="left" w:pos="-1440" w:leader="none"/>
        </w:tabs>
        <w:rPr>
          <w:rFonts w:ascii="Book Antiqua" w:hAnsi="Book Antiqua" w:cs="Book Antiqua"/>
          <w:sz w:val="23"/>
          <w:szCs w:val="23"/>
        </w:rPr>
      </w:pPr>
      <w:r>
        <w:rPr>
          <w:rFonts w:cs="Book Antiqua" w:ascii="Book Antiqua" w:hAnsi="Book Antiqua"/>
          <w:sz w:val="23"/>
          <w:szCs w:val="23"/>
        </w:rPr>
        <w:t>Los Angeles County Public Health Acute Communicable Disease Control: An Explanation of Communicable Disease Reporting.</w:t>
      </w:r>
    </w:p>
    <w:p>
      <w:pPr>
        <w:pStyle w:val="Normal"/>
        <w:numPr>
          <w:ilvl w:val="1"/>
          <w:numId w:val="4"/>
        </w:numPr>
        <w:tabs>
          <w:tab w:val="clear" w:pos="720"/>
          <w:tab w:val="left" w:pos="-1440" w:leader="none"/>
        </w:tabs>
        <w:rPr>
          <w:rFonts w:ascii="Book Antiqua" w:hAnsi="Book Antiqua" w:cs="Book Antiqua"/>
          <w:sz w:val="23"/>
          <w:szCs w:val="23"/>
        </w:rPr>
      </w:pPr>
      <w:hyperlink r:id="rId6">
        <w:r>
          <w:rPr>
            <w:rStyle w:val="Hyperlink"/>
            <w:color w:val="0000FF"/>
            <w:u w:val="single"/>
          </w:rPr>
          <w:t>Department of Public Health - Acute Communicable Disease Control (lacounty.gov)</w:t>
        </w:r>
      </w:hyperlink>
    </w:p>
    <w:p>
      <w:pPr>
        <w:pStyle w:val="Normal"/>
        <w:numPr>
          <w:ilvl w:val="0"/>
          <w:numId w:val="4"/>
        </w:numPr>
        <w:tabs>
          <w:tab w:val="clear" w:pos="720"/>
          <w:tab w:val="left" w:pos="-1440" w:leader="none"/>
        </w:tabs>
        <w:rPr>
          <w:rFonts w:ascii="Book Antiqua" w:hAnsi="Book Antiqua" w:cs="Book Antiqua"/>
          <w:sz w:val="23"/>
          <w:szCs w:val="23"/>
        </w:rPr>
      </w:pPr>
      <w:r>
        <w:rPr>
          <w:rFonts w:cs="Book Antiqua" w:ascii="Book Antiqua" w:hAnsi="Book Antiqua"/>
          <w:sz w:val="23"/>
          <w:szCs w:val="23"/>
        </w:rPr>
        <w:t xml:space="preserve">APIC text of Infection Control and Epidemiology. Chapter 117: Public Health, 2014. </w:t>
      </w:r>
    </w:p>
    <w:p>
      <w:pPr>
        <w:pStyle w:val="Normal"/>
        <w:tabs>
          <w:tab w:val="clear" w:pos="720"/>
          <w:tab w:val="left" w:pos="-1440" w:leader="none"/>
        </w:tabs>
        <w:rPr>
          <w:rFonts w:ascii="Book Antiqua" w:hAnsi="Book Antiqua" w:cs="Book Antiqua"/>
          <w:sz w:val="23"/>
          <w:szCs w:val="23"/>
        </w:rPr>
      </w:pPr>
      <w:r>
        <w:rPr>
          <w:rFonts w:cs="Book Antiqua" w:ascii="Book Antiqua" w:hAnsi="Book Antiqua"/>
          <w:sz w:val="23"/>
          <w:szCs w:val="23"/>
        </w:rPr>
      </w:r>
    </w:p>
    <w:p>
      <w:pPr>
        <w:pStyle w:val="Normal"/>
        <w:tabs>
          <w:tab w:val="clear" w:pos="720"/>
          <w:tab w:val="left" w:pos="-1440" w:leader="none"/>
        </w:tabs>
        <w:ind w:hanging="1440" w:start="1440" w:end="0"/>
        <w:rPr>
          <w:rFonts w:ascii="Book Antiqua" w:hAnsi="Book Antiqua" w:cs="Book Antiqua"/>
          <w:b/>
          <w:sz w:val="23"/>
          <w:szCs w:val="23"/>
        </w:rPr>
      </w:pPr>
      <w:r>
        <w:rPr>
          <w:rFonts w:cs="Book Antiqua" w:ascii="Book Antiqua" w:hAnsi="Book Antiqua"/>
          <w:b/>
          <w:sz w:val="23"/>
          <w:szCs w:val="23"/>
        </w:rPr>
      </w:r>
    </w:p>
    <w:p>
      <w:pPr>
        <w:pStyle w:val="Normal"/>
        <w:tabs>
          <w:tab w:val="clear" w:pos="720"/>
          <w:tab w:val="left" w:pos="-1440" w:leader="none"/>
        </w:tabs>
        <w:ind w:hanging="1440" w:start="1440" w:end="0"/>
        <w:rPr/>
      </w:pPr>
      <w:r>
        <w:rPr>
          <w:rFonts w:cs="Book Antiqua" w:ascii="Book Antiqua" w:hAnsi="Book Antiqua"/>
          <w:b/>
          <w:sz w:val="23"/>
          <w:szCs w:val="23"/>
        </w:rPr>
        <w:t>POLICY OWNER:</w:t>
      </w:r>
    </w:p>
    <w:p>
      <w:pPr>
        <w:pStyle w:val="Normal"/>
        <w:rPr/>
      </w:pPr>
      <w:r>
        <w:rPr>
          <w:rFonts w:cs="Book Antiqua" w:ascii="Book Antiqua" w:hAnsi="Book Antiqua"/>
          <w:bCs/>
          <w:i/>
          <w:iCs/>
          <w:position w:val="1"/>
          <w:sz w:val="23"/>
          <w:szCs w:val="23"/>
        </w:rPr>
        <w:t>Executive Director, Accreditation &amp; Licensing, Infection Prevention, and Emergency Management</w:t>
      </w:r>
      <w:r>
        <w:rPr>
          <w:rFonts w:cs="Book Antiqua" w:ascii="Book Antiqua" w:hAnsi="Book Antiqua"/>
          <w:bCs/>
          <w:i/>
          <w:iCs/>
          <w:sz w:val="23"/>
          <w:szCs w:val="23"/>
        </w:rPr>
        <w:tab/>
      </w:r>
    </w:p>
    <w:p>
      <w:pPr>
        <w:pStyle w:val="Normal"/>
        <w:widowControl/>
        <w:autoSpaceDE w:val="false"/>
        <w:spacing w:lineRule="exact" w:line="272"/>
        <w:ind w:end="-20"/>
        <w:rPr>
          <w:rFonts w:ascii="Book Antiqua" w:hAnsi="Book Antiqua" w:cs="Book Antiqua"/>
          <w:bCs/>
          <w:i/>
          <w:i/>
          <w:iCs/>
          <w:position w:val="1"/>
          <w:sz w:val="23"/>
          <w:szCs w:val="23"/>
        </w:rPr>
      </w:pPr>
      <w:r>
        <w:rPr>
          <w:rFonts w:cs="Book Antiqua" w:ascii="Book Antiqua" w:hAnsi="Book Antiqua"/>
          <w:bCs/>
          <w:i/>
          <w:iCs/>
          <w:position w:val="1"/>
          <w:sz w:val="23"/>
          <w:szCs w:val="23"/>
        </w:rPr>
      </w:r>
    </w:p>
    <w:sectPr>
      <w:headerReference w:type="default" r:id="rId7"/>
      <w:footerReference w:type="default" r:id="rId8"/>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rFonts w:ascii="Book Antiqua" w:hAnsi="Book Antiqua" w:cs="Book Antiqua"/>
        <w:b/>
        <w:bCs/>
        <w:i/>
        <w:i/>
        <w:iCs/>
        <w:color w:val="FF0000"/>
        <w:sz w:val="20"/>
        <w:szCs w:val="16"/>
      </w:rPr>
    </w:pPr>
    <w:r>
      <w:rPr>
        <w:rFonts w:cs="Book Antiqua" w:ascii="Book Antiqua" w:hAnsi="Book Antiqua"/>
        <w:b/>
        <w:bCs/>
        <w:i/>
        <w:iCs/>
        <w:color w:val="FF0000"/>
        <w:sz w:val="20"/>
        <w:szCs w:val="16"/>
      </w:rPr>
    </w:r>
  </w:p>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cs="Arial"/>
        <w:sz w:val="16"/>
        <w:szCs w:val="16"/>
      </w:rPr>
    </w:pPr>
    <w:r>
      <w:rPr>
        <w:rFonts w:cs="Arial" w:ascii="Arial" w:hAnsi="Arial"/>
        <w:sz w:val="16"/>
        <w:szCs w:val="16"/>
      </w:rPr>
    </w:r>
  </w:p>
  <w:tbl>
    <w:tblPr>
      <w:tblW w:w="10942" w:type="dxa"/>
      <w:jc w:val="start"/>
      <w:tblInd w:w="-10" w:type="dxa"/>
      <w:tblLayout w:type="fixed"/>
      <w:tblCellMar>
        <w:top w:w="0" w:type="dxa"/>
        <w:start w:w="132" w:type="dxa"/>
        <w:bottom w:w="0" w:type="dxa"/>
        <w:end w:w="132" w:type="dxa"/>
      </w:tblCellMar>
    </w:tblPr>
    <w:tblGrid>
      <w:gridCol w:w="2662"/>
      <w:gridCol w:w="1928"/>
      <w:gridCol w:w="1800"/>
      <w:gridCol w:w="3292"/>
      <w:gridCol w:w="1260"/>
    </w:tblGrid>
    <w:tr>
      <w:trPr>
        <w:trHeight w:val="576" w:hRule="exact"/>
        <w:cantSplit w:val="true"/>
      </w:trPr>
      <w:tc>
        <w:tcPr>
          <w:tcW w:w="2662"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280"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280"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Communicable Disease Control Reporting</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928"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03/01/2009</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11/19/2021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Directors</w:t>
          </w:r>
        </w:p>
      </w:tc>
    </w:tr>
    <w:tr>
      <w:trPr>
        <w:trHeight w:val="318" w:hRule="atLeas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928"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t>09/26/2021</w:t>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662"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205.0</w:t>
          </w:r>
        </w:p>
      </w:tc>
      <w:tc>
        <w:tcPr>
          <w:tcW w:w="7020"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p>
      </w:tc>
    </w:tr>
  </w:tbl>
  <w:p>
    <w:pPr>
      <w:pStyle w:val="Header"/>
      <w:rPr>
        <w:rFonts w:ascii="Arial" w:hAnsi="Arial" w:cs="Arial"/>
        <w:sz w:val="16"/>
        <w:szCs w:val="16"/>
      </w:rPr>
    </w:pPr>
    <w:r>
      <w:rPr>
        <w:rFonts w:cs="Arial" w:ascii="Arial" w:hAnsi="Arial"/>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Fonts w:cs="Times New Roman"/>
      </w:rPr>
    </w:lvl>
    <w:lvl w:ilvl="1">
      <w:start w:val="1"/>
      <w:numFmt w:val="upperLetter"/>
      <w:lvlText w:val="%2."/>
      <w:lvlJc w:val="start"/>
      <w:pPr>
        <w:tabs>
          <w:tab w:val="num" w:pos="1080"/>
        </w:tabs>
        <w:ind w:start="108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2">
    <w:lvl w:ilvl="0">
      <w:start w:val="1"/>
      <w:numFmt w:val="decimal"/>
      <w:lvlText w:val="%1."/>
      <w:lvlJc w:val="start"/>
      <w:pPr>
        <w:tabs>
          <w:tab w:val="num" w:pos="0"/>
        </w:tabs>
        <w:ind w:start="720" w:hanging="360"/>
      </w:pPr>
      <w:rPr>
        <w:b w:val="false"/>
        <w:bCs/>
      </w:rPr>
    </w:lvl>
    <w:lvl w:ilvl="1">
      <w:start w:val="1"/>
      <w:numFmt w:val="lowerLetter"/>
      <w:lvlText w:val="%2."/>
      <w:lvlJc w:val="start"/>
      <w:pPr>
        <w:tabs>
          <w:tab w:val="num" w:pos="0"/>
        </w:tabs>
        <w:ind w:start="1440" w:hanging="360"/>
      </w:pPr>
      <w:rPr>
        <w:b w:val="false"/>
        <w:bCs/>
      </w:r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3">
    <w:lvl w:ilvl="0">
      <w:start w:val="1"/>
      <w:numFmt w:val="decimal"/>
      <w:suff w:val="space"/>
      <w:lvlText w:val="%1."/>
      <w:lvlJc w:val="start"/>
      <w:pPr>
        <w:tabs>
          <w:tab w:val="num" w:pos="0"/>
        </w:tabs>
        <w:ind w:start="900" w:hanging="720"/>
      </w:pPr>
      <w:rPr>
        <w:b w:val="false"/>
        <w:rFonts w:cs="Times New Roman"/>
      </w:rPr>
    </w:lvl>
    <w:lvl w:ilvl="1">
      <w:start w:val="1"/>
      <w:numFmt w:val="lowerLetter"/>
      <w:lvlText w:val="%2."/>
      <w:lvlJc w:val="start"/>
      <w:pPr>
        <w:tabs>
          <w:tab w:val="num" w:pos="0"/>
        </w:tabs>
        <w:ind w:start="1260" w:hanging="360"/>
      </w:pPr>
      <w:rPr>
        <w:rFonts w:cs="Times New Roman"/>
      </w:rPr>
    </w:lvl>
    <w:lvl w:ilvl="2">
      <w:start w:val="1"/>
      <w:numFmt w:val="lowerRoman"/>
      <w:lvlText w:val="%3."/>
      <w:lvlJc w:val="end"/>
      <w:pPr>
        <w:tabs>
          <w:tab w:val="num" w:pos="0"/>
        </w:tabs>
        <w:ind w:start="1980" w:hanging="180"/>
      </w:pPr>
      <w:rPr>
        <w:rFonts w:cs="Times New Roman"/>
      </w:rPr>
    </w:lvl>
    <w:lvl w:ilvl="3">
      <w:start w:val="1"/>
      <w:numFmt w:val="decimal"/>
      <w:lvlText w:val="%4."/>
      <w:lvlJc w:val="start"/>
      <w:pPr>
        <w:tabs>
          <w:tab w:val="num" w:pos="0"/>
        </w:tabs>
        <w:ind w:start="2700" w:hanging="360"/>
      </w:pPr>
      <w:rPr>
        <w:rFonts w:cs="Times New Roman"/>
      </w:rPr>
    </w:lvl>
    <w:lvl w:ilvl="4">
      <w:start w:val="1"/>
      <w:numFmt w:val="lowerLetter"/>
      <w:lvlText w:val="%5."/>
      <w:lvlJc w:val="start"/>
      <w:pPr>
        <w:tabs>
          <w:tab w:val="num" w:pos="0"/>
        </w:tabs>
        <w:ind w:start="3420" w:hanging="360"/>
      </w:pPr>
      <w:rPr>
        <w:rFonts w:cs="Times New Roman"/>
      </w:rPr>
    </w:lvl>
    <w:lvl w:ilvl="5">
      <w:start w:val="1"/>
      <w:numFmt w:val="lowerRoman"/>
      <w:lvlText w:val="%6."/>
      <w:lvlJc w:val="end"/>
      <w:pPr>
        <w:tabs>
          <w:tab w:val="num" w:pos="0"/>
        </w:tabs>
        <w:ind w:start="4140" w:hanging="180"/>
      </w:pPr>
      <w:rPr>
        <w:rFonts w:cs="Times New Roman"/>
      </w:rPr>
    </w:lvl>
    <w:lvl w:ilvl="6">
      <w:start w:val="1"/>
      <w:numFmt w:val="decimal"/>
      <w:lvlText w:val="%7."/>
      <w:lvlJc w:val="start"/>
      <w:pPr>
        <w:tabs>
          <w:tab w:val="num" w:pos="0"/>
        </w:tabs>
        <w:ind w:start="4860" w:hanging="360"/>
      </w:pPr>
      <w:rPr>
        <w:rFonts w:cs="Times New Roman"/>
      </w:rPr>
    </w:lvl>
    <w:lvl w:ilvl="7">
      <w:start w:val="1"/>
      <w:numFmt w:val="lowerLetter"/>
      <w:lvlText w:val="%8."/>
      <w:lvlJc w:val="start"/>
      <w:pPr>
        <w:tabs>
          <w:tab w:val="num" w:pos="0"/>
        </w:tabs>
        <w:ind w:start="5580" w:hanging="360"/>
      </w:pPr>
      <w:rPr>
        <w:rFonts w:cs="Times New Roman"/>
      </w:rPr>
    </w:lvl>
    <w:lvl w:ilvl="8">
      <w:start w:val="1"/>
      <w:numFmt w:val="lowerRoman"/>
      <w:lvlText w:val="%9."/>
      <w:lvlJc w:val="end"/>
      <w:pPr>
        <w:tabs>
          <w:tab w:val="num" w:pos="0"/>
        </w:tabs>
        <w:ind w:start="6300" w:hanging="180"/>
      </w:pPr>
      <w:rPr>
        <w:rFonts w:cs="Times New Roman"/>
      </w:rPr>
    </w:lvl>
  </w:abstractNum>
  <w:abstractNum w:abstractNumId="4">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tabs>
        <w:tab w:val="left" w:pos="540" w:leader="none"/>
        <w:tab w:val="left" w:pos="720" w:leader="none"/>
      </w:tabs>
      <w:ind w:hanging="504" w:start="504" w:end="0"/>
      <w:jc w:val="both"/>
      <w:outlineLvl w:val="0"/>
    </w:pPr>
    <w:rPr>
      <w:rFonts w:ascii="Arial" w:hAnsi="Arial" w:cs="Arial"/>
      <w:b/>
      <w:bCs/>
    </w:rPr>
  </w:style>
  <w:style w:type="character" w:styleId="WW8Num2z0">
    <w:name w:val="WW8Num2z0"/>
    <w:qFormat/>
    <w:rPr>
      <w:rFonts w:cs="Times New Roman"/>
      <w:sz w:val="24"/>
    </w:rPr>
  </w:style>
  <w:style w:type="character" w:styleId="WW8Num2z1">
    <w:name w:val="WW8Num2z1"/>
    <w:qFormat/>
    <w:rPr>
      <w:rFonts w:cs="Times New Roman"/>
    </w:rPr>
  </w:style>
  <w:style w:type="character" w:styleId="WW8Num3z0">
    <w:name w:val="WW8Num3z0"/>
    <w:qFormat/>
    <w:rPr>
      <w:rFonts w:cs="Times New Roman"/>
      <w:b/>
    </w:rPr>
  </w:style>
  <w:style w:type="character" w:styleId="WW8Num3z1">
    <w:name w:val="WW8Num3z1"/>
    <w:qFormat/>
    <w:rPr>
      <w:rFonts w:cs="Times New Roman"/>
    </w:rPr>
  </w:style>
  <w:style w:type="character" w:styleId="WW8Num3z2">
    <w:name w:val="WW8Num3z2"/>
    <w:qFormat/>
    <w:rPr>
      <w:rFonts w:cs="Times New Roman"/>
    </w:rPr>
  </w:style>
  <w:style w:type="character" w:styleId="WW8Num4z0">
    <w:name w:val="WW8Num4z0"/>
    <w:qFormat/>
    <w:rPr>
      <w:rFonts w:cs="Times New Roman"/>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rFonts w:cs="Times New Roman"/>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10z0">
    <w:name w:val="WW8Num10z0"/>
    <w:qFormat/>
    <w:rPr>
      <w:rFonts w:cs="Times New Roman"/>
      <w:b/>
    </w:rPr>
  </w:style>
  <w:style w:type="character" w:styleId="WW8Num10z1">
    <w:name w:val="WW8Num10z1"/>
    <w:qFormat/>
    <w:rPr>
      <w:rFonts w:cs="Times New Roman"/>
    </w:rPr>
  </w:style>
  <w:style w:type="character" w:styleId="WW8Num11z0">
    <w:name w:val="WW8Num11z0"/>
    <w:qFormat/>
    <w:rPr/>
  </w:style>
  <w:style w:type="character" w:styleId="WW8Num12z0">
    <w:name w:val="WW8Num12z0"/>
    <w:qFormat/>
    <w:rPr>
      <w:rFonts w:cs="Times New Roman"/>
    </w:rPr>
  </w:style>
  <w:style w:type="character" w:styleId="WW8Num13z0">
    <w:name w:val="WW8Num13z0"/>
    <w:qFormat/>
    <w:rPr>
      <w:b w:val="false"/>
      <w:bCs/>
    </w:rPr>
  </w:style>
  <w:style w:type="character" w:styleId="WW8Num13z1">
    <w:name w:val="WW8Num13z1"/>
    <w:qFormat/>
    <w:rPr>
      <w:b w:val="false"/>
      <w:bCs/>
    </w:rPr>
  </w:style>
  <w:style w:type="character" w:styleId="WW8Num15z0">
    <w:name w:val="WW8Num15z0"/>
    <w:qFormat/>
    <w:rPr>
      <w:rFonts w:cs="Times New Roman"/>
    </w:rPr>
  </w:style>
  <w:style w:type="character" w:styleId="WW8Num15z1">
    <w:name w:val="WW8Num15z1"/>
    <w:qFormat/>
    <w:rPr>
      <w:rFonts w:cs="Times New Roman"/>
    </w:rPr>
  </w:style>
  <w:style w:type="character" w:styleId="WW8Num16z0">
    <w:name w:val="WW8Num16z0"/>
    <w:qFormat/>
    <w:rPr>
      <w:rFonts w:cs="Times New Roman"/>
      <w:b w:val="false"/>
    </w:rPr>
  </w:style>
  <w:style w:type="character" w:styleId="WW8Num16z1">
    <w:name w:val="WW8Num16z1"/>
    <w:qFormat/>
    <w:rPr>
      <w:rFonts w:cs="Times New Roman"/>
    </w:rPr>
  </w:style>
  <w:style w:type="character" w:styleId="WW8Num18z0">
    <w:name w:val="WW8Num18z0"/>
    <w:qFormat/>
    <w:rPr>
      <w:rFonts w:cs="Times New Roman"/>
    </w:rPr>
  </w:style>
  <w:style w:type="character" w:styleId="WW8Num19z0">
    <w:name w:val="WW8Num19z0"/>
    <w:qFormat/>
    <w:rPr>
      <w:rFonts w:ascii="Symbol" w:hAnsi="Symbol" w:cs="Symbol"/>
    </w:rPr>
  </w:style>
  <w:style w:type="character" w:styleId="WW8Num19z1">
    <w:name w:val="WW8Num19z1"/>
    <w:qFormat/>
    <w:rPr>
      <w:rFonts w:cs="Times New Roman"/>
    </w:rPr>
  </w:style>
  <w:style w:type="character" w:styleId="WW8Num19z2">
    <w:name w:val="WW8Num19z2"/>
    <w:qFormat/>
    <w:rPr>
      <w:rFonts w:cs="Times New Roman"/>
    </w:rPr>
  </w:style>
  <w:style w:type="character" w:styleId="WW8Num19z4">
    <w:name w:val="WW8Num19z4"/>
    <w:qFormat/>
    <w:rPr>
      <w:rFonts w:ascii="Courier New" w:hAnsi="Courier New" w:cs="Courier New"/>
    </w:rPr>
  </w:style>
  <w:style w:type="character" w:styleId="WW8Num19z5">
    <w:name w:val="WW8Num19z5"/>
    <w:qFormat/>
    <w:rPr>
      <w:rFonts w:ascii="Wingdings" w:hAnsi="Wingdings" w:cs="Wingdings"/>
    </w:rPr>
  </w:style>
  <w:style w:type="character" w:styleId="WW8Num20z0">
    <w:name w:val="WW8Num20z0"/>
    <w:qFormat/>
    <w:rPr>
      <w:rFonts w:cs="Times New Roman"/>
    </w:rPr>
  </w:style>
  <w:style w:type="character" w:styleId="WW8Num20z1">
    <w:name w:val="WW8Num20z1"/>
    <w:qFormat/>
    <w:rPr>
      <w:rFonts w:cs="Times New Roman"/>
    </w:rPr>
  </w:style>
  <w:style w:type="character" w:styleId="WW8Num21z0">
    <w:name w:val="WW8Num21z0"/>
    <w:qFormat/>
    <w:rPr>
      <w:rFonts w:cs="Times New Roman"/>
      <w:sz w:val="24"/>
    </w:rPr>
  </w:style>
  <w:style w:type="character" w:styleId="WW8Num21z1">
    <w:name w:val="WW8Num21z1"/>
    <w:qFormat/>
    <w:rPr>
      <w:rFonts w:cs="Times New Roman"/>
    </w:rPr>
  </w:style>
  <w:style w:type="character" w:styleId="WW8Num23z0">
    <w:name w:val="WW8Num23z0"/>
    <w:qFormat/>
    <w:rPr>
      <w:rFonts w:cs="Times New Roman"/>
      <w:b/>
    </w:rPr>
  </w:style>
  <w:style w:type="character" w:styleId="WW8Num23z1">
    <w:name w:val="WW8Num23z1"/>
    <w:qFormat/>
    <w:rPr>
      <w:rFonts w:cs="Times New Roman"/>
    </w:rPr>
  </w:style>
  <w:style w:type="character" w:styleId="WW8Num24z0">
    <w:name w:val="WW8Num24z0"/>
    <w:qFormat/>
    <w:rPr>
      <w:rFonts w:cs="Times New Roman"/>
      <w:b/>
    </w:rPr>
  </w:style>
  <w:style w:type="character" w:styleId="WW8Num25z0">
    <w:name w:val="WW8Num25z0"/>
    <w:qFormat/>
    <w:rPr>
      <w:rFonts w:cs="Times New Roman"/>
    </w:rPr>
  </w:style>
  <w:style w:type="character" w:styleId="WW8Num25z1">
    <w:name w:val="WW8Num25z1"/>
    <w:qFormat/>
    <w:rPr>
      <w:rFonts w:cs="Times New Roman"/>
    </w:rPr>
  </w:style>
  <w:style w:type="character" w:styleId="WW8Num27z0">
    <w:name w:val="WW8Num27z0"/>
    <w:qFormat/>
    <w:rPr/>
  </w:style>
  <w:style w:type="character" w:styleId="WW8Num28z0">
    <w:name w:val="WW8Num28z0"/>
    <w:qFormat/>
    <w:rPr>
      <w:rFonts w:cs="Times New Roman"/>
    </w:rPr>
  </w:style>
  <w:style w:type="character" w:styleId="WW8Num28z1">
    <w:name w:val="WW8Num28z1"/>
    <w:qFormat/>
    <w:rPr>
      <w:rFonts w:cs="Times New Roman"/>
    </w:rPr>
  </w:style>
  <w:style w:type="character" w:styleId="WW8Num29z0">
    <w:name w:val="WW8Num29z0"/>
    <w:qFormat/>
    <w:rPr>
      <w:rFonts w:cs="Times New Roman"/>
      <w:b/>
    </w:rPr>
  </w:style>
  <w:style w:type="character" w:styleId="WW8Num29z1">
    <w:name w:val="WW8Num29z1"/>
    <w:qFormat/>
    <w:rPr>
      <w:rFonts w:cs="Times New Roman"/>
    </w:rPr>
  </w:style>
  <w:style w:type="character" w:styleId="WW8Num30z0">
    <w:name w:val="WW8Num30z0"/>
    <w:qFormat/>
    <w:rPr>
      <w:rFonts w:cs="Times New Roman"/>
      <w:b w:val="false"/>
    </w:rPr>
  </w:style>
  <w:style w:type="character" w:styleId="WW8Num30z1">
    <w:name w:val="WW8Num30z1"/>
    <w:qFormat/>
    <w:rPr>
      <w:rFonts w:cs="Times New Roman"/>
    </w:rPr>
  </w:style>
  <w:style w:type="character" w:styleId="DefaultParagraphFont">
    <w:name w:val="Default Paragraph Font"/>
    <w:qFormat/>
    <w:rPr/>
  </w:style>
  <w:style w:type="character" w:styleId="Heading1Char">
    <w:name w:val="Heading 1 Char"/>
    <w:qFormat/>
    <w:rPr>
      <w:rFonts w:ascii="Cambria" w:hAnsi="Cambria" w:cs="Times New Roman"/>
      <w:b/>
      <w:bCs/>
      <w:kern w:val="2"/>
      <w:sz w:val="32"/>
      <w:szCs w:val="32"/>
    </w:rPr>
  </w:style>
  <w:style w:type="character" w:styleId="FootnoteCharacters">
    <w:name w:val="Footnote Characters"/>
    <w:qFormat/>
    <w:rPr>
      <w:rFonts w:cs="Times New Roman"/>
    </w:rPr>
  </w:style>
  <w:style w:type="character" w:styleId="HeaderChar">
    <w:name w:val="Header Char"/>
    <w:qFormat/>
    <w:rPr>
      <w:rFonts w:cs="Times New Roman"/>
      <w:sz w:val="24"/>
    </w:rPr>
  </w:style>
  <w:style w:type="character" w:styleId="FooterChar">
    <w:name w:val="Footer Char"/>
    <w:qFormat/>
    <w:rPr>
      <w:rFonts w:cs="Times New Roman"/>
      <w:sz w:val="24"/>
    </w:rPr>
  </w:style>
  <w:style w:type="character" w:styleId="PageNumber">
    <w:name w:val="Page Number"/>
    <w:rPr>
      <w:rFonts w:cs="Times New Roman"/>
    </w:rPr>
  </w:style>
  <w:style w:type="character" w:styleId="BodyTextIndentChar">
    <w:name w:val="Body Text Indent Char"/>
    <w:qFormat/>
    <w:rPr>
      <w:rFonts w:cs="Times New Roman"/>
      <w:sz w:val="24"/>
    </w:rPr>
  </w:style>
  <w:style w:type="character" w:styleId="BodyTextChar">
    <w:name w:val="Body Text Char"/>
    <w:qFormat/>
    <w:rPr>
      <w:rFonts w:cs="Times New Roman"/>
      <w:sz w:val="24"/>
    </w:rPr>
  </w:style>
  <w:style w:type="character" w:styleId="BodyTextIndent2Char">
    <w:name w:val="Body Text Indent 2 Char"/>
    <w:qFormat/>
    <w:rPr>
      <w:rFonts w:cs="Times New Roman"/>
      <w:sz w:val="24"/>
    </w:rPr>
  </w:style>
  <w:style w:type="character" w:styleId="BodyTextIndent3Char">
    <w:name w:val="Body Text Indent 3 Char"/>
    <w:qFormat/>
    <w:rPr>
      <w:rFonts w:cs="Times New Roman"/>
      <w:sz w:val="16"/>
      <w:szCs w:val="16"/>
    </w:rPr>
  </w:style>
  <w:style w:type="character" w:styleId="BalloonTextChar">
    <w:name w:val="Balloon Text Char"/>
    <w:qFormat/>
    <w:rPr>
      <w:rFonts w:ascii="Tahoma" w:hAnsi="Tahoma" w:cs="Tahoma"/>
      <w:sz w:val="16"/>
      <w:szCs w:val="16"/>
    </w:rPr>
  </w:style>
  <w:style w:type="character" w:styleId="Hyperlink">
    <w:name w:val="Hyperlink"/>
    <w:rPr>
      <w:rFonts w:cs="Times New Roman"/>
      <w:color w:val="0000FF"/>
      <w:u w:val="single"/>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FollowedHyperlink">
    <w:name w:val="FollowedHyperlink"/>
    <w:rPr>
      <w:color w:val="800080"/>
      <w:u w:val="singl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Revision">
    <w:name w:val="Revision"/>
    <w:qFormat/>
    <w:pPr>
      <w:widowControl/>
      <w:bidi w:val="0"/>
    </w:pPr>
    <w:rPr>
      <w:rFonts w:ascii="Times New Roman" w:hAnsi="Times New Roman" w:eastAsia="Times New Roman" w:cs="Times New Roman"/>
      <w:color w:val="auto"/>
      <w:sz w:val="24"/>
      <w:szCs w:val="20"/>
      <w:lang w:val="en-US" w:bidi="ar-SA" w:eastAsia="zh-CN"/>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ublichealth.lacounty.gov/acd/Cdrs.htm" TargetMode="External"/><Relationship Id="rId3" Type="http://schemas.openxmlformats.org/officeDocument/2006/relationships/hyperlink" Target="http://www.publichealth.lacounty.gov/acd/docs/ReportableDiseaseListMarch2020.pdf" TargetMode="External"/><Relationship Id="rId4" Type="http://schemas.openxmlformats.org/officeDocument/2006/relationships/hyperlink" Target="mailto:InfectionPreventionAndControl@chla.usc.edu" TargetMode="External"/><Relationship Id="rId5" Type="http://schemas.openxmlformats.org/officeDocument/2006/relationships/hyperlink" Target="http://www.publichealth.lacounty.gov/acd/docs/ReportableDiseaseListMarch2020.pdf" TargetMode="External"/><Relationship Id="rId6" Type="http://schemas.openxmlformats.org/officeDocument/2006/relationships/hyperlink" Target="http://www.publichealth.lacounty.gov/acd/procs/ReportPage.ht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2021-09-17T09:36:00Z</dcterms:created>
  <dc:creator>Leah Mireles</dc:creator>
  <dc:description/>
  <cp:keywords/>
  <dc:language>en-US</dc:language>
  <cp:lastModifiedBy>Huynh, Fuong</cp:lastModifiedBy>
  <cp:lastPrinted>2018-10-02T16:08:00Z</cp:lastPrinted>
  <dcterms:modified xsi:type="dcterms:W3CDTF">2021-11-19T14:58:00Z</dcterms:modified>
  <cp:revision>6</cp:revision>
  <dc:subject/>
  <dc:title>IC - 205.0 Communicable Disease Control Reporting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0x0101000CF48A3D2D78F24EB242768DAC1886AE</vt:lpwstr>
  </property>
</Properties>
</file>