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8847" w:leader="none"/>
        </w:tabs>
        <w:rPr>
          <w:rFonts w:ascii="Book Antiqua;Cambria" w:hAnsi="Book Antiqua;Cambria" w:cs="Book Antiqua;Cambria"/>
          <w:b/>
          <w:sz w:val="23"/>
          <w:szCs w:val="23"/>
        </w:rPr>
      </w:pPr>
      <w:r>
        <w:rPr>
          <w:rFonts w:cs="Book Antiqua;Cambria" w:ascii="Book Antiqua;Cambria" w:hAnsi="Book Antiqua;Cambria"/>
          <w:b/>
          <w:sz w:val="23"/>
          <w:szCs w:val="23"/>
        </w:rPr>
        <w:t>PURPOSE:</w:t>
        <w:tab/>
      </w:r>
    </w:p>
    <w:p>
      <w:pPr>
        <w:pStyle w:val="Normal"/>
        <w:ind w:start="360" w:end="0"/>
        <w:jc w:val="both"/>
        <w:rPr>
          <w:rFonts w:ascii="Book Antiqua;Cambria" w:hAnsi="Book Antiqua;Cambria" w:cs="Book Antiqua;Cambria"/>
        </w:rPr>
      </w:pPr>
      <w:r>
        <w:rPr>
          <w:rFonts w:cs="Book Antiqua;Cambria" w:ascii="Book Antiqua;Cambria" w:hAnsi="Book Antiqua;Cambria"/>
        </w:rPr>
        <w:t>This policy defines the use and maintenance of the dishwasher units within the playrooms and Rehab Services department. Dishwashers within the playroom and Rehab Services department are used to sanitize toys, supplies, and utensils used by the departments to ensure the control of infection and to maintain high standards of cleanliness.</w:t>
      </w:r>
    </w:p>
    <w:p>
      <w:pPr>
        <w:pStyle w:val="Normal"/>
        <w:jc w:val="both"/>
        <w:rPr>
          <w:rFonts w:ascii="Book Antiqua;Cambria" w:hAnsi="Book Antiqua;Cambria" w:cs="Book Antiqua;Cambria"/>
        </w:rPr>
      </w:pPr>
      <w:r>
        <w:rPr>
          <w:rFonts w:cs="Book Antiqua;Cambria" w:ascii="Book Antiqua;Cambria" w:hAnsi="Book Antiqua;Cambria"/>
        </w:rPr>
      </w:r>
    </w:p>
    <w:p>
      <w:pPr>
        <w:pStyle w:val="Normal"/>
        <w:jc w:val="both"/>
        <w:rPr/>
      </w:pPr>
      <w:r>
        <w:rPr>
          <w:rFonts w:cs="Book Antiqua;Cambria" w:ascii="Book Antiqua;Cambria" w:hAnsi="Book Antiqua;Cambria"/>
          <w:b/>
          <w:sz w:val="23"/>
          <w:szCs w:val="23"/>
        </w:rPr>
        <w:t>PROCEDURE:</w:t>
      </w:r>
    </w:p>
    <w:p>
      <w:pPr>
        <w:pStyle w:val="Normal"/>
        <w:ind w:start="450" w:end="0"/>
        <w:jc w:val="both"/>
        <w:rPr>
          <w:rFonts w:ascii="Book Antiqua;Cambria" w:hAnsi="Book Antiqua;Cambria" w:cs="Book Antiqua;Cambria"/>
        </w:rPr>
      </w:pPr>
      <w:r>
        <w:rPr>
          <w:rFonts w:cs="Book Antiqua;Cambria" w:ascii="Book Antiqua;Cambria" w:hAnsi="Book Antiqua;Cambria"/>
        </w:rPr>
        <w:t>Dishwashers will be operated and cleaned according to the Operating Instructions manual which can be found in the Child Life Sharepoint Site and online folder maintained by the Rehab Services Department.</w:t>
      </w:r>
    </w:p>
    <w:p>
      <w:pPr>
        <w:pStyle w:val="Normal"/>
        <w:ind w:start="45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ind w:start="450" w:end="0"/>
        <w:jc w:val="both"/>
        <w:rPr/>
      </w:pPr>
      <w:r>
        <w:rPr>
          <w:rFonts w:cs="Book Antiqua;Cambria" w:ascii="Book Antiqua;Cambria" w:hAnsi="Book Antiqua;Cambria"/>
        </w:rPr>
        <w:t>Instructions include: Guide, Caring for the environment, Before using for the first time, Loading the dishwasher, Basket accessories/Use, Program Guide/Use, Additional options, Frequently asked questions, Comparison tests, After sales service, Transport, User Maintenance Instructions, Cleaning and care, Installation instructions, Electrical connection, and Plumbing.</w:t>
      </w:r>
    </w:p>
    <w:p>
      <w:pPr>
        <w:pStyle w:val="Normal"/>
        <w:ind w:start="450" w:end="0"/>
        <w:jc w:val="both"/>
        <w:rPr>
          <w:rFonts w:ascii="Book Antiqua;Cambria" w:hAnsi="Book Antiqua;Cambria" w:cs="Book Antiqua;Cambria"/>
        </w:rPr>
      </w:pPr>
      <w:r>
        <w:rPr>
          <w:rFonts w:cs="Book Antiqua;Cambria" w:ascii="Book Antiqua;Cambria" w:hAnsi="Book Antiqua;Cambria"/>
        </w:rPr>
      </w:r>
    </w:p>
    <w:p>
      <w:pPr>
        <w:pStyle w:val="Normal"/>
        <w:ind w:start="450" w:end="0"/>
        <w:jc w:val="both"/>
        <w:rPr/>
      </w:pPr>
      <w:r>
        <w:rPr>
          <w:rFonts w:cs="Book Antiqua;Cambria" w:ascii="Book Antiqua;Cambria" w:hAnsi="Book Antiqua;Cambria"/>
        </w:rPr>
        <w:t>Routine deep cleaning or maintenance will be conducted twice a year by staff assigned to work area of each dishwasher.</w:t>
      </w:r>
    </w:p>
    <w:p>
      <w:pPr>
        <w:pStyle w:val="Normal"/>
        <w:jc w:val="both"/>
        <w:rPr>
          <w:rFonts w:ascii="Book Antiqua;Cambria" w:hAnsi="Book Antiqua;Cambria" w:cs="Book Antiqua;Cambria"/>
        </w:rPr>
      </w:pPr>
      <w:r>
        <w:rPr>
          <w:rFonts w:cs="Book Antiqua;Cambria" w:ascii="Book Antiqua;Cambria" w:hAnsi="Book Antiqua;Cambria"/>
        </w:rPr>
      </w:r>
    </w:p>
    <w:p>
      <w:pPr>
        <w:pStyle w:val="Normal"/>
        <w:jc w:val="both"/>
        <w:rPr>
          <w:rFonts w:ascii="Book Antiqua;Cambria" w:hAnsi="Book Antiqua;Cambria" w:cs="Book Antiqua;Cambria"/>
          <w:i/>
          <w:i/>
          <w:u w:val="single"/>
        </w:rPr>
      </w:pPr>
      <w:r>
        <w:rPr>
          <w:rFonts w:cs="Book Antiqua;Cambria" w:ascii="Book Antiqua;Cambria" w:hAnsi="Book Antiqua;Cambria"/>
          <w:i/>
          <w:u w:val="single"/>
        </w:rPr>
        <w:t>Items not recommended for dishwasher include:</w:t>
      </w:r>
    </w:p>
    <w:p>
      <w:pPr>
        <w:pStyle w:val="Normal"/>
        <w:jc w:val="both"/>
        <w:rPr>
          <w:rFonts w:ascii="Book Antiqua;Cambria" w:hAnsi="Book Antiqua;Cambria" w:cs="Book Antiqua;Cambria"/>
        </w:rPr>
      </w:pPr>
      <w:r>
        <w:rPr>
          <w:rFonts w:cs="Book Antiqua;Cambria" w:ascii="Book Antiqua;Cambria" w:hAnsi="Book Antiqua;Cambria"/>
        </w:rPr>
        <w:t>-Toys/Equipment with hollow interiors</w:t>
      </w:r>
    </w:p>
    <w:p>
      <w:pPr>
        <w:pStyle w:val="Normal"/>
        <w:jc w:val="both"/>
        <w:rPr>
          <w:rFonts w:ascii="Book Antiqua;Cambria" w:hAnsi="Book Antiqua;Cambria" w:cs="Book Antiqua;Cambria"/>
        </w:rPr>
      </w:pPr>
      <w:r>
        <w:rPr>
          <w:rFonts w:cs="Book Antiqua;Cambria" w:ascii="Book Antiqua;Cambria" w:hAnsi="Book Antiqua;Cambria"/>
        </w:rPr>
        <w:t>-Toys/Equipment with electrical or battery operation</w:t>
      </w:r>
    </w:p>
    <w:p>
      <w:pPr>
        <w:pStyle w:val="Normal"/>
        <w:jc w:val="both"/>
        <w:rPr>
          <w:rFonts w:ascii="Book Antiqua;Cambria" w:hAnsi="Book Antiqua;Cambria" w:cs="Book Antiqua;Cambria"/>
        </w:rPr>
      </w:pPr>
      <w:r>
        <w:rPr>
          <w:rFonts w:cs="Book Antiqua;Cambria" w:ascii="Book Antiqua;Cambria" w:hAnsi="Book Antiqua;Cambria"/>
        </w:rPr>
        <w:t>-Wooden toys/Supplies</w:t>
      </w:r>
    </w:p>
    <w:p>
      <w:pPr>
        <w:pStyle w:val="Normal"/>
        <w:jc w:val="both"/>
        <w:rPr>
          <w:rFonts w:ascii="Book Antiqua;Cambria" w:hAnsi="Book Antiqua;Cambria" w:cs="Book Antiqua;Cambria"/>
        </w:rPr>
      </w:pPr>
      <w:r>
        <w:rPr>
          <w:rFonts w:cs="Book Antiqua;Cambria" w:ascii="Book Antiqua;Cambria" w:hAnsi="Book Antiqua;Cambria"/>
        </w:rPr>
        <w:t>-Cutlery with wooden handles</w:t>
      </w:r>
    </w:p>
    <w:p>
      <w:pPr>
        <w:pStyle w:val="Normal"/>
        <w:jc w:val="both"/>
        <w:rPr>
          <w:rFonts w:ascii="Book Antiqua;Cambria" w:hAnsi="Book Antiqua;Cambria" w:cs="Book Antiqua;Cambria"/>
        </w:rPr>
      </w:pPr>
      <w:r>
        <w:rPr>
          <w:rFonts w:cs="Book Antiqua;Cambria" w:ascii="Book Antiqua;Cambria" w:hAnsi="Book Antiqua;Cambria"/>
        </w:rPr>
        <w:t>-Wooden cutting boards</w:t>
      </w:r>
    </w:p>
    <w:p>
      <w:pPr>
        <w:pStyle w:val="Normal"/>
        <w:jc w:val="both"/>
        <w:rPr/>
      </w:pPr>
      <w:r>
        <w:rPr>
          <w:rFonts w:cs="Book Antiqua;Cambria" w:ascii="Book Antiqua;Cambria" w:hAnsi="Book Antiqua;Cambria"/>
        </w:rPr>
        <w:t>-Glued items such as old knives with handles glued together around the shank of the blade</w:t>
      </w:r>
    </w:p>
    <w:p>
      <w:pPr>
        <w:pStyle w:val="Normal"/>
        <w:jc w:val="both"/>
        <w:rPr>
          <w:rFonts w:ascii="Book Antiqua;Cambria" w:hAnsi="Book Antiqua;Cambria" w:cs="Book Antiqua;Cambria"/>
        </w:rPr>
      </w:pPr>
      <w:r>
        <w:rPr>
          <w:rFonts w:cs="Book Antiqua;Cambria" w:ascii="Book Antiqua;Cambria" w:hAnsi="Book Antiqua;Cambria"/>
        </w:rPr>
        <w:t>-Handmade craft items, antique, metal trimmed or decorative glassware</w:t>
      </w:r>
    </w:p>
    <w:p>
      <w:pPr>
        <w:pStyle w:val="Normal"/>
        <w:jc w:val="both"/>
        <w:rPr>
          <w:rFonts w:ascii="Book Antiqua;Cambria" w:hAnsi="Book Antiqua;Cambria" w:cs="Book Antiqua;Cambria"/>
        </w:rPr>
      </w:pPr>
      <w:r>
        <w:rPr>
          <w:rFonts w:cs="Book Antiqua;Cambria" w:ascii="Book Antiqua;Cambria" w:hAnsi="Book Antiqua;Cambria"/>
        </w:rPr>
        <w:t>-Plastic items that are not heat resistant (thin plastic toys, containers)</w:t>
      </w:r>
    </w:p>
    <w:p>
      <w:pPr>
        <w:pStyle w:val="Normal"/>
        <w:jc w:val="both"/>
        <w:rPr>
          <w:rFonts w:ascii="Book Antiqua;Cambria" w:hAnsi="Book Antiqua;Cambria" w:cs="Book Antiqua;Cambria"/>
        </w:rPr>
      </w:pPr>
      <w:r>
        <w:rPr>
          <w:rFonts w:cs="Book Antiqua;Cambria" w:ascii="Book Antiqua;Cambria" w:hAnsi="Book Antiqua;Cambria"/>
        </w:rPr>
        <w:t>-Copper, brass, tin, or aluminum</w:t>
      </w:r>
    </w:p>
    <w:p>
      <w:pPr>
        <w:pStyle w:val="Normal"/>
        <w:jc w:val="both"/>
        <w:rPr/>
      </w:pPr>
      <w:r>
        <w:rPr>
          <w:rFonts w:cs="Book Antiqua;Cambria" w:ascii="Book Antiqua;Cambria" w:hAnsi="Book Antiqua;Cambria"/>
        </w:rPr>
        <w:t>-Dishes with color painted over the glaze.  These items may fade over time.</w:t>
      </w:r>
    </w:p>
    <w:p>
      <w:pPr>
        <w:pStyle w:val="Normal"/>
        <w:jc w:val="both"/>
        <w:rPr>
          <w:rFonts w:ascii="Book Antiqua;Cambria" w:hAnsi="Book Antiqua;Cambria" w:cs="Book Antiqua;Cambria"/>
        </w:rPr>
      </w:pPr>
      <w:r>
        <w:rPr>
          <w:rFonts w:cs="Book Antiqua;Cambria" w:ascii="Book Antiqua;Cambria" w:hAnsi="Book Antiqua;Cambria"/>
        </w:rPr>
        <w:t>-Cast iron pots and pans</w:t>
      </w:r>
    </w:p>
    <w:p>
      <w:pPr>
        <w:pStyle w:val="Normal"/>
        <w:jc w:val="both"/>
        <w:rPr>
          <w:rFonts w:ascii="Book Antiqua;Cambria" w:hAnsi="Book Antiqua;Cambria" w:cs="Book Antiqua;Cambria"/>
        </w:rPr>
      </w:pPr>
      <w:r>
        <w:rPr>
          <w:rFonts w:cs="Book Antiqua;Cambria" w:ascii="Book Antiqua;Cambria" w:hAnsi="Book Antiqua;Cambria"/>
        </w:rPr>
        <w:t>-No Personal Staff Items</w:t>
      </w:r>
    </w:p>
    <w:p>
      <w:pPr>
        <w:pStyle w:val="Normal"/>
        <w:jc w:val="both"/>
        <w:rPr>
          <w:rFonts w:ascii="Book Antiqua;Cambria" w:hAnsi="Book Antiqua;Cambria" w:cs="Book Antiqua;Cambria"/>
        </w:rPr>
      </w:pPr>
      <w:r>
        <w:rPr>
          <w:rFonts w:cs="Book Antiqua;Cambria" w:ascii="Book Antiqua;Cambria" w:hAnsi="Book Antiqua;Cambria"/>
        </w:rPr>
        <w:t>-Nipples</w:t>
      </w:r>
    </w:p>
    <w:p>
      <w:pPr>
        <w:pStyle w:val="Normal"/>
        <w:jc w:val="both"/>
        <w:rPr>
          <w:rFonts w:ascii="Book Antiqua;Cambria" w:hAnsi="Book Antiqua;Cambria" w:cs="Book Antiqua;Cambria"/>
        </w:rPr>
      </w:pPr>
      <w:r>
        <w:rPr>
          <w:rFonts w:cs="Book Antiqua;Cambria" w:ascii="Book Antiqua;Cambria" w:hAnsi="Book Antiqua;Cambria"/>
        </w:rPr>
      </w:r>
    </w:p>
    <w:p>
      <w:pPr>
        <w:pStyle w:val="Normal"/>
        <w:jc w:val="both"/>
        <w:rPr>
          <w:rFonts w:ascii="Book Antiqua;Cambria" w:hAnsi="Book Antiqua;Cambria" w:cs="Book Antiqua;Cambria"/>
          <w:i/>
          <w:i/>
          <w:u w:val="single"/>
        </w:rPr>
      </w:pPr>
      <w:r>
        <w:rPr>
          <w:rFonts w:cs="Book Antiqua;Cambria" w:ascii="Book Antiqua;Cambria" w:hAnsi="Book Antiqua;Cambria"/>
          <w:i/>
          <w:u w:val="single"/>
        </w:rPr>
        <w:t>Items okay to place in Dishwasher include:</w:t>
      </w:r>
    </w:p>
    <w:p>
      <w:pPr>
        <w:pStyle w:val="Normal"/>
        <w:jc w:val="both"/>
        <w:rPr>
          <w:rFonts w:ascii="Book Antiqua;Cambria" w:hAnsi="Book Antiqua;Cambria" w:cs="Book Antiqua;Cambria"/>
        </w:rPr>
      </w:pPr>
      <w:r>
        <w:rPr>
          <w:rFonts w:cs="Book Antiqua;Cambria" w:ascii="Book Antiqua;Cambria" w:hAnsi="Book Antiqua;Cambria"/>
        </w:rPr>
        <w:t>- “Dishwasher safe” glassware</w:t>
      </w:r>
    </w:p>
    <w:p>
      <w:pPr>
        <w:pStyle w:val="Normal"/>
        <w:jc w:val="both"/>
        <w:rPr>
          <w:rFonts w:ascii="Book Antiqua;Cambria" w:hAnsi="Book Antiqua;Cambria" w:cs="Book Antiqua;Cambria"/>
        </w:rPr>
      </w:pPr>
      <w:r>
        <w:rPr>
          <w:rFonts w:cs="Book Antiqua;Cambria" w:ascii="Book Antiqua;Cambria" w:hAnsi="Book Antiqua;Cambria"/>
        </w:rPr>
        <w:t>-Small items to be washed in net bag or plastic cages</w:t>
      </w:r>
    </w:p>
    <w:p>
      <w:pPr>
        <w:pStyle w:val="Normal"/>
        <w:jc w:val="both"/>
        <w:rPr>
          <w:rFonts w:ascii="Book Antiqua;Cambria" w:hAnsi="Book Antiqua;Cambria" w:cs="Book Antiqua;Cambria"/>
        </w:rPr>
      </w:pPr>
      <w:r>
        <w:rPr>
          <w:rFonts w:cs="Book Antiqua;Cambria" w:ascii="Book Antiqua;Cambria" w:hAnsi="Book Antiqua;Cambria"/>
        </w:rPr>
        <w:t xml:space="preserve">-All other toys, equipment, and utensils </w:t>
      </w:r>
    </w:p>
    <w:p>
      <w:pPr>
        <w:pStyle w:val="Normal"/>
        <w:jc w:val="both"/>
        <w:rPr>
          <w:rFonts w:ascii="Book Antiqua;Cambria" w:hAnsi="Book Antiqua;Cambria" w:cs="Book Antiqua;Cambria"/>
        </w:rPr>
      </w:pPr>
      <w:r>
        <w:rPr>
          <w:rFonts w:cs="Book Antiqua;Cambria" w:ascii="Book Antiqua;Cambria" w:hAnsi="Book Antiqua;Cambria"/>
        </w:rPr>
      </w:r>
    </w:p>
    <w:p>
      <w:pPr>
        <w:pStyle w:val="Normal"/>
        <w:jc w:val="both"/>
        <w:rPr>
          <w:rFonts w:ascii="Book Antiqua;Cambria" w:hAnsi="Book Antiqua;Cambria" w:cs="Book Antiqua;Cambria"/>
          <w:i/>
          <w:i/>
          <w:u w:val="single"/>
        </w:rPr>
      </w:pPr>
      <w:r>
        <w:rPr>
          <w:rFonts w:cs="Book Antiqua;Cambria" w:ascii="Book Antiqua;Cambria" w:hAnsi="Book Antiqua;Cambria"/>
          <w:i/>
          <w:u w:val="single"/>
        </w:rPr>
        <w:t>Water Temperatures in degrees Fahrenheit:</w:t>
      </w:r>
    </w:p>
    <w:p>
      <w:pPr>
        <w:pStyle w:val="Normal"/>
        <w:jc w:val="both"/>
        <w:rPr>
          <w:rFonts w:ascii="Book Antiqua;Cambria" w:hAnsi="Book Antiqua;Cambria" w:cs="Book Antiqua;Cambria"/>
        </w:rPr>
      </w:pPr>
      <w:r>
        <w:rPr>
          <w:rFonts w:cs="Book Antiqua;Cambria" w:ascii="Book Antiqua;Cambria" w:hAnsi="Book Antiqua;Cambria"/>
        </w:rPr>
        <w:t xml:space="preserve">Normal </w:t>
        <w:tab/>
        <w:t>Wash:  150</w:t>
      </w:r>
    </w:p>
    <w:p>
      <w:pPr>
        <w:pStyle w:val="Normal"/>
        <w:jc w:val="both"/>
        <w:rPr>
          <w:rFonts w:ascii="Book Antiqua;Cambria" w:hAnsi="Book Antiqua;Cambria" w:cs="Book Antiqua;Cambria"/>
        </w:rPr>
      </w:pPr>
      <w:r>
        <w:rPr>
          <w:rFonts w:cs="Book Antiqua;Cambria" w:ascii="Book Antiqua;Cambria" w:hAnsi="Book Antiqua;Cambria"/>
        </w:rPr>
        <w:t xml:space="preserve">Pots/Pans </w:t>
        <w:tab/>
        <w:t>Wash:  170</w:t>
        <w:tab/>
        <w:t>Rinse: 160</w:t>
      </w:r>
    </w:p>
    <w:p>
      <w:pPr>
        <w:pStyle w:val="Normal"/>
        <w:jc w:val="both"/>
        <w:rPr>
          <w:rFonts w:ascii="Book Antiqua;Cambria" w:hAnsi="Book Antiqua;Cambria" w:cs="Book Antiqua;Cambria"/>
        </w:rPr>
      </w:pPr>
      <w:r>
        <w:rPr>
          <w:rFonts w:cs="Book Antiqua;Cambria" w:ascii="Book Antiqua;Cambria" w:hAnsi="Book Antiqua;Cambria"/>
        </w:rPr>
        <w:t>Economy</w:t>
        <w:tab/>
        <w:t>Wash:  130</w:t>
      </w:r>
    </w:p>
    <w:p>
      <w:pPr>
        <w:pStyle w:val="Normal"/>
        <w:jc w:val="both"/>
        <w:rPr>
          <w:rFonts w:ascii="Book Antiqua;Cambria" w:hAnsi="Book Antiqua;Cambria" w:cs="Book Antiqua;Cambria"/>
        </w:rPr>
      </w:pPr>
      <w:r>
        <w:rPr>
          <w:rFonts w:cs="Book Antiqua;Cambria" w:ascii="Book Antiqua;Cambria" w:hAnsi="Book Antiqua;Cambria"/>
        </w:rPr>
        <w:t>SaniWash</w:t>
        <w:tab/>
        <w:t>Wash:  170</w:t>
        <w:tab/>
        <w:t>Rinse: 150</w:t>
      </w:r>
    </w:p>
    <w:p>
      <w:pPr>
        <w:pStyle w:val="Normal"/>
        <w:jc w:val="both"/>
        <w:rPr>
          <w:rFonts w:ascii="Book Antiqua;Cambria" w:hAnsi="Book Antiqua;Cambria" w:cs="Book Antiqua;Cambria"/>
        </w:rPr>
      </w:pPr>
      <w:r>
        <w:rPr>
          <w:rFonts w:cs="Book Antiqua;Cambria" w:ascii="Book Antiqua;Cambria" w:hAnsi="Book Antiqua;Cambria"/>
        </w:rPr>
        <w:t>Rinse/Hold</w:t>
        <w:tab/>
        <w:t>Tap</w:t>
      </w:r>
    </w:p>
    <w:p>
      <w:pPr>
        <w:pStyle w:val="Normal"/>
        <w:jc w:val="both"/>
        <w:rPr>
          <w:rFonts w:ascii="Book Antiqua;Cambria" w:hAnsi="Book Antiqua;Cambria" w:cs="Book Antiqua;Cambria"/>
        </w:rPr>
      </w:pPr>
      <w:r>
        <w:rPr>
          <w:rFonts w:cs="Book Antiqua;Cambria" w:ascii="Book Antiqua;Cambria" w:hAnsi="Book Antiqua;Cambria"/>
        </w:rPr>
        <w:t>Express Wash</w:t>
        <w:tab/>
        <w:t>Wash:  115</w:t>
        <w:tab/>
        <w:t>Rinse: 130</w:t>
      </w:r>
    </w:p>
    <w:p>
      <w:pPr>
        <w:pStyle w:val="Normal"/>
        <w:suppressAutoHyphens w:val="true"/>
        <w:jc w:val="both"/>
        <w:rPr>
          <w:rFonts w:ascii="Book Antiqua;Cambria" w:hAnsi="Book Antiqua;Cambria" w:cs="Book Antiqua;Cambria"/>
        </w:rPr>
      </w:pPr>
      <w:r>
        <w:rPr>
          <w:rFonts w:cs="Book Antiqua;Cambria" w:ascii="Book Antiqua;Cambria" w:hAnsi="Book Antiqua;Cambria"/>
        </w:rPr>
      </w:r>
    </w:p>
    <w:p>
      <w:pPr>
        <w:pStyle w:val="Normal"/>
        <w:suppressAutoHyphens w:val="true"/>
        <w:jc w:val="both"/>
        <w:rPr/>
      </w:pPr>
      <w:r>
        <w:rPr/>
        <w:t>Users to verify temperature with test strips once per week based on manufactured recommended use.</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rPr>
      </w:pPr>
      <w:r>
        <w:rPr>
          <w:rFonts w:cs="Book Antiqua;Cambria" w:ascii="Book Antiqua;Cambria" w:hAnsi="Book Antiqua;Cambria"/>
          <w:b/>
        </w:rPr>
        <w:t>REFERENCES:</w:t>
      </w:r>
    </w:p>
    <w:p>
      <w:pPr>
        <w:pStyle w:val="Normal"/>
        <w:jc w:val="both"/>
        <w:rPr>
          <w:rFonts w:ascii="Book Antiqua;Cambria" w:hAnsi="Book Antiqua;Cambria" w:cs="Book Antiqua;Cambria"/>
        </w:rPr>
      </w:pPr>
      <w:r>
        <w:rPr>
          <w:rFonts w:cs="Book Antiqua;Cambria" w:ascii="Book Antiqua;Cambria" w:hAnsi="Book Antiqua;Cambria"/>
        </w:rPr>
        <w:t>Miele Dishwasher (models G 1181 and G2181) Operating Instructions booklet</w:t>
      </w:r>
    </w:p>
    <w:p>
      <w:pPr>
        <w:pStyle w:val="Normal"/>
        <w:jc w:val="both"/>
        <w:rPr/>
      </w:pPr>
      <w:hyperlink r:id="rId2">
        <w:r>
          <w:rPr>
            <w:rStyle w:val="Hyperlink"/>
            <w:rFonts w:cs="Book Antiqua;Cambria" w:ascii="Book Antiqua;Cambria" w:hAnsi="Book Antiqua;Cambria"/>
          </w:rPr>
          <w:t>TechnicalService@mieleusa.com</w:t>
        </w:r>
      </w:hyperlink>
      <w:r>
        <w:rPr>
          <w:rFonts w:cs="Book Antiqua;Cambria" w:ascii="Book Antiqua;Cambria" w:hAnsi="Book Antiqua;Cambria"/>
        </w:rPr>
        <w:t xml:space="preserve">  Phone: 800-999-1360 Fax: 888-586-8056</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sectPr>
      <w:headerReference w:type="default" r:id="rId3"/>
      <w:footerReference w:type="default" r:id="rId4"/>
      <w:type w:val="nextPage"/>
      <w:pgSz w:w="12240" w:h="15840"/>
      <w:pgMar w:left="720" w:right="720" w:gutter="0" w:header="432" w:top="972"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altName w:val="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Cambria" w:hAnsi="Book Antiqua;Cambria" w:cs="Book Antiqua;Cambria"/>
        <w:b/>
        <w:bCs/>
        <w:i/>
        <w:i/>
        <w:iCs/>
        <w:color w:val="FF0000"/>
        <w:sz w:val="20"/>
        <w:szCs w:val="16"/>
      </w:rPr>
    </w:pPr>
    <w:r>
      <w:rPr>
        <w:rFonts w:cs="Book Antiqua;Cambria" w:ascii="Book Antiqua;Cambria" w:hAnsi="Book Antiqua;Cambria"/>
        <w:b/>
        <w:bCs/>
        <w:i/>
        <w:iCs/>
        <w:color w:val="FF0000"/>
        <w:sz w:val="20"/>
        <w:szCs w:val="16"/>
      </w:rPr>
    </w:r>
  </w:p>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Playroom and Rehab Services Dishwasher Maintenance</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487"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6/13/2019</w:t>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09/03/2019</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and The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224.2</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num w:numId="1">
    <w:abstractNumId w:val="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9z0">
    <w:name w:val="WW8Num9z0"/>
    <w:qFormat/>
    <w:rPr>
      <w:rFonts w:ascii="Symbol" w:hAnsi="Symbol" w:cs="Symbol"/>
    </w:rPr>
  </w:style>
  <w:style w:type="character" w:styleId="WW8Num9z2">
    <w:name w:val="WW8Num9z2"/>
    <w:qFormat/>
    <w:rPr/>
  </w:style>
  <w:style w:type="character" w:styleId="WW8Num9z4">
    <w:name w:val="WW8Num9z4"/>
    <w:qFormat/>
    <w:rPr>
      <w:rFonts w:ascii="Courier New" w:hAnsi="Courier New" w:cs="Courier New"/>
    </w:rPr>
  </w:style>
  <w:style w:type="character" w:styleId="WW8Num9z5">
    <w:name w:val="WW8Num9z5"/>
    <w:qFormat/>
    <w:rPr>
      <w:rFonts w:ascii="Wingdings" w:hAnsi="Wingdings" w:cs="Wingdings"/>
    </w:rPr>
  </w:style>
  <w:style w:type="character" w:styleId="WW8Num10z0">
    <w:name w:val="WW8Num10z0"/>
    <w:qFormat/>
    <w:rPr/>
  </w:style>
  <w:style w:type="character" w:styleId="WW8Num11z0">
    <w:name w:val="WW8Num11z0"/>
    <w:qFormat/>
    <w:rPr>
      <w:sz w:val="24"/>
    </w:rPr>
  </w:style>
  <w:style w:type="character" w:styleId="WW8Num12z0">
    <w:name w:val="WW8Num12z0"/>
    <w:qFormat/>
    <w:rPr/>
  </w:style>
  <w:style w:type="character" w:styleId="WW8Num13z0">
    <w:name w:val="WW8Num13z0"/>
    <w:qFormat/>
    <w:rPr/>
  </w:style>
  <w:style w:type="character" w:styleId="WW8Num14z0">
    <w:name w:val="WW8Num14z0"/>
    <w:qFormat/>
    <w:rPr>
      <w:b/>
    </w:rPr>
  </w:style>
  <w:style w:type="character" w:styleId="WW8Num15z0">
    <w:name w:val="WW8Num1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chnicalService@mieleusa.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2019-09-03T11:44:00Z</dcterms:created>
  <dc:creator>MAGGIE</dc:creator>
  <dc:description/>
  <cp:keywords/>
  <dc:language>en-US</dc:language>
  <cp:lastModifiedBy>Huynh, Fuong</cp:lastModifiedBy>
  <cp:lastPrinted>2019-06-18T08:59:00Z</cp:lastPrinted>
  <dcterms:modified xsi:type="dcterms:W3CDTF">2021-06-27T09:22:00Z</dcterms:modified>
  <cp:revision>5</cp:revision>
  <dc:subject/>
  <dc:title>IC - 224.2 Playroom and OTPT Dishwasher Maintenance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ies>
</file>