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  <w:t>PURPOSE:</w:t>
      </w:r>
    </w:p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In order to prevent the transmission of foodborne or other infections among patients and personnel, measures need to be taken to ensure cleanliness and food safety.</w:t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rPr/>
      </w:pPr>
      <w:r>
        <w:rPr>
          <w:rFonts w:cs="Book Antiqua" w:ascii="Book Antiqua" w:hAnsi="Book Antiqua"/>
          <w:sz w:val="23"/>
          <w:szCs w:val="23"/>
        </w:rPr>
        <w:t>The purpose of the following policy is to establish guidelines to prevent food borne infections through vending machine dispensed items.</w:t>
      </w:r>
    </w:p>
    <w:p>
      <w:pPr>
        <w:pStyle w:val="Normal"/>
        <w:jc w:val="both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jc w:val="both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  <w:t xml:space="preserve">PROCEDURE: </w:t>
      </w:r>
    </w:p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  <w:u w:val="single"/>
        </w:rPr>
        <w:t>FOOD STANDARDS</w:t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widowControl/>
        <w:numPr>
          <w:ilvl w:val="0"/>
          <w:numId w:val="5"/>
        </w:numPr>
        <w:ind w:hanging="360" w:start="36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All food shall be of good quality and procured from sources approved or considered satisfactory by Federal, State and Local authorities.</w:t>
      </w:r>
    </w:p>
    <w:p>
      <w:pPr>
        <w:pStyle w:val="Normal"/>
        <w:widowControl/>
        <w:numPr>
          <w:ilvl w:val="0"/>
          <w:numId w:val="5"/>
        </w:numPr>
        <w:ind w:hanging="360" w:start="36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Milk and milk products shall be procured, processed or manufactured in a milk producing plant, which meets the requirements of Division 15 of the California Code.</w:t>
      </w:r>
    </w:p>
    <w:p>
      <w:pPr>
        <w:pStyle w:val="Normal"/>
        <w:widowControl/>
        <w:numPr>
          <w:ilvl w:val="0"/>
          <w:numId w:val="5"/>
        </w:numPr>
        <w:ind w:hanging="360" w:start="36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Food items are, either purchased pre-packaged or produced in the vending commissary.</w:t>
      </w:r>
    </w:p>
    <w:p>
      <w:pPr>
        <w:pStyle w:val="Normal"/>
        <w:widowControl/>
        <w:numPr>
          <w:ilvl w:val="0"/>
          <w:numId w:val="5"/>
        </w:numPr>
        <w:ind w:hanging="360" w:start="36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Perishable food items have stamped expiration date and are checked during scheduled service to remove food that has reached the expiration date.</w:t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  <w:u w:val="single"/>
        </w:rPr>
        <w:t>PLANT STANDARDS</w:t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widowControl/>
        <w:numPr>
          <w:ilvl w:val="0"/>
          <w:numId w:val="7"/>
        </w:numPr>
        <w:tabs>
          <w:tab w:val="clear" w:pos="720"/>
        </w:tabs>
        <w:ind w:hanging="360" w:start="36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The food manufacturing plant is inspected and licensed by the Los Angeles County Health Department.</w:t>
      </w:r>
    </w:p>
    <w:p>
      <w:pPr>
        <w:pStyle w:val="Normal"/>
        <w:widowControl/>
        <w:numPr>
          <w:ilvl w:val="0"/>
          <w:numId w:val="7"/>
        </w:numPr>
        <w:tabs>
          <w:tab w:val="clear" w:pos="720"/>
        </w:tabs>
        <w:ind w:hanging="360" w:start="36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The manufacturing plant has unannounced inspections by the Los Angeles County Health Department multiple times each year.  Documentation is kept on file by the vendor and is available upon request.</w:t>
      </w:r>
    </w:p>
    <w:p>
      <w:pPr>
        <w:pStyle w:val="Header"/>
        <w:tabs>
          <w:tab w:val="clear" w:pos="720"/>
        </w:tabs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  <w:u w:val="single"/>
        </w:rPr>
        <w:t>EMPLOYEE STANDARDS</w:t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widowControl/>
        <w:numPr>
          <w:ilvl w:val="1"/>
          <w:numId w:val="9"/>
        </w:numPr>
        <w:tabs>
          <w:tab w:val="clear" w:pos="720"/>
          <w:tab w:val="left" w:pos="-1440" w:leader="none"/>
        </w:tabs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All vending employees must meet health department standards.</w:t>
      </w:r>
    </w:p>
    <w:p>
      <w:pPr>
        <w:pStyle w:val="Normal"/>
        <w:widowControl/>
        <w:numPr>
          <w:ilvl w:val="1"/>
          <w:numId w:val="9"/>
        </w:numPr>
        <w:tabs>
          <w:tab w:val="clear" w:pos="720"/>
          <w:tab w:val="left" w:pos="-1440" w:leader="none"/>
        </w:tabs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All service personnel receive sixty days training prior to qualifying, which includes infection control practices for:</w:t>
      </w:r>
    </w:p>
    <w:p>
      <w:pPr>
        <w:pStyle w:val="Normal"/>
        <w:widowControl/>
        <w:numPr>
          <w:ilvl w:val="2"/>
          <w:numId w:val="9"/>
        </w:numPr>
        <w:tabs>
          <w:tab w:val="clear" w:pos="720"/>
          <w:tab w:val="left" w:pos="-1440" w:leader="none"/>
        </w:tabs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Food handling</w:t>
      </w:r>
    </w:p>
    <w:p>
      <w:pPr>
        <w:pStyle w:val="Normal"/>
        <w:widowControl/>
        <w:numPr>
          <w:ilvl w:val="2"/>
          <w:numId w:val="9"/>
        </w:numPr>
        <w:tabs>
          <w:tab w:val="clear" w:pos="720"/>
          <w:tab w:val="left" w:pos="-1440" w:leader="none"/>
        </w:tabs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Utensils</w:t>
      </w:r>
    </w:p>
    <w:p>
      <w:pPr>
        <w:pStyle w:val="Normal"/>
        <w:widowControl/>
        <w:numPr>
          <w:ilvl w:val="2"/>
          <w:numId w:val="9"/>
        </w:numPr>
        <w:tabs>
          <w:tab w:val="clear" w:pos="720"/>
          <w:tab w:val="left" w:pos="-1440" w:leader="none"/>
        </w:tabs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Equipment</w:t>
      </w:r>
    </w:p>
    <w:p>
      <w:pPr>
        <w:pStyle w:val="Normal"/>
        <w:widowControl/>
        <w:numPr>
          <w:ilvl w:val="2"/>
          <w:numId w:val="6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 xml:space="preserve">Personal health and hygiene </w:t>
      </w:r>
    </w:p>
    <w:p>
      <w:pPr>
        <w:pStyle w:val="Header"/>
        <w:tabs>
          <w:tab w:val="clear" w:pos="720"/>
        </w:tabs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rPr>
          <w:rFonts w:ascii="Book Antiqua" w:hAnsi="Book Antiqua" w:cs="Book Antiqua"/>
          <w:sz w:val="23"/>
          <w:szCs w:val="23"/>
          <w:u w:val="single"/>
        </w:rPr>
      </w:pPr>
      <w:r>
        <w:rPr>
          <w:rFonts w:cs="Book Antiqua" w:ascii="Book Antiqua" w:hAnsi="Book Antiqua"/>
          <w:sz w:val="23"/>
          <w:szCs w:val="23"/>
          <w:u w:val="single"/>
        </w:rPr>
        <w:t>CLEANING AND SANITIZING PROCEDURES</w:t>
      </w:r>
    </w:p>
    <w:p>
      <w:pPr>
        <w:pStyle w:val="Normal"/>
        <w:rPr>
          <w:rFonts w:ascii="Book Antiqua" w:hAnsi="Book Antiqua" w:cs="Book Antiqua"/>
          <w:sz w:val="23"/>
          <w:szCs w:val="23"/>
          <w:u w:val="single"/>
        </w:rPr>
      </w:pPr>
      <w:r>
        <w:rPr>
          <w:rFonts w:cs="Book Antiqua" w:ascii="Book Antiqua" w:hAnsi="Book Antiqua"/>
          <w:sz w:val="23"/>
          <w:szCs w:val="23"/>
          <w:u w:val="single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20"/>
        </w:tabs>
        <w:spacing w:before="0" w:after="58"/>
        <w:ind w:hanging="360" w:start="360" w:end="0"/>
        <w:rPr>
          <w:rFonts w:ascii="Book Antiqua" w:hAnsi="Book Antiqua" w:cs="Book Antiqua"/>
          <w:sz w:val="23"/>
          <w:szCs w:val="23"/>
        </w:rPr>
      </w:pPr>
      <w:r>
        <w:rPr>
          <w:rFonts w:eastAsia="Book Antiqua" w:cs="Book Antiqua" w:ascii="Book Antiqua" w:hAnsi="Book Antiqua"/>
          <w:sz w:val="23"/>
          <w:szCs w:val="23"/>
        </w:rPr>
        <w:t xml:space="preserve"> </w:t>
      </w:r>
      <w:r>
        <w:rPr>
          <w:rFonts w:cs="Book Antiqua" w:ascii="Book Antiqua" w:hAnsi="Book Antiqua"/>
          <w:sz w:val="23"/>
          <w:szCs w:val="23"/>
        </w:rPr>
        <w:t xml:space="preserve">Machines are serviced and cleaned during scheduled vendor service.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</w:tabs>
        <w:ind w:hanging="360" w:start="36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 xml:space="preserve">Machines are cleaned both inside and outside with a hospital approved disinfectant. </w:t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  <w:u w:val="single"/>
        </w:rPr>
        <w:t>REFRIGERATED VENDING MACHINES</w:t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widowControl/>
        <w:numPr>
          <w:ilvl w:val="1"/>
          <w:numId w:val="8"/>
        </w:numPr>
        <w:tabs>
          <w:tab w:val="clear" w:pos="720"/>
          <w:tab w:val="left" w:pos="-1440" w:leader="none"/>
        </w:tabs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Cold drinks are refrigerated at 38 to 41 degrees.</w:t>
      </w:r>
    </w:p>
    <w:p>
      <w:pPr>
        <w:pStyle w:val="Normal"/>
        <w:widowControl/>
        <w:numPr>
          <w:ilvl w:val="1"/>
          <w:numId w:val="8"/>
        </w:numPr>
        <w:tabs>
          <w:tab w:val="clear" w:pos="720"/>
          <w:tab w:val="left" w:pos="-1440" w:leader="none"/>
        </w:tabs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Food machines are refrigerated at 40 degrees.  Each food machine also has a safety cut-off temperature system which will not accept coins if the temperature rises to above 40 degrees. The machine will not operate until a manual re-set takes place.</w:t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  <w:u w:val="single"/>
        </w:rPr>
        <w:t>TRANSPORTATION OF FOOD FROM PLANT TO VENDING AREA</w:t>
      </w:r>
    </w:p>
    <w:p>
      <w:pPr>
        <w:pStyle w:val="Normal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widowControl/>
        <w:numPr>
          <w:ilvl w:val="0"/>
          <w:numId w:val="4"/>
        </w:numPr>
        <w:ind w:hanging="360" w:start="36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All products are transported at required temperatures established by health department regulations.</w:t>
      </w:r>
    </w:p>
    <w:p>
      <w:pPr>
        <w:pStyle w:val="Normal"/>
        <w:widowControl/>
        <w:numPr>
          <w:ilvl w:val="0"/>
          <w:numId w:val="4"/>
        </w:numPr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Milk products are transported at below 40 degrees in sealed dated containers.</w:t>
      </w:r>
    </w:p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</w:r>
    </w:p>
    <w:p>
      <w:pPr>
        <w:pStyle w:val="Normal"/>
        <w:jc w:val="both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  <w:t>Related Policies:</w:t>
      </w:r>
      <w:r>
        <w:rPr>
          <w:rFonts w:cs="Book Antiqua" w:ascii="Book Antiqua" w:hAnsi="Book Antiqua"/>
          <w:sz w:val="23"/>
          <w:szCs w:val="23"/>
        </w:rPr>
        <w:t xml:space="preserve">  </w:t>
      </w:r>
      <w:hyperlink r:id="rId2">
        <w:r>
          <w:rPr>
            <w:rStyle w:val="Hyperlink"/>
            <w:rFonts w:cs="Book Antiqua" w:ascii="Book Antiqua" w:hAnsi="Book Antiqua"/>
            <w:sz w:val="23"/>
            <w:szCs w:val="23"/>
          </w:rPr>
          <w:t>IC – 717.0 Food Services</w:t>
        </w:r>
      </w:hyperlink>
    </w:p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</w:r>
    </w:p>
    <w:p>
      <w:pPr>
        <w:pStyle w:val="Normal"/>
        <w:jc w:val="both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  <w:t>REFERENCES:</w:t>
      </w:r>
    </w:p>
    <w:p>
      <w:pPr>
        <w:pStyle w:val="Normal"/>
        <w:widowControl/>
        <w:numPr>
          <w:ilvl w:val="0"/>
          <w:numId w:val="2"/>
        </w:numPr>
        <w:tabs>
          <w:tab w:val="left" w:pos="720" w:leader="none"/>
        </w:tabs>
        <w:ind w:hanging="360" w:start="72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California Health and Safety Code, Division 104, Part 5 (Sherman Food, Drug, and Cosmetic law) (2016) and Part 7 (California Retail Food  Code) (2017)</w:t>
      </w:r>
    </w:p>
    <w:p>
      <w:pPr>
        <w:pStyle w:val="Normal"/>
        <w:widowControl/>
        <w:numPr>
          <w:ilvl w:val="0"/>
          <w:numId w:val="2"/>
        </w:numPr>
        <w:tabs>
          <w:tab w:val="left" w:pos="720" w:leader="none"/>
        </w:tabs>
        <w:ind w:hanging="360" w:start="72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California Code of Regulations, Title 17, Public Health</w:t>
      </w:r>
    </w:p>
    <w:p>
      <w:pPr>
        <w:pStyle w:val="Normal"/>
        <w:widowControl/>
        <w:numPr>
          <w:ilvl w:val="0"/>
          <w:numId w:val="2"/>
        </w:numPr>
        <w:tabs>
          <w:tab w:val="left" w:pos="720" w:leader="none"/>
        </w:tabs>
        <w:ind w:hanging="360" w:start="72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  <w:t>UCSD P&amp;P Manual, Environment, Health &amp; Safety. Section 516-10.2.  7/19/10</w:t>
      </w:r>
    </w:p>
    <w:p>
      <w:pPr>
        <w:pStyle w:val="Normal"/>
        <w:ind w:hanging="360" w:start="36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tabs>
          <w:tab w:val="clear" w:pos="720"/>
          <w:tab w:val="left" w:pos="-1440" w:leader="none"/>
        </w:tabs>
        <w:ind w:hanging="1440" w:start="1440" w:end="0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p>
      <w:pPr>
        <w:pStyle w:val="Normal"/>
        <w:tabs>
          <w:tab w:val="clear" w:pos="720"/>
          <w:tab w:val="left" w:pos="-1440" w:leader="none"/>
        </w:tabs>
        <w:ind w:hanging="1440" w:start="1440" w:end="0"/>
        <w:rPr>
          <w:rFonts w:ascii="Book Antiqua" w:hAnsi="Book Antiqua" w:cs="Book Antiqua"/>
          <w:b/>
          <w:sz w:val="23"/>
          <w:szCs w:val="23"/>
        </w:rPr>
      </w:pPr>
      <w:r>
        <w:rPr>
          <w:rFonts w:cs="Book Antiqua" w:ascii="Book Antiqua" w:hAnsi="Book Antiqua"/>
          <w:b/>
          <w:sz w:val="23"/>
          <w:szCs w:val="23"/>
        </w:rPr>
        <w:t>POLICY OWNER:</w:t>
      </w:r>
    </w:p>
    <w:p>
      <w:pPr>
        <w:pStyle w:val="Normal"/>
        <w:jc w:val="both"/>
        <w:rPr>
          <w:rFonts w:ascii="Book Antiqua" w:hAnsi="Book Antiqua" w:cs="Book Antiqua"/>
          <w:i/>
          <w:i/>
          <w:sz w:val="23"/>
          <w:szCs w:val="23"/>
        </w:rPr>
      </w:pPr>
      <w:r>
        <w:rPr>
          <w:rFonts w:cs="Book Antiqua" w:ascii="Book Antiqua" w:hAnsi="Book Antiqua"/>
          <w:i/>
          <w:sz w:val="23"/>
          <w:szCs w:val="23"/>
        </w:rPr>
        <w:t>Executive Director, Accreditation &amp; Licensing, Infection Prevention, and Emergency Management</w:t>
      </w:r>
    </w:p>
    <w:p>
      <w:pPr>
        <w:pStyle w:val="Normal"/>
        <w:jc w:val="both"/>
        <w:rPr>
          <w:rFonts w:ascii="Book Antiqua" w:hAnsi="Book Antiqua" w:cs="Book Antiqua"/>
          <w:i/>
          <w:i/>
          <w:sz w:val="23"/>
          <w:szCs w:val="23"/>
        </w:rPr>
      </w:pPr>
      <w:r>
        <w:rPr>
          <w:rFonts w:cs="Book Antiqua" w:ascii="Book Antiqua" w:hAnsi="Book Antiqua"/>
          <w:i/>
          <w:sz w:val="23"/>
          <w:szCs w:val="23"/>
        </w:rPr>
      </w:r>
    </w:p>
    <w:p>
      <w:pPr>
        <w:pStyle w:val="Normal"/>
        <w:jc w:val="both"/>
        <w:rPr>
          <w:rFonts w:ascii="Book Antiqua" w:hAnsi="Book Antiqua" w:cs="Book Antiqua"/>
          <w:sz w:val="23"/>
          <w:szCs w:val="23"/>
        </w:rPr>
      </w:pPr>
      <w:r>
        <w:rPr>
          <w:rFonts w:cs="Book Antiqua" w:ascii="Book Antiqua" w:hAnsi="Book Antiqua"/>
          <w:sz w:val="23"/>
          <w:szCs w:val="23"/>
        </w:rPr>
      </w:r>
    </w:p>
    <w:sectPr>
      <w:headerReference w:type="default" r:id="rId3"/>
      <w:footerReference w:type="default" r:id="rId4"/>
      <w:type w:val="nextPage"/>
      <w:pgSz w:w="12240" w:h="15840"/>
      <w:pgMar w:left="720" w:right="720" w:gutter="0" w:header="432" w:top="720" w:footer="432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Book Antiqua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720" w:end="0"/>
      <w:jc w:val="center"/>
      <w:rPr/>
    </w:pPr>
    <w:bookmarkStart w:id="0" w:name="_Hlk77594431"/>
    <w:bookmarkStart w:id="1" w:name="_Hlk77594430"/>
    <w:bookmarkStart w:id="2" w:name="_Hlk77594308"/>
    <w:bookmarkStart w:id="3" w:name="_Hlk77594307"/>
    <w:bookmarkStart w:id="4" w:name="_Hlk77593782"/>
    <w:bookmarkStart w:id="5" w:name="_Hlk77593781"/>
    <w:bookmarkStart w:id="6" w:name="_Hlk77593443"/>
    <w:bookmarkStart w:id="7" w:name="_Hlk77593442"/>
    <w:bookmarkStart w:id="8" w:name="_Hlk77590648"/>
    <w:bookmarkStart w:id="9" w:name="_Hlk77590647"/>
    <w:bookmarkStart w:id="10" w:name="_Hlk77590545"/>
    <w:bookmarkStart w:id="11" w:name="_Hlk77590544"/>
    <w:bookmarkStart w:id="12" w:name="_Hlk77590430"/>
    <w:bookmarkStart w:id="13" w:name="_Hlk77590429"/>
    <w:bookmarkStart w:id="14" w:name="_Hlk77590090"/>
    <w:bookmarkStart w:id="15" w:name="_Hlk77590089"/>
    <w:bookmarkStart w:id="16" w:name="_Hlk77589983"/>
    <w:bookmarkStart w:id="17" w:name="_Hlk77589982"/>
    <w:bookmarkStart w:id="18" w:name="_Hlk77589902"/>
    <w:bookmarkStart w:id="19" w:name="_Hlk77589901"/>
    <w:bookmarkStart w:id="20" w:name="_Hlk77589577"/>
    <w:bookmarkStart w:id="21" w:name="_Hlk77589576"/>
    <w:bookmarkStart w:id="22" w:name="_Hlk77589463"/>
    <w:bookmarkStart w:id="23" w:name="_Hlk77589462"/>
    <w:bookmarkStart w:id="24" w:name="_Hlk77589364"/>
    <w:bookmarkStart w:id="25" w:name="_Hlk77589363"/>
    <w:bookmarkStart w:id="26" w:name="_Hlk77589162"/>
    <w:bookmarkStart w:id="27" w:name="_Hlk77589161"/>
    <w:bookmarkStart w:id="28" w:name="_Hlk77588959"/>
    <w:bookmarkStart w:id="29" w:name="_Hlk77588958"/>
    <w:bookmarkStart w:id="30" w:name="_Hlk77586117"/>
    <w:bookmarkStart w:id="31" w:name="_Hlk77586116"/>
    <w:bookmarkStart w:id="32" w:name="_Hlk77586018"/>
    <w:bookmarkStart w:id="33" w:name="_Hlk77586017"/>
    <w:bookmarkStart w:id="34" w:name="_Hlk77585747"/>
    <w:bookmarkStart w:id="35" w:name="_Hlk77585746"/>
    <w:bookmarkStart w:id="36" w:name="_Hlk77585501"/>
    <w:bookmarkStart w:id="37" w:name="_Hlk77585500"/>
    <w:bookmarkStart w:id="38" w:name="_Hlk77585140"/>
    <w:bookmarkStart w:id="39" w:name="_Hlk77585139"/>
    <w:bookmarkStart w:id="40" w:name="_Hlk77585035"/>
    <w:bookmarkStart w:id="41" w:name="_Hlk77585034"/>
    <w:bookmarkStart w:id="42" w:name="_Hlk77584677"/>
    <w:bookmarkStart w:id="43" w:name="_Hlk77584676"/>
    <w:bookmarkStart w:id="44" w:name="_Hlk77584223"/>
    <w:bookmarkStart w:id="45" w:name="_Hlk77584222"/>
    <w:bookmarkStart w:id="46" w:name="_Hlk77583898"/>
    <w:bookmarkStart w:id="47" w:name="_Hlk77583897"/>
    <w:bookmarkStart w:id="48" w:name="_Hlk77583762"/>
    <w:bookmarkStart w:id="49" w:name="_Hlk77583761"/>
    <w:bookmarkStart w:id="50" w:name="_Hlk77583497"/>
    <w:bookmarkStart w:id="51" w:name="_Hlk77583496"/>
    <w:bookmarkStart w:id="52" w:name="_Hlk77583383"/>
    <w:bookmarkStart w:id="53" w:name="_Hlk77583382"/>
    <w:bookmarkStart w:id="54" w:name="_Hlk77583290"/>
    <w:bookmarkStart w:id="55" w:name="_Hlk77583289"/>
    <w:bookmarkStart w:id="56" w:name="_Hlk77582729"/>
    <w:bookmarkStart w:id="57" w:name="_Hlk77582728"/>
    <w:bookmarkStart w:id="58" w:name="_Hlk77582327"/>
    <w:bookmarkStart w:id="59" w:name="_Hlk77582326"/>
    <w:bookmarkStart w:id="60" w:name="_Hlk77581946"/>
    <w:bookmarkStart w:id="61" w:name="_Hlk77581945"/>
    <w:bookmarkStart w:id="62" w:name="_Hlk77581766"/>
    <w:bookmarkStart w:id="63" w:name="_Hlk77581765"/>
    <w:bookmarkStart w:id="64" w:name="_Hlk77581703"/>
    <w:bookmarkStart w:id="65" w:name="_Hlk77581702"/>
    <w:bookmarkStart w:id="66" w:name="_Hlk77581465"/>
    <w:bookmarkStart w:id="67" w:name="_Hlk77581464"/>
    <w:bookmarkStart w:id="68" w:name="_Hlk77581335"/>
    <w:bookmarkStart w:id="69" w:name="_Hlk77581334"/>
    <w:bookmarkStart w:id="70" w:name="_Hlk77580313"/>
    <w:bookmarkStart w:id="71" w:name="_Hlk77580312"/>
    <w:bookmarkStart w:id="72" w:name="_Hlk77579696"/>
    <w:bookmarkStart w:id="73" w:name="_Hlk77579695"/>
    <w:bookmarkStart w:id="74" w:name="_Hlk77579540"/>
    <w:bookmarkStart w:id="75" w:name="_Hlk77579539"/>
    <w:bookmarkStart w:id="76" w:name="_Hlk77579405"/>
    <w:bookmarkStart w:id="77" w:name="_Hlk77579404"/>
    <w:bookmarkStart w:id="78" w:name="_Hlk77579289"/>
    <w:bookmarkStart w:id="79" w:name="_Hlk77579288"/>
    <w:bookmarkStart w:id="80" w:name="_Hlk77579142"/>
    <w:bookmarkStart w:id="81" w:name="_Hlk77579141"/>
    <w:bookmarkStart w:id="82" w:name="_Hlk77578977"/>
    <w:bookmarkStart w:id="83" w:name="_Hlk77578976"/>
    <w:bookmarkStart w:id="84" w:name="_Hlk77578720"/>
    <w:bookmarkStart w:id="85" w:name="_Hlk77578719"/>
    <w:bookmarkStart w:id="86" w:name="_Hlk77578557"/>
    <w:bookmarkStart w:id="87" w:name="_Hlk77578556"/>
    <w:bookmarkStart w:id="88" w:name="_Hlk77578224"/>
    <w:bookmarkStart w:id="89" w:name="_Hlk77578223"/>
    <w:bookmarkStart w:id="90" w:name="_Hlk77577688"/>
    <w:bookmarkStart w:id="91" w:name="_Hlk77577687"/>
    <w:bookmarkStart w:id="92" w:name="_Hlk77577586"/>
    <w:bookmarkStart w:id="93" w:name="_Hlk77577585"/>
    <w:bookmarkStart w:id="94" w:name="_Hlk77577264"/>
    <w:bookmarkStart w:id="95" w:name="_Hlk77577263"/>
    <w:bookmarkStart w:id="96" w:name="_Hlk77577093"/>
    <w:bookmarkStart w:id="97" w:name="_Hlk77577092"/>
    <w:bookmarkStart w:id="98" w:name="_Hlk77576697"/>
    <w:bookmarkStart w:id="99" w:name="_Hlk77576696"/>
    <w:bookmarkStart w:id="100" w:name="_Hlk77576524"/>
    <w:bookmarkStart w:id="101" w:name="_Hlk77576523"/>
    <w:bookmarkStart w:id="102" w:name="_Hlk77576214"/>
    <w:bookmarkStart w:id="103" w:name="_Hlk77576213"/>
    <w:bookmarkStart w:id="104" w:name="_Hlk77576104"/>
    <w:bookmarkStart w:id="105" w:name="_Hlk77576103"/>
    <w:bookmarkStart w:id="106" w:name="_Hlk77575748"/>
    <w:bookmarkStart w:id="107" w:name="_Hlk77575747"/>
    <w:bookmarkStart w:id="108" w:name="_Hlk77575612"/>
    <w:bookmarkStart w:id="109" w:name="_Hlk77575611"/>
    <w:bookmarkStart w:id="110" w:name="_Hlk77575566"/>
    <w:bookmarkStart w:id="111" w:name="_Hlk77575565"/>
    <w:bookmarkStart w:id="112" w:name="_Hlk77575357"/>
    <w:bookmarkStart w:id="113" w:name="_Hlk77575356"/>
    <w:bookmarkStart w:id="114" w:name="_Hlk77575251"/>
    <w:bookmarkStart w:id="115" w:name="_Hlk77575250"/>
    <w:bookmarkStart w:id="116" w:name="_Hlk77575118"/>
    <w:bookmarkStart w:id="117" w:name="_Hlk77575117"/>
    <w:bookmarkStart w:id="118" w:name="_Hlk77574946"/>
    <w:bookmarkStart w:id="119" w:name="_Hlk77574945"/>
    <w:r>
      <w:rPr>
        <w:rFonts w:cs="Book Antiqua" w:ascii="Book Antiqua" w:hAnsi="Book Antiqua"/>
        <w:b/>
        <w:bCs/>
        <w:i/>
        <w:iCs/>
        <w:color w:val="FF0000"/>
        <w:sz w:val="20"/>
        <w:szCs w:val="16"/>
      </w:rPr>
      <w:t>*Once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10942" w:type="dxa"/>
      <w:jc w:val="start"/>
      <w:tblInd w:w="-10" w:type="dxa"/>
      <w:tblLayout w:type="fixed"/>
      <w:tblCellMar>
        <w:top w:w="0" w:type="dxa"/>
        <w:start w:w="132" w:type="dxa"/>
        <w:bottom w:w="0" w:type="dxa"/>
        <w:end w:w="132" w:type="dxa"/>
      </w:tblCellMar>
    </w:tblPr>
    <w:tblGrid>
      <w:gridCol w:w="2790"/>
      <w:gridCol w:w="1800"/>
      <w:gridCol w:w="1800"/>
      <w:gridCol w:w="3292"/>
      <w:gridCol w:w="1260"/>
    </w:tblGrid>
    <w:tr>
      <w:trPr>
        <w:trHeight w:val="576" w:hRule="exact"/>
        <w:cantSplit w:val="true"/>
      </w:trPr>
      <w:tc>
        <w:tcPr>
          <w:tcW w:w="2790" w:type="dxa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jc w:val="center"/>
            <w:rPr>
              <w:b/>
              <w:sz w:val="70"/>
            </w:rPr>
          </w:pPr>
          <w:r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center"/>
        </w:tcPr>
        <w:p>
          <w:pPr>
            <w:pStyle w:val="Normal"/>
            <w:tabs>
              <w:tab w:val="clear" w:pos="720"/>
              <w:tab w:val="center" w:pos="1218" w:leader="none"/>
            </w:tabs>
            <w:jc w:val="center"/>
            <w:rPr>
              <w:rFonts w:ascii="Book Antiqua" w:hAnsi="Book Antiqua" w:cs="Book Antiqua"/>
            </w:rPr>
          </w:pPr>
          <w:r>
            <w:rPr>
              <w:rFonts w:cs="Book Antiqua" w:ascii="Book Antiqua" w:hAnsi="Book Antiqua"/>
              <w:sz w:val="28"/>
            </w:rPr>
            <w:t>HOSPITAL POLICY AND PROCEDURE MANUAL</w:t>
          </w:r>
        </w:p>
      </w:tc>
    </w:tr>
    <w:tr>
      <w:trPr>
        <w:trHeight w:val="443" w:hRule="exac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spacing w:lineRule="exact" w:line="163"/>
            <w:rPr>
              <w:rFonts w:ascii="Book Antiqua" w:hAnsi="Book Antiqua" w:cs="Book Antiqua"/>
            </w:rPr>
          </w:pPr>
          <w:r>
            <w:rPr>
              <w:rFonts w:cs="Book Antiqua" w:ascii="Book Antiqua" w:hAnsi="Book Antiqua"/>
            </w:rPr>
          </w:r>
        </w:p>
      </w:tc>
      <w:tc>
        <w:tcPr>
          <w:tcW w:w="8152" w:type="dxa"/>
          <w:gridSpan w:val="4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left" w:pos="1809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TITLE: Vending Machines, Food Services</w:t>
          </w:r>
        </w:p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</w:r>
        </w:p>
      </w:tc>
    </w:tr>
    <w:tr>
      <w:trPr>
        <w:trHeight w:val="309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8" w:space="0" w:color="000000"/>
            <w:start w:val="single" w:sz="8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ORIGINAL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10/01/1987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vMerge w:val="restart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EFFECTIVE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11/19/2021</w:t>
          </w:r>
        </w:p>
      </w:tc>
      <w:tc>
        <w:tcPr>
          <w:tcW w:w="4552" w:type="dxa"/>
          <w:gridSpan w:val="2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APPROVED BY: Quality Improvement Committee, Chief Clinical Officer, Board of Directors</w:t>
          </w:r>
        </w:p>
      </w:tc>
    </w:tr>
    <w:tr>
      <w:trPr>
        <w:trHeight w:val="318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4" w:space="0" w:color="000000"/>
            <w:start w:val="single" w:sz="8" w:space="0" w:color="000000"/>
            <w:bottom w:val="single" w:sz="8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REVISED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09/21/2021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vMerge w:val="continue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4552" w:type="dxa"/>
          <w:gridSpan w:val="2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</w:tr>
    <w:tr>
      <w:trPr>
        <w:trHeight w:val="515" w:hRule="exact"/>
        <w:cantSplit w:val="true"/>
      </w:trPr>
      <w:tc>
        <w:tcPr>
          <w:tcW w:w="279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spacing w:before="0" w:after="19"/>
            <w:rPr>
              <w:rFonts w:ascii="Arial" w:hAnsi="Arial" w:cs="Arial"/>
              <w:sz w:val="15"/>
              <w:szCs w:val="15"/>
            </w:rPr>
          </w:pPr>
          <w:r>
            <w:fldChar w:fldCharType="begin"/>
          </w:r>
          <w:r>
            <w:rPr>
              <w:sz w:val="15"/>
              <w:szCs w:val="15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5"/>
              <w:szCs w:val="15"/>
            </w:rPr>
          </w:r>
          <w:r>
            <w:rPr>
              <w:sz w:val="15"/>
              <w:szCs w:val="15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5"/>
              <w:szCs w:val="15"/>
            </w:rPr>
          </w:r>
          <w:r>
            <w:rPr>
              <w:rFonts w:cs="Arial" w:ascii="Arial" w:hAnsi="Arial"/>
              <w:sz w:val="15"/>
              <w:szCs w:val="15"/>
            </w:rPr>
          </w:r>
          <w:r>
            <w:rPr>
              <w:sz w:val="15"/>
              <w:szCs w:val="15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>POLICY NUMBER: IC – 227.0</w:t>
          </w:r>
        </w:p>
      </w:tc>
      <w:tc>
        <w:tcPr>
          <w:tcW w:w="6892" w:type="dxa"/>
          <w:gridSpan w:val="3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CHAPTER: ENTERPRISE – INFECTION CONTROL</w:t>
          </w:r>
        </w:p>
      </w:tc>
      <w:tc>
        <w:tcPr>
          <w:tcW w:w="126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PAGE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2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NUMPAGES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2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start"/>
      <w:pPr>
        <w:tabs>
          <w:tab w:val="num" w:pos="720"/>
        </w:tabs>
        <w:ind w:start="504" w:hanging="504"/>
      </w:pPr>
      <w:rPr>
        <w:b/>
      </w:rPr>
    </w:lvl>
    <w:lvl w:ilvl="1">
      <w:start w:val="1"/>
      <w:numFmt w:val="upp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3"/>
        <w:sz w:val="23"/>
        <w:i w:val="false"/>
        <w:shadow w:val="false"/>
        <w:u w:val="none"/>
        <w:b w:val="false"/>
        <w:szCs w:val="23"/>
        <w:vanish w:val="false"/>
        <w:rFonts w:ascii="Book Antiqua" w:hAnsi="Book Antiqua" w:cs="Book Antiqua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0" w:hanging="0"/>
      </w:pPr>
      <w:rPr>
        <w:sz w:val="23"/>
        <w:i w:val="false"/>
        <w:u w:val="none"/>
        <w:b w:val="false"/>
        <w:szCs w:val="23"/>
        <w:rFonts w:ascii="Book Antiqua" w:hAnsi="Book Antiqua" w:cs="Book Antiqua"/>
      </w:rPr>
    </w:lvl>
    <w:lvl w:ilvl="1">
      <w:start w:val="1"/>
      <w:numFmt w:val="lowerLetter"/>
      <w:lvlText w:val="%2."/>
      <w:lvlJc w:val="start"/>
      <w:pPr>
        <w:tabs>
          <w:tab w:val="num" w:pos="720"/>
        </w:tabs>
        <w:ind w:start="360" w:hanging="0"/>
      </w:pPr>
      <w:rPr>
        <w:sz w:val="24"/>
        <w:u w:val="none"/>
        <w:rFonts w:ascii="Arial" w:hAnsi="Arial" w:cs="Arial"/>
      </w:rPr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360" w:firstLine="360"/>
      </w:pPr>
      <w:rPr>
        <w:sz w:val="24"/>
        <w:rFonts w:ascii="Arial" w:hAnsi="Arial" w:cs="Arial"/>
      </w:rPr>
    </w:lvl>
    <w:lvl w:ilvl="3">
      <w:start w:val="1"/>
      <w:numFmt w:val="none"/>
      <w:suff w:val="nothing"/>
      <w:lvlText w:val="%4"/>
      <w:lvlJc w:val="start"/>
      <w:pPr>
        <w:tabs>
          <w:tab w:val="num" w:pos="1440"/>
        </w:tabs>
        <w:ind w:start="360" w:firstLine="720"/>
      </w:pPr>
      <w:rPr>
        <w:sz w:val="24"/>
        <w:rFonts w:ascii="Arial" w:hAnsi="Arial" w:cs="Arial"/>
      </w:rPr>
    </w:lvl>
    <w:lvl w:ilvl="4">
      <w:start w:val="1"/>
      <w:numFmt w:val="none"/>
      <w:suff w:val="nothing"/>
      <w:lvlText w:val="%5)"/>
      <w:lvlJc w:val="start"/>
      <w:pPr>
        <w:tabs>
          <w:tab w:val="num" w:pos="1800"/>
        </w:tabs>
        <w:ind w:start="1800" w:hanging="360"/>
      </w:pPr>
      <w:rPr>
        <w:sz w:val="24"/>
        <w:rFonts w:ascii="Arial" w:hAnsi="Arial" w:cs="Arial"/>
      </w:rPr>
    </w:lvl>
    <w:lvl w:ilvl="5">
      <w:start w:val="1"/>
      <w:numFmt w:val="none"/>
      <w:suff w:val="nothing"/>
      <w:lvlText w:val="Ø"/>
      <w:lvlJc w:val="start"/>
      <w:pPr>
        <w:tabs>
          <w:tab w:val="num" w:pos="0"/>
        </w:tabs>
        <w:ind w:start="2160" w:hanging="360"/>
      </w:pPr>
    </w:lvl>
    <w:lvl w:ilvl="6">
      <w:start w:val="1"/>
      <w:numFmt w:val="none"/>
      <w:suff w:val="nothing"/>
      <w:lvlText w:val="§"/>
      <w:lvlJc w:val="start"/>
      <w:pPr>
        <w:tabs>
          <w:tab w:val="num" w:pos="0"/>
        </w:tabs>
        <w:ind w:start="2520" w:hanging="360"/>
      </w:pPr>
    </w:lvl>
    <w:lvl w:ilvl="7">
      <w:start w:val="1"/>
      <w:numFmt w:val="none"/>
      <w:suff w:val="nothing"/>
      <w:lvlText w:val="·"/>
      <w:lvlJc w:val="start"/>
      <w:pPr>
        <w:tabs>
          <w:tab w:val="num" w:pos="0"/>
        </w:tabs>
        <w:ind w:start="2880" w:hanging="360"/>
      </w:pPr>
    </w:lvl>
    <w:lvl w:ilvl="8">
      <w:start w:val="1"/>
      <w:numFmt w:val="lowerRoman"/>
      <w:lvlText w:val="%9"/>
      <w:lvlJc w:val="start"/>
      <w:pPr>
        <w:tabs>
          <w:tab w:val="num" w:pos="0"/>
        </w:tabs>
        <w:ind w:start="324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360"/>
        </w:tabs>
        <w:ind w:start="0" w:hanging="0"/>
      </w:pPr>
      <w:rPr>
        <w:sz w:val="22"/>
        <w:i w:val="false"/>
        <w:u w:val="none"/>
        <w:b w:val="false"/>
        <w:rFonts w:ascii="Book Antiqua" w:hAnsi="Book Antiqua" w:cs="Book Antiqua"/>
      </w:rPr>
    </w:lvl>
    <w:lvl w:ilvl="1">
      <w:start w:val="1"/>
      <w:numFmt w:val="lowerLetter"/>
      <w:lvlText w:val="%2."/>
      <w:lvlJc w:val="start"/>
      <w:pPr>
        <w:tabs>
          <w:tab w:val="num" w:pos="720"/>
        </w:tabs>
        <w:ind w:start="360" w:hanging="0"/>
      </w:pPr>
      <w:rPr>
        <w:sz w:val="24"/>
        <w:u w:val="none"/>
        <w:rFonts w:ascii="Arial" w:hAnsi="Arial" w:cs="Arial"/>
      </w:rPr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360" w:firstLine="360"/>
      </w:pPr>
      <w:rPr>
        <w:sz w:val="24"/>
        <w:rFonts w:ascii="Arial" w:hAnsi="Arial" w:cs="Arial"/>
      </w:rPr>
    </w:lvl>
    <w:lvl w:ilvl="3">
      <w:start w:val="1"/>
      <w:numFmt w:val="none"/>
      <w:suff w:val="nothing"/>
      <w:lvlText w:val="%4"/>
      <w:lvlJc w:val="start"/>
      <w:pPr>
        <w:tabs>
          <w:tab w:val="num" w:pos="1440"/>
        </w:tabs>
        <w:ind w:start="360" w:firstLine="720"/>
      </w:pPr>
      <w:rPr>
        <w:sz w:val="24"/>
        <w:rFonts w:ascii="Arial" w:hAnsi="Arial" w:cs="Arial"/>
      </w:rPr>
    </w:lvl>
    <w:lvl w:ilvl="4">
      <w:start w:val="1"/>
      <w:numFmt w:val="none"/>
      <w:suff w:val="nothing"/>
      <w:lvlText w:val="%5)"/>
      <w:lvlJc w:val="start"/>
      <w:pPr>
        <w:tabs>
          <w:tab w:val="num" w:pos="1800"/>
        </w:tabs>
        <w:ind w:start="1800" w:hanging="360"/>
      </w:pPr>
      <w:rPr>
        <w:sz w:val="24"/>
        <w:rFonts w:ascii="Arial" w:hAnsi="Arial" w:cs="Arial"/>
      </w:rPr>
    </w:lvl>
    <w:lvl w:ilvl="5">
      <w:start w:val="1"/>
      <w:numFmt w:val="none"/>
      <w:suff w:val="nothing"/>
      <w:lvlText w:val="Ø"/>
      <w:lvlJc w:val="start"/>
      <w:pPr>
        <w:tabs>
          <w:tab w:val="num" w:pos="0"/>
        </w:tabs>
        <w:ind w:start="2160" w:hanging="360"/>
      </w:pPr>
    </w:lvl>
    <w:lvl w:ilvl="6">
      <w:start w:val="1"/>
      <w:numFmt w:val="none"/>
      <w:suff w:val="nothing"/>
      <w:lvlText w:val="§"/>
      <w:lvlJc w:val="start"/>
      <w:pPr>
        <w:tabs>
          <w:tab w:val="num" w:pos="0"/>
        </w:tabs>
        <w:ind w:start="2520" w:hanging="360"/>
      </w:pPr>
    </w:lvl>
    <w:lvl w:ilvl="7">
      <w:start w:val="1"/>
      <w:numFmt w:val="none"/>
      <w:suff w:val="nothing"/>
      <w:lvlText w:val="·"/>
      <w:lvlJc w:val="start"/>
      <w:pPr>
        <w:tabs>
          <w:tab w:val="num" w:pos="0"/>
        </w:tabs>
        <w:ind w:start="2880" w:hanging="360"/>
      </w:pPr>
    </w:lvl>
    <w:lvl w:ilvl="8">
      <w:start w:val="1"/>
      <w:numFmt w:val="lowerRoman"/>
      <w:lvlText w:val="%9"/>
      <w:lvlJc w:val="start"/>
      <w:pPr>
        <w:tabs>
          <w:tab w:val="num" w:pos="0"/>
        </w:tabs>
        <w:ind w:start="3240" w:hanging="360"/>
      </w:pPr>
    </w:lvl>
  </w:abstractNum>
  <w:abstractNum w:abstractNumId="6">
    <w:lvl w:ilvl="0">
      <w:start w:val="1"/>
      <w:numFmt w:val="upperLetter"/>
      <w:lvlText w:val="%1"/>
      <w:lvlJc w:val="start"/>
      <w:pPr>
        <w:tabs>
          <w:tab w:val="num" w:pos="432"/>
        </w:tabs>
        <w:ind w:start="432" w:hanging="432"/>
      </w:pPr>
      <w:rPr>
        <w:sz w:val="24"/>
        <w:i w:val="false"/>
        <w:b w:val="false"/>
        <w:rFonts w:ascii="Arial" w:hAnsi="Arial" w:cs="Arial"/>
      </w:rPr>
    </w:lvl>
    <w:lvl w:ilvl="1">
      <w:start w:val="1"/>
      <w:numFmt w:val="decimal"/>
      <w:lvlText w:val="%2."/>
      <w:lvlJc w:val="start"/>
      <w:pPr>
        <w:tabs>
          <w:tab w:val="num" w:pos="360"/>
        </w:tabs>
        <w:ind w:start="360" w:hanging="360"/>
      </w:pPr>
      <w:rPr>
        <w:sz w:val="24"/>
        <w:i w:val="false"/>
        <w:b w:val="false"/>
        <w:rFonts w:ascii="Arial" w:hAnsi="Arial" w:cs="Arial"/>
      </w:rPr>
    </w:lvl>
    <w:lvl w:ilvl="2">
      <w:start w:val="4"/>
      <w:numFmt w:val="lowerLetter"/>
      <w:lvlText w:val="%3."/>
      <w:lvlJc w:val="start"/>
      <w:pPr>
        <w:tabs>
          <w:tab w:val="num" w:pos="720"/>
        </w:tabs>
        <w:ind w:start="360" w:hanging="0"/>
      </w:pPr>
      <w:rPr>
        <w:sz w:val="24"/>
        <w:i w:val="false"/>
        <w:b w:val="false"/>
        <w:rFonts w:ascii="Arial" w:hAnsi="Arial" w:cs="Arial"/>
      </w:rPr>
    </w:lvl>
    <w:lvl w:ilvl="3">
      <w:start w:val="1"/>
      <w:numFmt w:val="lowerRoman"/>
      <w:lvlText w:val="%4."/>
      <w:lvlJc w:val="start"/>
      <w:pPr>
        <w:tabs>
          <w:tab w:val="num" w:pos="720"/>
        </w:tabs>
        <w:ind w:start="360" w:hanging="360"/>
      </w:pPr>
      <w:rPr>
        <w:sz w:val="24"/>
        <w:rFonts w:ascii="Arial" w:hAnsi="Arial" w:cs="Arial"/>
      </w:rPr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/>
    </w:lvl>
  </w:abstractNum>
  <w:abstractNum w:abstractNumId="8">
    <w:lvl w:ilvl="0">
      <w:start w:val="1"/>
      <w:numFmt w:val="upperLetter"/>
      <w:lvlText w:val="%1"/>
      <w:lvlJc w:val="start"/>
      <w:pPr>
        <w:tabs>
          <w:tab w:val="num" w:pos="432"/>
        </w:tabs>
        <w:ind w:start="432" w:hanging="432"/>
      </w:pPr>
      <w:rPr>
        <w:sz w:val="24"/>
        <w:i w:val="false"/>
        <w:b w:val="false"/>
        <w:rFonts w:ascii="Arial" w:hAnsi="Arial" w:cs="Arial"/>
      </w:rPr>
    </w:lvl>
    <w:lvl w:ilvl="1">
      <w:start w:val="1"/>
      <w:numFmt w:val="decimal"/>
      <w:lvlText w:val="%2."/>
      <w:lvlJc w:val="start"/>
      <w:pPr>
        <w:tabs>
          <w:tab w:val="num" w:pos="360"/>
        </w:tabs>
        <w:ind w:start="360" w:hanging="360"/>
      </w:pPr>
      <w:rPr>
        <w:sz w:val="23"/>
        <w:i w:val="false"/>
        <w:b w:val="false"/>
        <w:szCs w:val="23"/>
        <w:rFonts w:ascii="Book Antiqua" w:hAnsi="Book Antiqua" w:cs="Book Antiqua"/>
      </w:rPr>
    </w:lvl>
    <w:lvl w:ilvl="2">
      <w:start w:val="1"/>
      <w:numFmt w:val="lowerLetter"/>
      <w:lvlText w:val="%3."/>
      <w:lvlJc w:val="start"/>
      <w:pPr>
        <w:tabs>
          <w:tab w:val="num" w:pos="720"/>
        </w:tabs>
        <w:ind w:start="360" w:hanging="0"/>
      </w:pPr>
    </w:lvl>
    <w:lvl w:ilvl="3">
      <w:start w:val="1"/>
      <w:numFmt w:val="lowerRoman"/>
      <w:lvlText w:val="%4."/>
      <w:lvlJc w:val="start"/>
      <w:pPr>
        <w:tabs>
          <w:tab w:val="num" w:pos="720"/>
        </w:tabs>
        <w:ind w:start="360" w:hanging="360"/>
      </w:pPr>
      <w:rPr>
        <w:sz w:val="24"/>
        <w:rFonts w:ascii="Arial" w:hAnsi="Arial" w:cs="Arial"/>
      </w:rPr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abstractNum w:abstractNumId="9">
    <w:lvl w:ilvl="0">
      <w:start w:val="1"/>
      <w:numFmt w:val="upperLetter"/>
      <w:lvlText w:val="%1"/>
      <w:lvlJc w:val="start"/>
      <w:pPr>
        <w:tabs>
          <w:tab w:val="num" w:pos="432"/>
        </w:tabs>
        <w:ind w:start="432" w:hanging="432"/>
      </w:pPr>
      <w:rPr>
        <w:sz w:val="24"/>
        <w:i w:val="false"/>
        <w:b w:val="false"/>
        <w:rFonts w:ascii="Arial" w:hAnsi="Arial" w:cs="Arial"/>
      </w:rPr>
    </w:lvl>
    <w:lvl w:ilvl="1">
      <w:start w:val="1"/>
      <w:numFmt w:val="decimal"/>
      <w:lvlText w:val="%2."/>
      <w:lvlJc w:val="start"/>
      <w:pPr>
        <w:tabs>
          <w:tab w:val="num" w:pos="360"/>
        </w:tabs>
        <w:ind w:start="360" w:hanging="360"/>
      </w:pPr>
      <w:rPr>
        <w:sz w:val="23"/>
        <w:i w:val="false"/>
        <w:b w:val="false"/>
        <w:szCs w:val="23"/>
        <w:rFonts w:ascii="Book Antiqua" w:hAnsi="Book Antiqua" w:cs="Book Antiqua"/>
      </w:rPr>
    </w:lvl>
    <w:lvl w:ilvl="2">
      <w:start w:val="1"/>
      <w:numFmt w:val="lowerLetter"/>
      <w:lvlText w:val="%3."/>
      <w:lvlJc w:val="start"/>
      <w:pPr>
        <w:tabs>
          <w:tab w:val="num" w:pos="720"/>
        </w:tabs>
        <w:ind w:start="360" w:hanging="0"/>
      </w:pPr>
    </w:lvl>
    <w:lvl w:ilvl="3">
      <w:start w:val="1"/>
      <w:numFmt w:val="lowerRoman"/>
      <w:lvlText w:val="%4."/>
      <w:lvlJc w:val="start"/>
      <w:pPr>
        <w:tabs>
          <w:tab w:val="num" w:pos="720"/>
        </w:tabs>
        <w:ind w:start="360" w:hanging="360"/>
      </w:pPr>
      <w:rPr>
        <w:sz w:val="24"/>
        <w:rFonts w:ascii="Arial" w:hAnsi="Arial" w:cs="Arial"/>
      </w:rPr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styleId="WW8Num1z0">
    <w:name w:val="WW8Num1z0"/>
    <w:qFormat/>
    <w:rPr>
      <w:rFonts w:ascii="Book Antiqua" w:hAnsi="Book Antiqua" w:cs="Book Antiqua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position w:val="0"/>
      <w:sz w:val="23"/>
      <w:sz w:val="23"/>
      <w:szCs w:val="23"/>
      <w:u w:val="none"/>
      <w:vertAlign w:val="baseline"/>
    </w:rPr>
  </w:style>
  <w:style w:type="character" w:styleId="WW8Num2z0">
    <w:name w:val="WW8Num2z0"/>
    <w:qFormat/>
    <w:rPr>
      <w:sz w:val="24"/>
    </w:rPr>
  </w:style>
  <w:style w:type="character" w:styleId="WW8Num3z0">
    <w:name w:val="WW8Num3z0"/>
    <w:qFormat/>
    <w:rPr>
      <w:b/>
    </w:rPr>
  </w:style>
  <w:style w:type="character" w:styleId="WW8Num3z1">
    <w:name w:val="WW8Num3z1"/>
    <w:qFormat/>
    <w:rPr/>
  </w:style>
  <w:style w:type="character" w:styleId="WW8Num4z0">
    <w:name w:val="WW8Num4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Book Antiqua" w:hAnsi="Book Antiqua" w:cs="Book Antiqua"/>
      <w:b w:val="false"/>
      <w:i w:val="false"/>
      <w:sz w:val="23"/>
      <w:szCs w:val="23"/>
      <w:u w:val="none"/>
    </w:rPr>
  </w:style>
  <w:style w:type="character" w:styleId="WW8Num7z1">
    <w:name w:val="WW8Num7z1"/>
    <w:qFormat/>
    <w:rPr>
      <w:rFonts w:ascii="Arial" w:hAnsi="Arial" w:cs="Arial"/>
      <w:sz w:val="24"/>
      <w:u w:val="none"/>
    </w:rPr>
  </w:style>
  <w:style w:type="character" w:styleId="WW8Num7z2">
    <w:name w:val="WW8Num7z2"/>
    <w:qFormat/>
    <w:rPr>
      <w:rFonts w:ascii="Arial" w:hAnsi="Arial" w:cs="Arial"/>
      <w:sz w:val="24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1z0">
    <w:name w:val="WW8Num11z0"/>
    <w:qFormat/>
    <w:rPr>
      <w:rFonts w:ascii="Book Antiqua" w:hAnsi="Book Antiqua" w:cs="Book Antiqua"/>
      <w:b w:val="false"/>
      <w:i w:val="false"/>
      <w:sz w:val="22"/>
      <w:u w:val="none"/>
    </w:rPr>
  </w:style>
  <w:style w:type="character" w:styleId="WW8Num11z1">
    <w:name w:val="WW8Num11z1"/>
    <w:qFormat/>
    <w:rPr>
      <w:rFonts w:ascii="Arial" w:hAnsi="Arial" w:cs="Arial"/>
      <w:sz w:val="24"/>
      <w:u w:val="none"/>
    </w:rPr>
  </w:style>
  <w:style w:type="character" w:styleId="WW8Num11z2">
    <w:name w:val="WW8Num11z2"/>
    <w:qFormat/>
    <w:rPr>
      <w:rFonts w:ascii="Arial" w:hAnsi="Arial" w:cs="Arial"/>
      <w:sz w:val="24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2">
    <w:name w:val="WW8Num13z2"/>
    <w:qFormat/>
    <w:rPr/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3z5">
    <w:name w:val="WW8Num13z5"/>
    <w:qFormat/>
    <w:rPr>
      <w:rFonts w:ascii="Wingdings" w:hAnsi="Wingdings" w:cs="Wingdings"/>
    </w:rPr>
  </w:style>
  <w:style w:type="character" w:styleId="WW8Num14z0">
    <w:name w:val="WW8Num14z0"/>
    <w:qFormat/>
    <w:rPr>
      <w:rFonts w:ascii="Arial" w:hAnsi="Arial" w:cs="Arial"/>
      <w:b w:val="false"/>
      <w:i w:val="false"/>
      <w:sz w:val="24"/>
    </w:rPr>
  </w:style>
  <w:style w:type="character" w:styleId="WW8Num14z3">
    <w:name w:val="WW8Num14z3"/>
    <w:qFormat/>
    <w:rPr>
      <w:rFonts w:ascii="Arial" w:hAnsi="Arial" w:cs="Arial"/>
      <w:sz w:val="24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sz w:val="24"/>
    </w:rPr>
  </w:style>
  <w:style w:type="character" w:styleId="WW8Num18z0">
    <w:name w:val="WW8Num18z0"/>
    <w:qFormat/>
    <w:rPr>
      <w:rFonts w:ascii="Arial" w:hAnsi="Arial" w:cs="Arial"/>
      <w:b w:val="false"/>
      <w:i w:val="false"/>
      <w:sz w:val="24"/>
    </w:rPr>
  </w:style>
  <w:style w:type="character" w:styleId="WW8Num18z1">
    <w:name w:val="WW8Num18z1"/>
    <w:qFormat/>
    <w:rPr>
      <w:rFonts w:ascii="Book Antiqua" w:hAnsi="Book Antiqua" w:cs="Book Antiqua"/>
      <w:b w:val="false"/>
      <w:i w:val="false"/>
      <w:sz w:val="23"/>
      <w:szCs w:val="23"/>
    </w:rPr>
  </w:style>
  <w:style w:type="character" w:styleId="WW8Num18z3">
    <w:name w:val="WW8Num18z3"/>
    <w:qFormat/>
    <w:rPr>
      <w:rFonts w:ascii="Arial" w:hAnsi="Arial" w:cs="Arial"/>
      <w:sz w:val="24"/>
    </w:rPr>
  </w:style>
  <w:style w:type="character" w:styleId="WW8Num19z0">
    <w:name w:val="WW8Num19z0"/>
    <w:qFormat/>
    <w:rPr/>
  </w:style>
  <w:style w:type="character" w:styleId="WW8Num20z0">
    <w:name w:val="WW8Num20z0"/>
    <w:qFormat/>
    <w:rPr>
      <w:rFonts w:ascii="Arial" w:hAnsi="Arial" w:cs="Arial"/>
      <w:b w:val="false"/>
      <w:i w:val="false"/>
      <w:sz w:val="24"/>
    </w:rPr>
  </w:style>
  <w:style w:type="character" w:styleId="WW8Num20z1">
    <w:name w:val="WW8Num20z1"/>
    <w:qFormat/>
    <w:rPr>
      <w:rFonts w:ascii="Book Antiqua" w:hAnsi="Book Antiqua" w:cs="Book Antiqua"/>
      <w:b w:val="false"/>
      <w:i w:val="false"/>
      <w:sz w:val="23"/>
      <w:szCs w:val="23"/>
    </w:rPr>
  </w:style>
  <w:style w:type="character" w:styleId="WW8Num20z3">
    <w:name w:val="WW8Num20z3"/>
    <w:qFormat/>
    <w:rPr>
      <w:rFonts w:ascii="Arial" w:hAnsi="Arial" w:cs="Arial"/>
      <w:sz w:val="24"/>
    </w:rPr>
  </w:style>
  <w:style w:type="character" w:styleId="WW8Num21z0">
    <w:name w:val="WW8Num21z0"/>
    <w:qFormat/>
    <w:rPr/>
  </w:style>
  <w:style w:type="character" w:styleId="WW8Num22z0">
    <w:name w:val="WW8Num22z0"/>
    <w:qFormat/>
    <w:rPr>
      <w:b/>
    </w:rPr>
  </w:style>
  <w:style w:type="character" w:styleId="WW8Num23z0">
    <w:name w:val="WW8Num23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sz w:val="24"/>
    </w:rPr>
  </w:style>
  <w:style w:type="character" w:styleId="BodyTextIndent3Char">
    <w:name w:val="Body Text Indent 3 Char"/>
    <w:qFormat/>
    <w:rPr>
      <w:sz w:val="16"/>
      <w:szCs w:val="16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/>
  </w:style>
  <w:style w:type="character" w:styleId="CommentSubjectChar">
    <w:name w:val="Comment Subject Char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ind w:hanging="0" w:start="504" w:end="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qFormat/>
    <w:pPr>
      <w:spacing w:before="0" w:after="120"/>
      <w:ind w:hanging="0" w:start="360" w:end="0"/>
    </w:pPr>
    <w:rPr>
      <w:sz w:val="16"/>
      <w:szCs w:val="16"/>
    </w:rPr>
  </w:style>
  <w:style w:type="paragraph" w:styleId="ListParagraph">
    <w:name w:val="List Paragraph"/>
    <w:basedOn w:val="Normal"/>
    <w:qFormat/>
    <w:pPr>
      <w:ind w:hanging="0" w:start="720" w:end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cure.compliance360.com/ext/WNNm9kFifPefbqe0Im3aZQ==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2021-08-16T10:13:00Z</dcterms:created>
  <dc:creator>Ngo, Catherine</dc:creator>
  <dc:description/>
  <cp:keywords/>
  <dc:language>en-US</dc:language>
  <cp:lastModifiedBy>Huynh, Fuong</cp:lastModifiedBy>
  <cp:lastPrinted>2018-02-12T14:38:00Z</cp:lastPrinted>
  <dcterms:modified xsi:type="dcterms:W3CDTF">2021-11-19T15:21:00Z</dcterms:modified>
  <cp:revision>4</cp:revision>
  <dc:subject/>
  <dc:title>IC - 227 Vending Machines, Food Services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0x0101006C9026AA7E1D8E4AB136F06A7E44567D</vt:lpwstr>
  </property>
  <property fmtid="{D5CDD505-2E9C-101B-9397-08002B2CF9AE}" pid="3" name="_dlc_DocId">
    <vt:lpwstr>N6ARCRRY53XU-1042-170</vt:lpwstr>
  </property>
  <property fmtid="{D5CDD505-2E9C-101B-9397-08002B2CF9AE}" pid="4" name="_dlc_DocIdItemGuid">
    <vt:lpwstr>e7c2f73d-d735-4891-a7e8-32490bfa7eaa</vt:lpwstr>
  </property>
  <property fmtid="{D5CDD505-2E9C-101B-9397-08002B2CF9AE}" pid="5" name="_dlc_DocIdUrl">
    <vt:lpwstr>http://departments/DocumentsLibrary/policyandprocedure/_layouts/DocIdRedir.aspx?ID=N6ARCRRY53XU-1042-170, N6ARCRRY53XU-1042-170</vt:lpwstr>
  </property>
</Properties>
</file>