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970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3230"/>
        <w:gridCol w:w="2700"/>
        <w:gridCol w:w="5040"/>
      </w:tblGrid>
      <w:tr>
        <w:trPr>
          <w:trHeight w:val="144" w:hRule="atLeast"/>
        </w:trPr>
        <w:tc>
          <w:tcPr>
            <w:tcW w:w="10970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FF2CC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 – 301.5: De-Isolation Sheet – Appendix G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FF2C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Disease/Organism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FF2C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Isolation Type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FF2C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Discontinuing Isolations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COVID-19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Combined-Eyewear / Combined-Eyewear A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refer to most up-to-date De-isolation reference guide for COVID-19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Respiratory (Viral)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Combined-Droplet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days after positive test if asymptomatic or until patient returns to baseline (whichever is longer)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MRSA/VRE/MDRO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negative cultures (taken from nares or site of infection) once patient is off therapeutic dosing of abx directed against organism for at least 1 week. Cultures must be taken 1 week apart.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organism is positive from a sterile body site, blood, wound that has since resolved or site no longer accessible (decannulated trach, extubated) patient can be de-isolated once they have been off antibiotics for 7 days and do not require a negative culture.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MRSA Colonized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 of MRSA positive result from the nares with no active infectious symptoms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CRE/CRO (Blood, Skin, Wound)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Patients are placed on isolation indefinitely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CRE/CRO (Respiratory)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Combined-Droplet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Patients are placed on isolation indefinitely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B. </w:t>
            </w:r>
            <w:r>
              <w:rPr>
                <w:b/>
                <w:i/>
                <w:iCs/>
                <w:sz w:val="20"/>
                <w:szCs w:val="20"/>
              </w:rPr>
              <w:t>cepacia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negative culture once patient is off abx for at least 1 week.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*CF patients are on isolation indefinitely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Scabies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hours after therapy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Lice (head)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has been treated with effective therapy and hair has been thoroughly examined for 7 days and there is no evidence of live lice and nits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Cellulitis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 of illness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C. diff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+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40"/>
              <w:ind w:hanging="360" w:start="360" w:end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 hours after diarrhea resolves unless the below is true.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40"/>
              <w:ind w:hanging="360" w:start="360" w:end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Oncology/BMT patients, isolation for the duration of positive culture admission.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40"/>
              <w:ind w:hanging="360" w:start="360" w:end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BMT patients with a history of C. diff, they should be isolated on subsequent admissions for transplant.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Norovirus (diarrhea) 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+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 hours after diarrhea resolves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Norovirus (vomiting or vomiting and diarrhea)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Combined-Droplet +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 hours after vomiting and/or diarrhea resolved</w:t>
            </w:r>
          </w:p>
        </w:tc>
      </w:tr>
      <w:tr>
        <w:trPr>
          <w:trHeight w:val="1158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Rubella (congenital)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Until 1 year old. 2 negative cultures after 3 months. Negative cultures should be done 1 month apart</w:t>
            </w:r>
          </w:p>
        </w:tc>
      </w:tr>
      <w:tr>
        <w:trPr>
          <w:trHeight w:val="1140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Herpes Zoster (shingles)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Localized disease in </w:t>
            </w:r>
            <w:r>
              <w:rPr>
                <w:b/>
                <w:color w:val="FF0000"/>
                <w:sz w:val="20"/>
                <w:szCs w:val="20"/>
              </w:rPr>
              <w:t>immunocompromised</w:t>
            </w:r>
            <w:r>
              <w:rPr>
                <w:b/>
                <w:sz w:val="20"/>
                <w:szCs w:val="20"/>
              </w:rPr>
              <w:t xml:space="preserve"> patient until disseminated infection ruled out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Combined-Airborne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Until all lesions are crusted over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Herpes Zoster (shingles)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Localized in </w:t>
            </w:r>
            <w:r>
              <w:rPr>
                <w:b/>
                <w:color w:val="FF0000"/>
                <w:sz w:val="20"/>
                <w:szCs w:val="20"/>
              </w:rPr>
              <w:t>immunocompetent</w:t>
            </w:r>
            <w:r>
              <w:rPr>
                <w:b/>
                <w:sz w:val="20"/>
                <w:szCs w:val="20"/>
              </w:rPr>
              <w:t xml:space="preserve"> patient) with lesions that can be contained/covered 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Varicella Zoster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Combined-Airborne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Until all lesions are crusted over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Measles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Combined-Airborne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days after onset of rash. If patients are immune compromised, isolation for duration of illness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TB (known/suspect)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Combined-Airborne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ind w:hanging="360" w:start="360" w:end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Known MTB positive</w:t>
            </w:r>
            <w:r>
              <w:rPr>
                <w:sz w:val="20"/>
                <w:szCs w:val="20"/>
              </w:rPr>
              <w:t xml:space="preserve"> - completion of appropriate MTB therapy and 2 negative MTB PCRs (respiratory or gastric aspirate specimens) eight hours apart, and a plausible alternative diagnosis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ind w:hanging="360" w:start="360" w:end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 suspicion for MTB</w:t>
            </w:r>
            <w:r>
              <w:rPr>
                <w:sz w:val="20"/>
                <w:szCs w:val="20"/>
              </w:rPr>
              <w:t xml:space="preserve"> - 2 negative MTB PCRs (respiratory or gastric aspirate specimens) eight hours apart, and a plausible alternative diagnosis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/>
              <w:ind w:hanging="360" w:start="360" w:end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Low suspicion for MTB</w:t>
            </w:r>
            <w:r>
              <w:rPr>
                <w:sz w:val="20"/>
                <w:szCs w:val="20"/>
              </w:rPr>
              <w:t xml:space="preserve"> - 1 negative MTB PCR (respiratory or gastric aspirate specimen) , and a plausible alternative diagnosis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Mumps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Combined-Droplet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days after onset of swelling.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Pertussis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Combined-Droplet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5 days of abx, or 21 days after onset if no abx given</w:t>
            </w:r>
          </w:p>
        </w:tc>
      </w:tr>
      <w:tr>
        <w:trPr>
          <w:trHeight w:val="144" w:hRule="atLeast"/>
        </w:trPr>
        <w:tc>
          <w:tcPr>
            <w:tcW w:w="10970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Viral Pneumonia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Viral (RVPCR negative)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Precaution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pBdr/>
              <w:snapToGrid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Viral (RVPCR positive for one or more respiratory viruses)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Combined-Droplet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days after positive test and/or when symptoms resolve</w:t>
            </w:r>
          </w:p>
        </w:tc>
      </w:tr>
      <w:tr>
        <w:trPr>
          <w:trHeight w:val="213" w:hRule="atLeast"/>
        </w:trPr>
        <w:tc>
          <w:tcPr>
            <w:tcW w:w="10970" w:type="dxa"/>
            <w:gridSpan w:val="3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Bacterial Pneumonia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Bacterial, other than those listed above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Combined-Droplet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hours after initiation of effective abx. 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MRSA and Multi-drug resistant gram negatives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Combined-Droplet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MDRO de-isolation policy 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Mycoplasma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Combined-Droplet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 of symptoms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Group A Streptococcus 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or Combined-Droplet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hours after initiation of effective abx. 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Streptococcus pneumoniae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Standard 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N/A 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Bacterial or fungal species identified other that those listed above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F4CCCC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Bronchitis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Combined-Droplet</w:t>
            </w:r>
          </w:p>
          <w:p>
            <w:pPr>
              <w:pStyle w:val="Normal"/>
              <w:widowControl w:val="false"/>
              <w:spacing w:lineRule="auto" w:line="24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24 hours after initiation of effective abx. 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Epiglottitis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Combined-Droplet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hours after initiation of effective abx.</w:t>
            </w:r>
          </w:p>
        </w:tc>
      </w:tr>
      <w:tr>
        <w:trPr>
          <w:trHeight w:val="144" w:hRule="atLeast"/>
        </w:trPr>
        <w:tc>
          <w:tcPr>
            <w:tcW w:w="323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Meninges (Bacterial)</w:t>
            </w:r>
          </w:p>
        </w:tc>
        <w:tc>
          <w:tcPr>
            <w:tcW w:w="27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Combined-Droplet</w:t>
            </w:r>
          </w:p>
        </w:tc>
        <w:tc>
          <w:tcPr>
            <w:tcW w:w="504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pBdr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hours after initiation of effective abx.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footerReference w:type="default" r:id="rId2"/>
      <w:type w:val="nextPage"/>
      <w:pgSz w:w="12240" w:h="15840"/>
      <w:pgMar w:left="720" w:right="720" w:gutter="0" w:header="0" w:top="360" w:footer="720" w:bottom="776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Book Antiqua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720" w:end="0"/>
      <w:jc w:val="center"/>
      <w:rPr>
        <w:rFonts w:ascii="Book Antiqua" w:hAnsi="Book Antiqua" w:cs="Book Antiqua"/>
        <w:i/>
        <w:i/>
        <w:iCs/>
        <w:color w:val="FF0000"/>
        <w:sz w:val="18"/>
        <w:szCs w:val="16"/>
      </w:rPr>
    </w:pPr>
    <w:bookmarkStart w:id="0" w:name="_Hlk77594431"/>
    <w:bookmarkStart w:id="1" w:name="_Hlk77594430"/>
    <w:bookmarkStart w:id="2" w:name="_Hlk77594308"/>
    <w:bookmarkStart w:id="3" w:name="_Hlk77594307"/>
    <w:bookmarkStart w:id="4" w:name="_Hlk77593782"/>
    <w:bookmarkStart w:id="5" w:name="_Hlk77593781"/>
    <w:bookmarkStart w:id="6" w:name="_Hlk77593443"/>
    <w:bookmarkStart w:id="7" w:name="_Hlk77593442"/>
    <w:bookmarkStart w:id="8" w:name="_Hlk77590648"/>
    <w:bookmarkStart w:id="9" w:name="_Hlk77590647"/>
    <w:bookmarkStart w:id="10" w:name="_Hlk77590545"/>
    <w:bookmarkStart w:id="11" w:name="_Hlk77590544"/>
    <w:bookmarkStart w:id="12" w:name="_Hlk77590430"/>
    <w:bookmarkStart w:id="13" w:name="_Hlk77590429"/>
    <w:bookmarkStart w:id="14" w:name="_Hlk77590090"/>
    <w:bookmarkStart w:id="15" w:name="_Hlk77590089"/>
    <w:bookmarkStart w:id="16" w:name="_Hlk77589983"/>
    <w:bookmarkStart w:id="17" w:name="_Hlk77589982"/>
    <w:bookmarkStart w:id="18" w:name="_Hlk77589902"/>
    <w:bookmarkStart w:id="19" w:name="_Hlk77589901"/>
    <w:bookmarkStart w:id="20" w:name="_Hlk77589577"/>
    <w:bookmarkStart w:id="21" w:name="_Hlk77589576"/>
    <w:bookmarkStart w:id="22" w:name="_Hlk77589463"/>
    <w:bookmarkStart w:id="23" w:name="_Hlk77589462"/>
    <w:bookmarkStart w:id="24" w:name="_Hlk77589364"/>
    <w:bookmarkStart w:id="25" w:name="_Hlk77589363"/>
    <w:bookmarkStart w:id="26" w:name="_Hlk77589162"/>
    <w:bookmarkStart w:id="27" w:name="_Hlk77589161"/>
    <w:bookmarkStart w:id="28" w:name="_Hlk77588959"/>
    <w:bookmarkStart w:id="29" w:name="_Hlk77588958"/>
    <w:bookmarkStart w:id="30" w:name="_Hlk77586117"/>
    <w:bookmarkStart w:id="31" w:name="_Hlk77586116"/>
    <w:bookmarkStart w:id="32" w:name="_Hlk77586018"/>
    <w:bookmarkStart w:id="33" w:name="_Hlk77586017"/>
    <w:bookmarkStart w:id="34" w:name="_Hlk77585747"/>
    <w:bookmarkStart w:id="35" w:name="_Hlk77585746"/>
    <w:bookmarkStart w:id="36" w:name="_Hlk77585501"/>
    <w:bookmarkStart w:id="37" w:name="_Hlk77585500"/>
    <w:bookmarkStart w:id="38" w:name="_Hlk77585140"/>
    <w:bookmarkStart w:id="39" w:name="_Hlk77585139"/>
    <w:bookmarkStart w:id="40" w:name="_Hlk77585035"/>
    <w:bookmarkStart w:id="41" w:name="_Hlk77585034"/>
    <w:bookmarkStart w:id="42" w:name="_Hlk77584677"/>
    <w:bookmarkStart w:id="43" w:name="_Hlk77584676"/>
    <w:bookmarkStart w:id="44" w:name="_Hlk77584223"/>
    <w:bookmarkStart w:id="45" w:name="_Hlk77584222"/>
    <w:bookmarkStart w:id="46" w:name="_Hlk77583898"/>
    <w:bookmarkStart w:id="47" w:name="_Hlk77583897"/>
    <w:bookmarkStart w:id="48" w:name="_Hlk77583762"/>
    <w:bookmarkStart w:id="49" w:name="_Hlk77583761"/>
    <w:bookmarkStart w:id="50" w:name="_Hlk77583497"/>
    <w:bookmarkStart w:id="51" w:name="_Hlk77583496"/>
    <w:bookmarkStart w:id="52" w:name="_Hlk77583383"/>
    <w:bookmarkStart w:id="53" w:name="_Hlk77583382"/>
    <w:bookmarkStart w:id="54" w:name="_Hlk77583290"/>
    <w:bookmarkStart w:id="55" w:name="_Hlk77583289"/>
    <w:bookmarkStart w:id="56" w:name="_Hlk77582729"/>
    <w:bookmarkStart w:id="57" w:name="_Hlk77582728"/>
    <w:bookmarkStart w:id="58" w:name="_Hlk77582327"/>
    <w:bookmarkStart w:id="59" w:name="_Hlk77582326"/>
    <w:bookmarkStart w:id="60" w:name="_Hlk77581946"/>
    <w:bookmarkStart w:id="61" w:name="_Hlk77581945"/>
    <w:bookmarkStart w:id="62" w:name="_Hlk77581766"/>
    <w:bookmarkStart w:id="63" w:name="_Hlk77581765"/>
    <w:bookmarkStart w:id="64" w:name="_Hlk77581703"/>
    <w:bookmarkStart w:id="65" w:name="_Hlk77581702"/>
    <w:bookmarkStart w:id="66" w:name="_Hlk77581465"/>
    <w:bookmarkStart w:id="67" w:name="_Hlk77581464"/>
    <w:bookmarkStart w:id="68" w:name="_Hlk77581335"/>
    <w:bookmarkStart w:id="69" w:name="_Hlk77581334"/>
    <w:bookmarkStart w:id="70" w:name="_Hlk77580313"/>
    <w:bookmarkStart w:id="71" w:name="_Hlk77580312"/>
    <w:bookmarkStart w:id="72" w:name="_Hlk77579696"/>
    <w:bookmarkStart w:id="73" w:name="_Hlk77579695"/>
    <w:bookmarkStart w:id="74" w:name="_Hlk77579540"/>
    <w:bookmarkStart w:id="75" w:name="_Hlk77579539"/>
    <w:bookmarkStart w:id="76" w:name="_Hlk77579405"/>
    <w:bookmarkStart w:id="77" w:name="_Hlk77579404"/>
    <w:bookmarkStart w:id="78" w:name="_Hlk77579289"/>
    <w:bookmarkStart w:id="79" w:name="_Hlk77579288"/>
    <w:bookmarkStart w:id="80" w:name="_Hlk77579142"/>
    <w:bookmarkStart w:id="81" w:name="_Hlk77579141"/>
    <w:bookmarkStart w:id="82" w:name="_Hlk77578977"/>
    <w:bookmarkStart w:id="83" w:name="_Hlk77578976"/>
    <w:bookmarkStart w:id="84" w:name="_Hlk77578720"/>
    <w:bookmarkStart w:id="85" w:name="_Hlk77578719"/>
    <w:bookmarkStart w:id="86" w:name="_Hlk77578557"/>
    <w:bookmarkStart w:id="87" w:name="_Hlk77578556"/>
    <w:bookmarkStart w:id="88" w:name="_Hlk77578224"/>
    <w:bookmarkStart w:id="89" w:name="_Hlk77578223"/>
    <w:bookmarkStart w:id="90" w:name="_Hlk77577688"/>
    <w:bookmarkStart w:id="91" w:name="_Hlk77577687"/>
    <w:bookmarkStart w:id="92" w:name="_Hlk77577586"/>
    <w:bookmarkStart w:id="93" w:name="_Hlk77577585"/>
    <w:bookmarkStart w:id="94" w:name="_Hlk77577264"/>
    <w:bookmarkStart w:id="95" w:name="_Hlk77577263"/>
    <w:bookmarkStart w:id="96" w:name="_Hlk77577093"/>
    <w:bookmarkStart w:id="97" w:name="_Hlk77577092"/>
    <w:bookmarkStart w:id="98" w:name="_Hlk77576697"/>
    <w:bookmarkStart w:id="99" w:name="_Hlk77576696"/>
    <w:bookmarkStart w:id="100" w:name="_Hlk77576524"/>
    <w:bookmarkStart w:id="101" w:name="_Hlk77576523"/>
    <w:bookmarkStart w:id="102" w:name="_Hlk77576214"/>
    <w:bookmarkStart w:id="103" w:name="_Hlk77576213"/>
    <w:bookmarkStart w:id="104" w:name="_Hlk77576104"/>
    <w:bookmarkStart w:id="105" w:name="_Hlk77576103"/>
    <w:bookmarkStart w:id="106" w:name="_Hlk77575748"/>
    <w:bookmarkStart w:id="107" w:name="_Hlk77575747"/>
    <w:bookmarkStart w:id="108" w:name="_Hlk77575612"/>
    <w:bookmarkStart w:id="109" w:name="_Hlk77575611"/>
    <w:bookmarkStart w:id="110" w:name="_Hlk77575566"/>
    <w:bookmarkStart w:id="111" w:name="_Hlk77575565"/>
    <w:bookmarkStart w:id="112" w:name="_Hlk77575357"/>
    <w:bookmarkStart w:id="113" w:name="_Hlk77575356"/>
    <w:bookmarkStart w:id="114" w:name="_Hlk77575251"/>
    <w:bookmarkStart w:id="115" w:name="_Hlk77575250"/>
    <w:bookmarkStart w:id="116" w:name="_Hlk77575118"/>
    <w:bookmarkStart w:id="117" w:name="_Hlk77575117"/>
    <w:bookmarkStart w:id="118" w:name="_Hlk77574946"/>
    <w:bookmarkStart w:id="119" w:name="_Hlk77574945"/>
    <w:r>
      <w:rPr>
        <w:rFonts w:cs="Book Antiqua" w:ascii="Book Antiqua" w:hAnsi="Book Antiqua"/>
        <w:b/>
        <w:bCs/>
        <w:i/>
        <w:iCs/>
        <w:color w:val="FF0000"/>
        <w:sz w:val="20"/>
        <w:szCs w:val="16"/>
      </w:rPr>
      <w:t>*Once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</w:p>
  <w:p>
    <w:pPr>
      <w:pStyle w:val="Footer"/>
      <w:jc w:val="end"/>
      <w:rPr>
        <w:sz w:val="16"/>
        <w:szCs w:val="16"/>
      </w:rPr>
    </w:pPr>
    <w:r>
      <w:rPr>
        <w:sz w:val="16"/>
        <w:szCs w:val="16"/>
      </w:rPr>
      <w:t>Approved by ICC 08/18/2020</w:t>
    </w:r>
  </w:p>
  <w:p>
    <w:pPr>
      <w:pStyle w:val="Footer"/>
      <w:jc w:val="end"/>
      <w:rPr>
        <w:sz w:val="16"/>
        <w:szCs w:val="16"/>
      </w:rPr>
    </w:pPr>
    <w:r>
      <w:rPr>
        <w:sz w:val="16"/>
        <w:szCs w:val="16"/>
      </w:rPr>
      <w:t>Revised 04/27/2022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●"/>
      <w:lvlJc w:val="start"/>
      <w:pPr>
        <w:tabs>
          <w:tab w:val="num" w:pos="0"/>
        </w:tabs>
        <w:ind w:start="720" w:hanging="360"/>
      </w:pPr>
      <w:rPr>
        <w:rFonts w:ascii="Liberation Serif" w:hAnsi="Liberation Serif" w:cs="Liberation Serif" w:hint="default"/>
        <w:u w:val="none"/>
      </w:rPr>
    </w:lvl>
    <w:lvl w:ilvl="1">
      <w:start w:val="1"/>
      <w:numFmt w:val="bullet"/>
      <w:lvlText w:val="○"/>
      <w:lvlJc w:val="start"/>
      <w:pPr>
        <w:tabs>
          <w:tab w:val="num" w:pos="0"/>
        </w:tabs>
        <w:ind w:start="1440" w:hanging="360"/>
      </w:pPr>
      <w:rPr>
        <w:rFonts w:ascii="Liberation Serif" w:hAnsi="Liberation Serif" w:cs="Liberation Serif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Liberation Serif" w:hAnsi="Liberation Serif" w:cs="Liberation Serif" w:hint="default"/>
        <w:u w:val="none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880" w:hanging="360"/>
      </w:pPr>
      <w:rPr>
        <w:rFonts w:ascii="Liberation Serif" w:hAnsi="Liberation Serif" w:cs="Liberation Serif" w:hint="default"/>
        <w:u w:val="none"/>
      </w:rPr>
    </w:lvl>
    <w:lvl w:ilvl="4">
      <w:start w:val="1"/>
      <w:numFmt w:val="bullet"/>
      <w:lvlText w:val="○"/>
      <w:lvlJc w:val="start"/>
      <w:pPr>
        <w:tabs>
          <w:tab w:val="num" w:pos="0"/>
        </w:tabs>
        <w:ind w:start="3600" w:hanging="360"/>
      </w:pPr>
      <w:rPr>
        <w:rFonts w:ascii="Liberation Serif" w:hAnsi="Liberation Serif" w:cs="Liberation Serif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Liberation Serif" w:hAnsi="Liberation Serif" w:cs="Liberation Serif" w:hint="default"/>
        <w:u w:val="none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5040" w:hanging="360"/>
      </w:pPr>
      <w:rPr>
        <w:rFonts w:ascii="Liberation Serif" w:hAnsi="Liberation Serif" w:cs="Liberation Serif" w:hint="default"/>
        <w:u w:val="none"/>
      </w:rPr>
    </w:lvl>
    <w:lvl w:ilvl="7">
      <w:start w:val="1"/>
      <w:numFmt w:val="bullet"/>
      <w:lvlText w:val="○"/>
      <w:lvlJc w:val="start"/>
      <w:pPr>
        <w:tabs>
          <w:tab w:val="num" w:pos="0"/>
        </w:tabs>
        <w:ind w:start="5760" w:hanging="360"/>
      </w:pPr>
      <w:rPr>
        <w:rFonts w:ascii="Liberation Serif" w:hAnsi="Liberation Serif" w:cs="Liberation Serif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Liberation Serif" w:hAnsi="Liberation Serif" w:cs="Liberation Serif" w:hint="default"/>
        <w:u w:val="none"/>
      </w:rPr>
    </w:lvl>
  </w:abstractNum>
  <w:abstractNum w:abstractNumId="3">
    <w:lvl w:ilvl="0">
      <w:start w:val="1"/>
      <w:numFmt w:val="bullet"/>
      <w:lvlText w:val="●"/>
      <w:lvlJc w:val="start"/>
      <w:pPr>
        <w:tabs>
          <w:tab w:val="num" w:pos="0"/>
        </w:tabs>
        <w:ind w:start="720" w:hanging="360"/>
      </w:pPr>
      <w:rPr>
        <w:rFonts w:ascii="Liberation Serif" w:hAnsi="Liberation Serif" w:cs="Liberation Serif" w:hint="default"/>
        <w:u w:val="none"/>
      </w:rPr>
    </w:lvl>
    <w:lvl w:ilvl="1">
      <w:start w:val="1"/>
      <w:numFmt w:val="bullet"/>
      <w:lvlText w:val="○"/>
      <w:lvlJc w:val="start"/>
      <w:pPr>
        <w:tabs>
          <w:tab w:val="num" w:pos="0"/>
        </w:tabs>
        <w:ind w:start="1440" w:hanging="360"/>
      </w:pPr>
      <w:rPr>
        <w:rFonts w:ascii="Liberation Serif" w:hAnsi="Liberation Serif" w:cs="Liberation Serif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Liberation Serif" w:hAnsi="Liberation Serif" w:cs="Liberation Serif" w:hint="default"/>
        <w:u w:val="none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880" w:hanging="360"/>
      </w:pPr>
      <w:rPr>
        <w:rFonts w:ascii="Liberation Serif" w:hAnsi="Liberation Serif" w:cs="Liberation Serif" w:hint="default"/>
        <w:u w:val="none"/>
      </w:rPr>
    </w:lvl>
    <w:lvl w:ilvl="4">
      <w:start w:val="1"/>
      <w:numFmt w:val="bullet"/>
      <w:lvlText w:val="○"/>
      <w:lvlJc w:val="start"/>
      <w:pPr>
        <w:tabs>
          <w:tab w:val="num" w:pos="0"/>
        </w:tabs>
        <w:ind w:start="3600" w:hanging="360"/>
      </w:pPr>
      <w:rPr>
        <w:rFonts w:ascii="Liberation Serif" w:hAnsi="Liberation Serif" w:cs="Liberation Serif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Liberation Serif" w:hAnsi="Liberation Serif" w:cs="Liberation Serif" w:hint="default"/>
        <w:u w:val="none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5040" w:hanging="360"/>
      </w:pPr>
      <w:rPr>
        <w:rFonts w:ascii="Liberation Serif" w:hAnsi="Liberation Serif" w:cs="Liberation Serif" w:hint="default"/>
        <w:u w:val="none"/>
      </w:rPr>
    </w:lvl>
    <w:lvl w:ilvl="7">
      <w:start w:val="1"/>
      <w:numFmt w:val="bullet"/>
      <w:lvlText w:val="○"/>
      <w:lvlJc w:val="start"/>
      <w:pPr>
        <w:tabs>
          <w:tab w:val="num" w:pos="0"/>
        </w:tabs>
        <w:ind w:start="5760" w:hanging="360"/>
      </w:pPr>
      <w:rPr>
        <w:rFonts w:ascii="Liberation Serif" w:hAnsi="Liberation Serif" w:cs="Liberation Serif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Liberation Serif" w:hAnsi="Liberation Serif" w:cs="Liberation Serif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/>
    </w:pPr>
    <w:rPr>
      <w:rFonts w:ascii="Arial" w:hAnsi="Arial" w:eastAsia="Arial" w:cs="Arial"/>
      <w:color w:val="auto"/>
      <w:sz w:val="22"/>
      <w:szCs w:val="22"/>
      <w:lang w:val="en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WW8Num1z0">
    <w:name w:val="WW8Num1z0"/>
    <w:qFormat/>
    <w:rPr>
      <w:u w:val="none"/>
    </w:rPr>
  </w:style>
  <w:style w:type="character" w:styleId="WW8Num2z0">
    <w:name w:val="WW8Num2z0"/>
    <w:qFormat/>
    <w:rPr>
      <w:u w:val="none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pacing w:lineRule="auto" w:line="240"/>
    </w:pPr>
    <w:rPr/>
  </w:style>
  <w:style w:type="paragraph" w:styleId="Footer">
    <w:name w:val="Footer"/>
    <w:basedOn w:val="Normal"/>
    <w:pPr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2022-04-20T09:32:00Z</dcterms:created>
  <dc:creator>Bernard, Julie</dc:creator>
  <dc:description/>
  <cp:keywords/>
  <dc:language>en-US</dc:language>
  <cp:lastModifiedBy>Huynh, Fuong</cp:lastModifiedBy>
  <cp:lastPrinted>2020-08-17T09:28:00Z</cp:lastPrinted>
  <dcterms:modified xsi:type="dcterms:W3CDTF">2022-04-27T06:50:00Z</dcterms:modified>
  <cp:revision>3</cp:revision>
  <dc:subject/>
  <dc:title>IC - 301.5 Appendix G General De-Isolation Sheet</dc:title>
</cp:coreProperties>
</file>