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Book Antiqua" w:hAnsi="Book Antiqua" w:cs="Book Antiqua"/>
          <w:b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  <w:t xml:space="preserve">PURPOSE: </w:t>
      </w:r>
    </w:p>
    <w:p>
      <w:pPr>
        <w:pStyle w:val="Normal"/>
        <w:jc w:val="both"/>
        <w:rPr>
          <w:rFonts w:ascii="Book Antiqua" w:hAnsi="Book Antiqua" w:cs="Book Antiqua"/>
          <w:b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</w:r>
    </w:p>
    <w:p>
      <w:pPr>
        <w:pStyle w:val="Normal"/>
        <w:jc w:val="both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Timely management of patients, staff, and visitors exposed to a communicable disease is imperative to prevent nosocomial acquisition, and widespread outbreaks.</w:t>
      </w:r>
    </w:p>
    <w:p>
      <w:pPr>
        <w:pStyle w:val="Normal"/>
        <w:jc w:val="both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jc w:val="both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The purpose of the following policy is to establish guidelines for the step by step management of patients and others who have been exposed to a communicable disease and to define responsible persons and responsibilities as needed to assure complete, timely management in the event of an exposure. For information related to employee exposure follow-up, please refer to policy IC - 602.0 Employee Exposures.</w:t>
      </w:r>
    </w:p>
    <w:p>
      <w:pPr>
        <w:pStyle w:val="Normal"/>
        <w:jc w:val="both"/>
        <w:rPr>
          <w:rFonts w:ascii="Book Antiqua" w:hAnsi="Book Antiqua" w:cs="Book Antiqua"/>
          <w:b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</w:r>
    </w:p>
    <w:p>
      <w:pPr>
        <w:pStyle w:val="Normal"/>
        <w:jc w:val="both"/>
        <w:rPr>
          <w:rFonts w:ascii="Book Antiqua" w:hAnsi="Book Antiqua" w:cs="Book Antiqua"/>
          <w:b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  <w:t xml:space="preserve">PROCEDURE: </w:t>
      </w:r>
    </w:p>
    <w:p>
      <w:pPr>
        <w:pStyle w:val="Normal"/>
        <w:jc w:val="both"/>
        <w:rPr>
          <w:rFonts w:ascii="Book Antiqua" w:hAnsi="Book Antiqua" w:cs="Book Antiqua"/>
          <w:b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</w:r>
    </w:p>
    <w:p>
      <w:pPr>
        <w:pStyle w:val="ListParagraph"/>
        <w:numPr>
          <w:ilvl w:val="0"/>
          <w:numId w:val="4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Unit Leadership Follow-up:</w:t>
      </w:r>
    </w:p>
    <w:p>
      <w:pPr>
        <w:pStyle w:val="ListParagraph"/>
        <w:numPr>
          <w:ilvl w:val="1"/>
          <w:numId w:val="4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Place patient in appropriate isolation precautions if not already performed.</w:t>
      </w:r>
    </w:p>
    <w:p>
      <w:pPr>
        <w:pStyle w:val="ListParagraph"/>
        <w:numPr>
          <w:ilvl w:val="2"/>
          <w:numId w:val="4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For patients with an airborne transmissible disease (Measles, Tb, Varicella, etc.)</w:t>
      </w:r>
    </w:p>
    <w:p>
      <w:pPr>
        <w:pStyle w:val="ListParagraph"/>
        <w:numPr>
          <w:ilvl w:val="3"/>
          <w:numId w:val="4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Immediately place the patient in Combined-Airborne Isolation-Negative Pressure Room.</w:t>
      </w:r>
    </w:p>
    <w:p>
      <w:pPr>
        <w:pStyle w:val="ListParagraph"/>
        <w:numPr>
          <w:ilvl w:val="3"/>
          <w:numId w:val="4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If a negative pressure room is not immediately available, place the patient in a private room and ensure that the door remains closed.</w:t>
      </w:r>
    </w:p>
    <w:p>
      <w:pPr>
        <w:pStyle w:val="ListParagraph"/>
        <w:numPr>
          <w:ilvl w:val="1"/>
          <w:numId w:val="4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Notify Infection Prevention and Control (IPC) of identified index case(s).</w:t>
      </w:r>
    </w:p>
    <w:p>
      <w:pPr>
        <w:pStyle w:val="ListParagraph"/>
        <w:numPr>
          <w:ilvl w:val="1"/>
          <w:numId w:val="4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Have a physician verify the diagnosis of disease.</w:t>
      </w:r>
    </w:p>
    <w:p>
      <w:pPr>
        <w:pStyle w:val="ListParagraph"/>
        <w:numPr>
          <w:ilvl w:val="1"/>
          <w:numId w:val="4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Identify potential exposed individuals: patients, employees, visitors and provide lists to IPC and Employee Health Services if applicable (see IC - 602.0). Report any secondary cases that have been suspected or identified to IPC.</w:t>
      </w:r>
    </w:p>
    <w:p>
      <w:pPr>
        <w:pStyle w:val="ListParagraph"/>
        <w:numPr>
          <w:ilvl w:val="0"/>
          <w:numId w:val="4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IPC follow-up:</w:t>
      </w:r>
    </w:p>
    <w:p>
      <w:pPr>
        <w:pStyle w:val="ListParagraph"/>
        <w:numPr>
          <w:ilvl w:val="1"/>
          <w:numId w:val="4"/>
        </w:numPr>
        <w:rPr>
          <w:rFonts w:ascii="Book Antiqua" w:hAnsi="Book Antiqua" w:cs="Book Antiqua"/>
          <w:sz w:val="23"/>
          <w:szCs w:val="23"/>
        </w:rPr>
      </w:pPr>
      <w:r>
        <w:rPr>
          <w:rFonts w:eastAsia="Book Antiqua" w:cs="Book Antiqua" w:ascii="Book Antiqua" w:hAnsi="Book Antiqua"/>
          <w:sz w:val="23"/>
          <w:szCs w:val="23"/>
        </w:rPr>
        <w:t xml:space="preserve"> </w:t>
      </w:r>
      <w:r>
        <w:rPr>
          <w:rFonts w:cs="Book Antiqua" w:ascii="Book Antiqua" w:hAnsi="Book Antiqua"/>
          <w:sz w:val="23"/>
          <w:szCs w:val="23"/>
        </w:rPr>
        <w:t>IPC will determine susceptibility of contacts as applicable (i.e.: have not had the disease; have not been vaccinated, are immunocompromised, etc.)</w:t>
      </w:r>
    </w:p>
    <w:p>
      <w:pPr>
        <w:pStyle w:val="ListParagraph"/>
        <w:numPr>
          <w:ilvl w:val="2"/>
          <w:numId w:val="4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Exposure investigations for airborne infectious diseases are typically conducted for susceptible individuals who were in shared rooms or neighboring rooms (1-2 rooms on either side of the index patient if the patient is isolated in a regular pressure room).</w:t>
      </w:r>
    </w:p>
    <w:p>
      <w:pPr>
        <w:pStyle w:val="ListParagraph"/>
        <w:numPr>
          <w:ilvl w:val="1"/>
          <w:numId w:val="4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IPC will notify primary care provider to provide guidance regarding post exposure prophylaxis when indicated.</w:t>
      </w:r>
    </w:p>
    <w:p>
      <w:pPr>
        <w:pStyle w:val="ListParagraph"/>
        <w:numPr>
          <w:ilvl w:val="1"/>
          <w:numId w:val="4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IPC will notify the ASP pharmacist of the exposure to assess VariZIG/IGIV availability during business hours for exposed patients when indicated.  For after hours, weekends, and holidays IPC will contact the main pharmacy.</w:t>
      </w:r>
    </w:p>
    <w:p>
      <w:pPr>
        <w:pStyle w:val="ListParagraph"/>
        <w:numPr>
          <w:ilvl w:val="1"/>
          <w:numId w:val="4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IPC will determine incubation and infectious period and provide guidance related to restricting or limiting contact to susceptible person during the incubation period.</w:t>
      </w:r>
    </w:p>
    <w:p>
      <w:pPr>
        <w:pStyle w:val="ListParagraph"/>
        <w:numPr>
          <w:ilvl w:val="1"/>
          <w:numId w:val="4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IPC will notify IS (Information Systems) to set up airborne isolation alerts for patients that were exposed or were treated with post exposure prophylaxis when indicated.</w:t>
      </w:r>
    </w:p>
    <w:p>
      <w:pPr>
        <w:pStyle w:val="ListParagraph"/>
        <w:numPr>
          <w:ilvl w:val="1"/>
          <w:numId w:val="4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IPC will issue exposure notification to primary care provider for impacted patients and recommend follow-up actions if indicated. IPC will also notify exposed employees or staff in conjunction with Employee Health Services (see IC - 602.0 for more details).</w:t>
      </w:r>
    </w:p>
    <w:p>
      <w:pPr>
        <w:pStyle w:val="Normal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rPr>
          <w:rFonts w:ascii="Book Antiqua" w:hAnsi="Book Antiqua" w:cs="Book Antiqua"/>
          <w:b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  <w:t>REFERENCES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HICPAC: Guidelines for Isolation Precautions, Preventing Transmission of Infectious Agents in Healthcare Settings, 2007.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American Academy of Pediatrics Red Book: Report of the Committee on Infectious Diseases, 2018.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sz w:val="23"/>
          <w:szCs w:val="23"/>
        </w:rPr>
      </w:pPr>
      <w:hyperlink r:id="rId2">
        <w:r>
          <w:rPr>
            <w:rStyle w:val="Hyperlink"/>
            <w:rFonts w:cs="Book Antiqua" w:ascii="Book Antiqua" w:hAnsi="Book Antiqua"/>
            <w:sz w:val="23"/>
            <w:szCs w:val="23"/>
          </w:rPr>
          <w:t>IC - 602.0 Employee Exposures</w:t>
        </w:r>
      </w:hyperlink>
    </w:p>
    <w:p>
      <w:pPr>
        <w:pStyle w:val="Normal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rPr>
          <w:rFonts w:ascii="Book Antiqua" w:hAnsi="Book Antiqua" w:cs="Book Antiqua"/>
          <w:b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  <w:t>ATTACHMENTS:</w:t>
      </w:r>
    </w:p>
    <w:p>
      <w:pPr>
        <w:pStyle w:val="Normal"/>
        <w:numPr>
          <w:ilvl w:val="0"/>
          <w:numId w:val="3"/>
        </w:numPr>
        <w:rPr>
          <w:rFonts w:ascii="Book Antiqua" w:hAnsi="Book Antiqua" w:cs="Book Antiqua"/>
          <w:sz w:val="23"/>
          <w:szCs w:val="23"/>
        </w:rPr>
      </w:pPr>
      <w:hyperlink r:id="rId3">
        <w:r>
          <w:rPr>
            <w:rStyle w:val="Hyperlink"/>
            <w:rFonts w:cs="Book Antiqua" w:ascii="Book Antiqua" w:hAnsi="Book Antiqua"/>
            <w:sz w:val="23"/>
            <w:szCs w:val="23"/>
          </w:rPr>
          <w:t>IC – 303.1 Measles Flowchart</w:t>
        </w:r>
      </w:hyperlink>
    </w:p>
    <w:p>
      <w:pPr>
        <w:pStyle w:val="Normal"/>
        <w:numPr>
          <w:ilvl w:val="0"/>
          <w:numId w:val="3"/>
        </w:numPr>
        <w:rPr>
          <w:rFonts w:ascii="Book Antiqua" w:hAnsi="Book Antiqua" w:cs="Book Antiqua"/>
          <w:sz w:val="23"/>
          <w:szCs w:val="23"/>
        </w:rPr>
      </w:pPr>
      <w:hyperlink r:id="rId4">
        <w:r>
          <w:rPr>
            <w:rStyle w:val="Hyperlink"/>
            <w:rFonts w:cs="Book Antiqua" w:ascii="Book Antiqua" w:hAnsi="Book Antiqua"/>
            <w:sz w:val="23"/>
            <w:szCs w:val="23"/>
          </w:rPr>
          <w:t>IC – 303.2 Varicella Flowchart</w:t>
        </w:r>
      </w:hyperlink>
    </w:p>
    <w:p>
      <w:pPr>
        <w:pStyle w:val="Normal"/>
        <w:numPr>
          <w:ilvl w:val="0"/>
          <w:numId w:val="3"/>
        </w:numPr>
        <w:rPr>
          <w:rFonts w:ascii="Book Antiqua" w:hAnsi="Book Antiqua" w:cs="Book Antiqua"/>
          <w:sz w:val="23"/>
          <w:szCs w:val="23"/>
        </w:rPr>
      </w:pPr>
      <w:hyperlink r:id="rId5">
        <w:r>
          <w:rPr>
            <w:rStyle w:val="Hyperlink"/>
            <w:rFonts w:cs="Book Antiqua" w:ascii="Book Antiqua" w:hAnsi="Book Antiqua"/>
            <w:sz w:val="23"/>
            <w:szCs w:val="23"/>
          </w:rPr>
          <w:t>IC – 303.3 Rubella Exposure Management</w:t>
        </w:r>
      </w:hyperlink>
      <w:r>
        <w:rPr>
          <w:rFonts w:cs="Book Antiqua" w:ascii="Book Antiqua" w:hAnsi="Book Antiqua"/>
          <w:sz w:val="23"/>
          <w:szCs w:val="23"/>
        </w:rPr>
        <w:t xml:space="preserve"> </w:t>
      </w:r>
    </w:p>
    <w:p>
      <w:pPr>
        <w:pStyle w:val="Normal"/>
        <w:rPr>
          <w:rFonts w:ascii="Book Antiqua" w:hAnsi="Book Antiqua" w:cs="Book Antiqua"/>
          <w:b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</w:r>
    </w:p>
    <w:p>
      <w:pPr>
        <w:pStyle w:val="Normal"/>
        <w:rPr>
          <w:rFonts w:ascii="Book Antiqua" w:hAnsi="Book Antiqua" w:cs="Book Antiqua"/>
          <w:b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  <w:t>POLICY OWNER:</w:t>
      </w:r>
    </w:p>
    <w:p>
      <w:pPr>
        <w:pStyle w:val="Normal"/>
        <w:rPr/>
      </w:pPr>
      <w:r>
        <w:rPr>
          <w:rFonts w:cs="Book Antiqua" w:ascii="Book Antiqua" w:hAnsi="Book Antiqua"/>
          <w:bCs/>
          <w:i/>
          <w:iCs/>
          <w:sz w:val="23"/>
          <w:szCs w:val="23"/>
        </w:rPr>
        <w:t>Director, Accreditation &amp; Licensing, Infection Prevention, and Emergency Management</w:t>
      </w:r>
    </w:p>
    <w:sectPr>
      <w:headerReference w:type="default" r:id="rId6"/>
      <w:footerReference w:type="default" r:id="rId7"/>
      <w:type w:val="nextPage"/>
      <w:pgSz w:w="12240" w:h="15840"/>
      <w:pgMar w:left="720" w:right="720" w:gutter="0" w:header="432" w:top="720" w:footer="432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Book Antiqu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720" w:end="0"/>
      <w:jc w:val="center"/>
      <w:rPr/>
    </w:pPr>
    <w:r>
      <w:rPr>
        <w:rFonts w:cs="Book Antiqua" w:ascii="Book Antiqua" w:hAnsi="Book Antiqua"/>
        <w:b/>
        <w:bCs/>
        <w:i/>
        <w:iCs/>
        <w:color w:val="FF0000"/>
        <w:sz w:val="20"/>
        <w:szCs w:val="16"/>
      </w:rPr>
      <w:t>*Once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10942" w:type="dxa"/>
      <w:jc w:val="start"/>
      <w:tblInd w:w="-10" w:type="dxa"/>
      <w:tblLayout w:type="fixed"/>
      <w:tblCellMar>
        <w:top w:w="0" w:type="dxa"/>
        <w:start w:w="132" w:type="dxa"/>
        <w:bottom w:w="0" w:type="dxa"/>
        <w:end w:w="132" w:type="dxa"/>
      </w:tblCellMar>
    </w:tblPr>
    <w:tblGrid>
      <w:gridCol w:w="2790"/>
      <w:gridCol w:w="1800"/>
      <w:gridCol w:w="1800"/>
      <w:gridCol w:w="3292"/>
      <w:gridCol w:w="1260"/>
    </w:tblGrid>
    <w:tr>
      <w:trPr>
        <w:trHeight w:val="576" w:hRule="exact"/>
        <w:cantSplit w:val="true"/>
      </w:trPr>
      <w:tc>
        <w:tcPr>
          <w:tcW w:w="2790" w:type="dxa"/>
          <w:vMerge w:val="restart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jc w:val="center"/>
            <w:rPr>
              <w:b/>
              <w:sz w:val="70"/>
            </w:rPr>
          </w:pPr>
          <w:r>
            <w:rPr>
              <w:b/>
              <w:sz w:val="70"/>
            </w:rPr>
            <w:t>CHLA</w:t>
          </w:r>
        </w:p>
      </w:tc>
      <w:tc>
        <w:tcPr>
          <w:tcW w:w="8152" w:type="dxa"/>
          <w:gridSpan w:val="4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center"/>
        </w:tcPr>
        <w:p>
          <w:pPr>
            <w:pStyle w:val="Normal"/>
            <w:tabs>
              <w:tab w:val="clear" w:pos="720"/>
              <w:tab w:val="center" w:pos="1218" w:leader="none"/>
            </w:tabs>
            <w:jc w:val="center"/>
            <w:rPr>
              <w:rFonts w:ascii="Book Antiqua" w:hAnsi="Book Antiqua" w:cs="Book Antiqua"/>
            </w:rPr>
          </w:pPr>
          <w:r>
            <w:rPr>
              <w:rFonts w:cs="Book Antiqua" w:ascii="Book Antiqua" w:hAnsi="Book Antiqua"/>
              <w:sz w:val="28"/>
            </w:rPr>
            <w:t>HOSPITAL POLICY AND PROCEDURE MANUAL</w:t>
          </w:r>
        </w:p>
      </w:tc>
    </w:tr>
    <w:tr>
      <w:trPr>
        <w:trHeight w:val="443" w:hRule="exac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spacing w:lineRule="exact" w:line="163"/>
            <w:rPr>
              <w:rFonts w:ascii="Book Antiqua" w:hAnsi="Book Antiqua" w:cs="Book Antiqua"/>
            </w:rPr>
          </w:pPr>
          <w:r>
            <w:rPr>
              <w:rFonts w:cs="Book Antiqua" w:ascii="Book Antiqua" w:hAnsi="Book Antiqua"/>
            </w:rPr>
          </w:r>
        </w:p>
      </w:tc>
      <w:tc>
        <w:tcPr>
          <w:tcW w:w="8152" w:type="dxa"/>
          <w:gridSpan w:val="4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left" w:pos="1809" w:leader="none"/>
            </w:tabs>
            <w:rPr>
              <w:rFonts w:ascii="Arial" w:hAnsi="Arial" w:cs="Arial"/>
              <w:b/>
              <w:sz w:val="16"/>
              <w:szCs w:val="16"/>
            </w:rPr>
          </w:pPr>
          <w: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ADVANCE \u14</w:instrText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TITLE: Communicable Disease Exposure</w:t>
          </w:r>
        </w:p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</w:r>
        </w:p>
      </w:tc>
    </w:tr>
    <w:tr>
      <w:trPr>
        <w:trHeight w:val="309" w:hRule="atLeas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tcBorders>
            <w:top w:val="single" w:sz="8" w:space="0" w:color="000000"/>
            <w:start w:val="single" w:sz="8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ORIGINAL DATE: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06/01/1990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vMerge w:val="restart"/>
          <w:tcBorders>
            <w:top w:val="single" w:sz="8" w:space="0" w:color="000000"/>
            <w:start w:val="single" w:sz="4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EFFECTIVE DATE: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12/22/2020</w:t>
          </w:r>
        </w:p>
      </w:tc>
      <w:tc>
        <w:tcPr>
          <w:tcW w:w="4552" w:type="dxa"/>
          <w:gridSpan w:val="2"/>
          <w:vMerge w:val="restart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APPROVED BY: Chief Clinical Officer, Quality Improvement Committee, Board of Directors</w:t>
          </w:r>
        </w:p>
      </w:tc>
    </w:tr>
    <w:tr>
      <w:trPr>
        <w:trHeight w:val="318" w:hRule="atLeas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tcBorders>
            <w:top w:val="single" w:sz="4" w:space="0" w:color="000000"/>
            <w:start w:val="single" w:sz="8" w:space="0" w:color="000000"/>
            <w:bottom w:val="single" w:sz="8" w:space="0" w:color="000000"/>
            <w:end w:val="single" w:sz="4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REVISED DATE: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vMerge w:val="continue"/>
          <w:tcBorders>
            <w:top w:val="single" w:sz="8" w:space="0" w:color="000000"/>
            <w:start w:val="single" w:sz="4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4552" w:type="dxa"/>
          <w:gridSpan w:val="2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</w:tr>
    <w:tr>
      <w:trPr>
        <w:trHeight w:val="515" w:hRule="exact"/>
        <w:cantSplit w:val="true"/>
      </w:trPr>
      <w:tc>
        <w:tcPr>
          <w:tcW w:w="2790" w:type="dxa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spacing w:before="0" w:after="19"/>
            <w:rPr>
              <w:rFonts w:ascii="Arial" w:hAnsi="Arial" w:cs="Arial"/>
              <w:sz w:val="16"/>
              <w:szCs w:val="16"/>
            </w:rPr>
          </w:pPr>
          <w:r>
            <w:fldChar w:fldCharType="begin"/>
          </w:r>
          <w:r>
            <w:rPr>
              <w:sz w:val="10"/>
              <w:rFonts w:cs="Arial" w:ascii="Arial" w:hAnsi="Arial"/>
            </w:rPr>
            <w:instrText xml:space="preserve">ADVANCE \u14</w:instrText>
          </w:r>
          <w:r>
            <w:rPr>
              <w:rFonts w:cs="Arial" w:ascii="Arial" w:hAnsi="Arial"/>
              <w:sz w:val="10"/>
            </w:rPr>
          </w:r>
          <w:r>
            <w:rPr>
              <w:sz w:val="10"/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  <w:sz w:val="10"/>
            </w:rPr>
          </w:r>
          <w:r>
            <w:rPr>
              <w:rFonts w:cs="Arial" w:ascii="Arial" w:hAnsi="Arial"/>
              <w:sz w:val="10"/>
            </w:rPr>
          </w:r>
          <w:r>
            <w:rPr>
              <w:sz w:val="10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>POLICY NUMBER: IC – 303.0</w:t>
          </w:r>
        </w:p>
      </w:tc>
      <w:tc>
        <w:tcPr>
          <w:tcW w:w="6892" w:type="dxa"/>
          <w:gridSpan w:val="3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CHAPTER: ENTERPRISE – INFECTION CONTROL</w:t>
          </w:r>
        </w:p>
      </w:tc>
      <w:tc>
        <w:tcPr>
          <w:tcW w:w="1260" w:type="dxa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sz w:val="16"/>
              <w:szCs w:val="16"/>
              <w:highlight w:val="yellow"/>
            </w:rPr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 PAGE \* ARABIC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2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 NUMPAGES \* ARABIC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2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upperRoman"/>
      <w:lvlText w:val="%1."/>
      <w:lvlJc w:val="start"/>
      <w:pPr>
        <w:tabs>
          <w:tab w:val="num" w:pos="720"/>
        </w:tabs>
        <w:ind w:start="504" w:hanging="504"/>
      </w:pPr>
      <w:rPr>
        <w:b/>
      </w:rPr>
    </w:lvl>
    <w:lvl w:ilvl="1">
      <w:start w:val="1"/>
      <w:numFmt w:val="upperLetter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styleId="WW8Num1z0">
    <w:name w:val="WW8Num1z0"/>
    <w:qFormat/>
    <w:rPr>
      <w:sz w:val="24"/>
    </w:rPr>
  </w:style>
  <w:style w:type="character" w:styleId="WW8Num2z0">
    <w:name w:val="WW8Num2z0"/>
    <w:qFormat/>
    <w:rPr>
      <w:b/>
    </w:rPr>
  </w:style>
  <w:style w:type="character" w:styleId="WW8Num2z1">
    <w:name w:val="WW8Num2z1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10z0">
    <w:name w:val="WW8Num10z0"/>
    <w:qFormat/>
    <w:rPr>
      <w:rFonts w:ascii="Book Antiqua" w:hAnsi="Book Antiqua" w:cs="Book Antiqua"/>
      <w:b w:val="false"/>
      <w:i w:val="false"/>
      <w:sz w:val="24"/>
      <w:u w:val="none"/>
    </w:rPr>
  </w:style>
  <w:style w:type="character" w:styleId="WW8Num10z1">
    <w:name w:val="WW8Num10z1"/>
    <w:qFormat/>
    <w:rPr>
      <w:rFonts w:ascii="Book Antiqua" w:hAnsi="Book Antiqua" w:cs="Calibri"/>
      <w:sz w:val="24"/>
      <w:u w:val="none"/>
    </w:rPr>
  </w:style>
  <w:style w:type="character" w:styleId="WW8Num10z2">
    <w:name w:val="WW8Num10z2"/>
    <w:qFormat/>
    <w:rPr>
      <w:sz w:val="24"/>
    </w:rPr>
  </w:style>
  <w:style w:type="character" w:styleId="WW8Num11z0">
    <w:name w:val="WW8Num11z0"/>
    <w:qFormat/>
    <w:rPr>
      <w:rFonts w:ascii="Symbol" w:hAnsi="Symbol" w:cs="Symbol"/>
      <w:color w:val="00000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2">
    <w:name w:val="WW8Num14z2"/>
    <w:qFormat/>
    <w:rPr/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4z5">
    <w:name w:val="WW8Num14z5"/>
    <w:qFormat/>
    <w:rPr>
      <w:rFonts w:ascii="Wingdings" w:hAnsi="Wingdings" w:cs="Wingdings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sz w:val="24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>
      <w:sz w:val="20"/>
    </w:rPr>
  </w:style>
  <w:style w:type="character" w:styleId="WW8Num21z0">
    <w:name w:val="WW8Num21z0"/>
    <w:qFormat/>
    <w:rPr>
      <w:rFonts w:ascii="Book Antiqua" w:hAnsi="Book Antiqua" w:cs="Book Antiqua"/>
      <w:b w:val="false"/>
      <w:i w:val="false"/>
      <w:sz w:val="24"/>
      <w:u w:val="none"/>
    </w:rPr>
  </w:style>
  <w:style w:type="character" w:styleId="WW8Num21z1">
    <w:name w:val="WW8Num21z1"/>
    <w:qFormat/>
    <w:rPr>
      <w:rFonts w:ascii="Book Antiqua" w:hAnsi="Book Antiqua" w:cs="Calibri"/>
      <w:sz w:val="24"/>
      <w:u w:val="none"/>
    </w:rPr>
  </w:style>
  <w:style w:type="character" w:styleId="WW8Num21z2">
    <w:name w:val="WW8Num21z2"/>
    <w:qFormat/>
    <w:rPr>
      <w:sz w:val="24"/>
    </w:rPr>
  </w:style>
  <w:style w:type="character" w:styleId="WW8Num21z3">
    <w:name w:val="WW8Num21z3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>
      <w:b/>
    </w:rPr>
  </w:style>
  <w:style w:type="character" w:styleId="WW8Num26z0">
    <w:name w:val="WW8Num26z0"/>
    <w:qFormat/>
    <w:rPr>
      <w:b w:val="false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/>
  </w:style>
  <w:style w:type="character" w:styleId="PageNumber">
    <w:name w:val="Page Number"/>
    <w:basedOn w:val="DefaultParagraphFont"/>
    <w:rPr/>
  </w:style>
  <w:style w:type="character" w:styleId="HeaderChar">
    <w:name w:val="Header Char"/>
    <w:qFormat/>
    <w:rPr>
      <w:sz w:val="24"/>
    </w:rPr>
  </w:style>
  <w:style w:type="character" w:styleId="BodyTextIndent3Char">
    <w:name w:val="Body Text Indent 3 Char"/>
    <w:qFormat/>
    <w:rPr>
      <w:sz w:val="16"/>
      <w:szCs w:val="16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/>
  </w:style>
  <w:style w:type="character" w:styleId="CommentSubjectChar">
    <w:name w:val="Comment Subject Char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Indent">
    <w:name w:val="Body Text Indent"/>
    <w:basedOn w:val="Normal"/>
    <w:pPr>
      <w:ind w:hanging="0" w:start="504" w:end="0"/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qFormat/>
    <w:pPr>
      <w:ind w:hanging="720" w:start="1440" w:end="0"/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qFormat/>
    <w:pPr>
      <w:spacing w:before="0" w:after="120"/>
      <w:ind w:hanging="0" w:start="360" w:end="0"/>
    </w:pPr>
    <w:rPr>
      <w:sz w:val="16"/>
      <w:szCs w:val="16"/>
    </w:rPr>
  </w:style>
  <w:style w:type="paragraph" w:styleId="ListParagraph">
    <w:name w:val="List Paragraph"/>
    <w:basedOn w:val="Normal"/>
    <w:qFormat/>
    <w:pPr>
      <w:ind w:hanging="0" w:start="720" w:end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Revision">
    <w:name w:val="Revision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cure.compliance360.com/ext/gc8lXGjBmyTG3RnT-aFRlA==" TargetMode="External"/><Relationship Id="rId3" Type="http://schemas.openxmlformats.org/officeDocument/2006/relationships/hyperlink" Target="https://secure.compliance360.com/ext/ze4a9CxkisebHeOMuqcinA==" TargetMode="External"/><Relationship Id="rId4" Type="http://schemas.openxmlformats.org/officeDocument/2006/relationships/hyperlink" Target="https://secure.compliance360.com/ext/62Ug7VDhqu2ixxNRfvQPMQ==" TargetMode="External"/><Relationship Id="rId5" Type="http://schemas.openxmlformats.org/officeDocument/2006/relationships/hyperlink" Target="https://secure.compliance360.com/ext/-Ry-IbQtTtZZrWuCv__vKQ==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LibreOffice/24.2.4.2$MacOSX_AARCH64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2020-10-26T06:08:00Z</dcterms:created>
  <dc:creator>MAGGIE</dc:creator>
  <dc:description/>
  <cp:keywords/>
  <dc:language>en-US</dc:language>
  <cp:lastModifiedBy>Huynh, Fuong</cp:lastModifiedBy>
  <cp:lastPrinted>2017-11-28T15:17:00Z</cp:lastPrinted>
  <dcterms:modified xsi:type="dcterms:W3CDTF">2021-10-07T12:00:00Z</dcterms:modified>
  <cp:revision>13</cp:revision>
  <dc:subject/>
  <dc:title>IC - 303.0 Communicable Disease Exposure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0x0101006C9026AA7E1D8E4AB136F06A7E44567D</vt:lpwstr>
  </property>
  <property fmtid="{D5CDD505-2E9C-101B-9397-08002B2CF9AE}" pid="3" name="_dlc_DocId">
    <vt:lpwstr>N6ARCRRY53XU-1042-170</vt:lpwstr>
  </property>
  <property fmtid="{D5CDD505-2E9C-101B-9397-08002B2CF9AE}" pid="4" name="_dlc_DocIdItemGuid">
    <vt:lpwstr>e7c2f73d-d735-4891-a7e8-32490bfa7eaa</vt:lpwstr>
  </property>
  <property fmtid="{D5CDD505-2E9C-101B-9397-08002B2CF9AE}" pid="5" name="_dlc_DocIdUrl">
    <vt:lpwstr>http://departments/DocumentsLibrary/policyandprocedure/_layouts/DocIdRedir.aspx?ID=N6ARCRRY53XU-1042-170, N6ARCRRY53XU-1042-170</vt:lpwstr>
  </property>
</Properties>
</file>