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Book Antiqua" w:ascii="Book Antiqua" w:hAnsi="Book Antiqua"/>
          <w:b/>
          <w:sz w:val="23"/>
          <w:szCs w:val="23"/>
        </w:rPr>
        <w:t>PURPOSE:</w:t>
      </w:r>
      <w:r>
        <w:rPr>
          <w:rFonts w:cs="Book Antiqua" w:ascii="Book Antiqua" w:hAnsi="Book Antiqua"/>
          <w:sz w:val="23"/>
          <w:szCs w:val="23"/>
        </w:rPr>
        <w:t xml:space="preserve"> </w:t>
      </w:r>
    </w:p>
    <w:p>
      <w:pPr>
        <w:pStyle w:val="Normal"/>
        <w:ind w:start="360" w:end="0"/>
        <w:rPr>
          <w:rFonts w:ascii="Book Antiqua" w:hAnsi="Book Antiqua" w:cs="Book Antiqua"/>
          <w:sz w:val="23"/>
          <w:szCs w:val="23"/>
        </w:rPr>
      </w:pPr>
      <w:r>
        <w:rPr>
          <w:rFonts w:cs="Book Antiqua" w:ascii="Book Antiqua" w:hAnsi="Book Antiqua"/>
          <w:sz w:val="23"/>
          <w:szCs w:val="23"/>
        </w:rPr>
        <w:t>Rubella is a mild febrile viral disease with a diffuse punctuate and maculopapular rash sometimes resembling that of measles or scarlet fever. Rubella is important because of its ability to produce anomalies in the developing fetus.</w:t>
      </w:r>
    </w:p>
    <w:p>
      <w:pPr>
        <w:pStyle w:val="Normal"/>
        <w:ind w:start="360" w:end="0"/>
        <w:rPr>
          <w:rFonts w:ascii="Book Antiqua" w:hAnsi="Book Antiqua" w:cs="Book Antiqua"/>
          <w:sz w:val="23"/>
          <w:szCs w:val="23"/>
        </w:rPr>
      </w:pPr>
      <w:r>
        <w:rPr>
          <w:rFonts w:cs="Book Antiqua" w:ascii="Book Antiqua" w:hAnsi="Book Antiqua"/>
          <w:sz w:val="23"/>
          <w:szCs w:val="23"/>
        </w:rPr>
      </w:r>
    </w:p>
    <w:p>
      <w:pPr>
        <w:pStyle w:val="Normal"/>
        <w:ind w:start="360" w:end="0"/>
        <w:rPr/>
      </w:pPr>
      <w:r>
        <w:rPr>
          <w:rFonts w:cs="Book Antiqua" w:ascii="Book Antiqua" w:hAnsi="Book Antiqua"/>
          <w:sz w:val="23"/>
          <w:szCs w:val="23"/>
        </w:rPr>
        <w:t>The purpose of the following policy is to prevent or minimize exposure to rubella and spread of disease to susceptible patients, employees and visitors, and to establish guidelines for the management of susceptible employees post exposure.</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DEFINITION</w:t>
      </w:r>
    </w:p>
    <w:p>
      <w:pPr>
        <w:pStyle w:val="Normal"/>
        <w:ind w:hanging="720" w:start="1440" w:end="0"/>
        <w:rPr/>
      </w:pPr>
      <w:r>
        <w:rPr>
          <w:rFonts w:cs="Book Antiqua" w:ascii="Book Antiqua" w:hAnsi="Book Antiqua"/>
          <w:sz w:val="23"/>
          <w:szCs w:val="23"/>
        </w:rPr>
        <w:t xml:space="preserve">1. </w:t>
        <w:tab/>
        <w:t>Exposure is defined as contact of a non-immune person with, either nasopharyngeal secretions or skin lesions a person incubating or infected with rubella.</w:t>
      </w:r>
    </w:p>
    <w:p>
      <w:pPr>
        <w:pStyle w:val="Normal"/>
        <w:ind w:hanging="720" w:start="2880" w:end="0"/>
        <w:rPr>
          <w:rFonts w:ascii="Book Antiqua" w:hAnsi="Book Antiqua" w:cs="Book Antiqua"/>
          <w:sz w:val="23"/>
          <w:szCs w:val="23"/>
        </w:rPr>
      </w:pPr>
      <w:r>
        <w:rPr>
          <w:rFonts w:cs="Book Antiqua" w:ascii="Book Antiqua" w:hAnsi="Book Antiqua"/>
          <w:sz w:val="23"/>
          <w:szCs w:val="23"/>
        </w:rPr>
        <w:t>a.</w:t>
        <w:tab/>
        <w:t>The period of communicability extends from a few days before to 7 days after onset of rash.</w:t>
      </w:r>
    </w:p>
    <w:p>
      <w:pPr>
        <w:pStyle w:val="Normal"/>
        <w:ind w:hanging="720" w:start="2880" w:end="0"/>
        <w:rPr/>
      </w:pPr>
      <w:r>
        <w:rPr>
          <w:rFonts w:cs="Book Antiqua" w:ascii="Book Antiqua" w:hAnsi="Book Antiqua"/>
          <w:sz w:val="23"/>
          <w:szCs w:val="23"/>
        </w:rPr>
        <w:t>b.</w:t>
        <w:tab/>
        <w:t>Infants with congenital rubella shed large quantities of virus in their pharyngeal secretions and urine.</w:t>
      </w:r>
    </w:p>
    <w:p>
      <w:pPr>
        <w:pStyle w:val="Normal"/>
        <w:ind w:hanging="720" w:start="2880" w:end="0"/>
        <w:rPr>
          <w:rFonts w:ascii="Book Antiqua" w:hAnsi="Book Antiqua" w:cs="Book Antiqua"/>
          <w:sz w:val="23"/>
          <w:szCs w:val="23"/>
        </w:rPr>
      </w:pPr>
      <w:r>
        <w:rPr>
          <w:rFonts w:cs="Book Antiqua" w:ascii="Book Antiqua" w:hAnsi="Book Antiqua"/>
          <w:sz w:val="23"/>
          <w:szCs w:val="23"/>
        </w:rPr>
      </w:r>
    </w:p>
    <w:p>
      <w:pPr>
        <w:pStyle w:val="Normal"/>
        <w:ind w:firstLine="720" w:end="0"/>
        <w:rPr>
          <w:rFonts w:ascii="Book Antiqua" w:hAnsi="Book Antiqua" w:cs="Book Antiqua"/>
          <w:sz w:val="23"/>
          <w:szCs w:val="23"/>
        </w:rPr>
      </w:pPr>
      <w:r>
        <w:rPr>
          <w:rFonts w:cs="Book Antiqua" w:ascii="Book Antiqua" w:hAnsi="Book Antiqua"/>
          <w:sz w:val="23"/>
          <w:szCs w:val="23"/>
        </w:rPr>
        <w:t xml:space="preserve">2. </w:t>
        <w:tab/>
        <w:t>A non-immune person presents at least one of the following indicators:</w:t>
      </w:r>
    </w:p>
    <w:p>
      <w:pPr>
        <w:pStyle w:val="Normal"/>
        <w:ind w:firstLine="720" w:start="1440" w:end="0"/>
        <w:rPr>
          <w:rFonts w:ascii="Book Antiqua" w:hAnsi="Book Antiqua" w:cs="Book Antiqua"/>
          <w:sz w:val="23"/>
          <w:szCs w:val="23"/>
        </w:rPr>
      </w:pPr>
      <w:r>
        <w:rPr>
          <w:rFonts w:cs="Book Antiqua" w:ascii="Book Antiqua" w:hAnsi="Book Antiqua"/>
          <w:sz w:val="23"/>
          <w:szCs w:val="23"/>
        </w:rPr>
        <w:t>a.</w:t>
        <w:tab/>
        <w:t>No physician-documented history of active disease.</w:t>
      </w:r>
    </w:p>
    <w:p>
      <w:pPr>
        <w:pStyle w:val="Normal"/>
        <w:ind w:firstLine="720" w:start="1440" w:end="0"/>
        <w:rPr/>
      </w:pPr>
      <w:r>
        <w:rPr>
          <w:rFonts w:cs="Book Antiqua" w:ascii="Book Antiqua" w:hAnsi="Book Antiqua"/>
          <w:sz w:val="23"/>
          <w:szCs w:val="23"/>
        </w:rPr>
        <w:t>b.</w:t>
        <w:tab/>
        <w:t>No serologic evidence of rubella-specific antibodies.</w:t>
      </w:r>
    </w:p>
    <w:p>
      <w:pPr>
        <w:pStyle w:val="Normal"/>
        <w:ind w:hanging="720" w:start="2880" w:end="0"/>
        <w:rPr>
          <w:rFonts w:ascii="Book Antiqua" w:hAnsi="Book Antiqua" w:cs="Book Antiqua"/>
          <w:sz w:val="23"/>
          <w:szCs w:val="23"/>
        </w:rPr>
      </w:pPr>
      <w:r>
        <w:rPr>
          <w:rFonts w:cs="Book Antiqua" w:ascii="Book Antiqua" w:hAnsi="Book Antiqua"/>
          <w:sz w:val="23"/>
          <w:szCs w:val="23"/>
        </w:rPr>
        <w:t>c.</w:t>
        <w:tab/>
        <w:t>No written documentation of vaccination with live, attenuated rubella virus vaccine.</w:t>
      </w:r>
    </w:p>
    <w:p>
      <w:pPr>
        <w:pStyle w:val="Normal"/>
        <w:rPr>
          <w:rFonts w:ascii="Book Antiqua" w:hAnsi="Book Antiqua" w:cs="Book Antiqua"/>
          <w:sz w:val="23"/>
          <w:szCs w:val="23"/>
        </w:rPr>
      </w:pPr>
      <w:r>
        <w:rPr>
          <w:rFonts w:cs="Book Antiqua" w:ascii="Book Antiqua" w:hAnsi="Book Antiqua"/>
          <w:sz w:val="23"/>
          <w:szCs w:val="23"/>
        </w:rPr>
      </w:r>
    </w:p>
    <w:p>
      <w:pPr>
        <w:pStyle w:val="Normal"/>
        <w:ind w:firstLine="720" w:end="0"/>
        <w:rPr>
          <w:rFonts w:ascii="Book Antiqua" w:hAnsi="Book Antiqua" w:cs="Book Antiqua"/>
          <w:sz w:val="23"/>
          <w:szCs w:val="23"/>
        </w:rPr>
      </w:pPr>
      <w:r>
        <w:rPr>
          <w:rFonts w:cs="Book Antiqua" w:ascii="Book Antiqua" w:hAnsi="Book Antiqua"/>
          <w:sz w:val="23"/>
          <w:szCs w:val="23"/>
        </w:rPr>
        <w:t>EXPOSURE MANAGEMENT</w:t>
      </w:r>
    </w:p>
    <w:p>
      <w:pPr>
        <w:pStyle w:val="Normal"/>
        <w:ind w:firstLine="720" w:end="0"/>
        <w:rPr>
          <w:rFonts w:ascii="Book Antiqua" w:hAnsi="Book Antiqua" w:cs="Book Antiqua"/>
          <w:sz w:val="23"/>
          <w:szCs w:val="23"/>
        </w:rPr>
      </w:pPr>
      <w:r>
        <w:rPr>
          <w:rFonts w:cs="Book Antiqua" w:ascii="Book Antiqua" w:hAnsi="Book Antiqua"/>
          <w:sz w:val="23"/>
          <w:szCs w:val="23"/>
        </w:rPr>
      </w:r>
    </w:p>
    <w:p>
      <w:pPr>
        <w:pStyle w:val="Normal"/>
        <w:ind w:hanging="720" w:start="1440" w:end="0"/>
        <w:rPr>
          <w:rFonts w:ascii="Book Antiqua" w:hAnsi="Book Antiqua" w:cs="Book Antiqua"/>
          <w:sz w:val="23"/>
          <w:szCs w:val="23"/>
        </w:rPr>
      </w:pPr>
      <w:r>
        <w:rPr>
          <w:rFonts w:cs="Book Antiqua" w:ascii="Book Antiqua" w:hAnsi="Book Antiqua"/>
          <w:sz w:val="23"/>
          <w:szCs w:val="23"/>
        </w:rPr>
        <w:t xml:space="preserve">1. </w:t>
        <w:tab/>
        <w:t>Notify Infection Control Ext. 15510 (during normal business hours). After hours/holidays/weekends contact ID physician on call.</w:t>
      </w:r>
    </w:p>
    <w:p>
      <w:pPr>
        <w:pStyle w:val="Normal"/>
        <w:ind w:hanging="720" w:start="1440" w:end="0"/>
        <w:rPr>
          <w:rFonts w:ascii="Book Antiqua" w:hAnsi="Book Antiqua" w:cs="Book Antiqua"/>
          <w:sz w:val="23"/>
          <w:szCs w:val="23"/>
        </w:rPr>
      </w:pPr>
      <w:r>
        <w:rPr>
          <w:rFonts w:cs="Book Antiqua" w:ascii="Book Antiqua" w:hAnsi="Book Antiqua"/>
          <w:sz w:val="23"/>
          <w:szCs w:val="23"/>
        </w:rPr>
        <w:t xml:space="preserve">2. </w:t>
        <w:tab/>
        <w:t>Records of rubella screening will be reviewed. Employees are expected to know their immune status based on serologic screening conducted at time of hire.</w:t>
      </w:r>
    </w:p>
    <w:p>
      <w:pPr>
        <w:pStyle w:val="Normal"/>
        <w:ind w:hanging="720" w:start="1440" w:end="0"/>
        <w:rPr>
          <w:rFonts w:ascii="Book Antiqua" w:hAnsi="Book Antiqua" w:cs="Book Antiqua"/>
          <w:sz w:val="23"/>
          <w:szCs w:val="23"/>
        </w:rPr>
      </w:pPr>
      <w:r>
        <w:rPr>
          <w:rFonts w:cs="Book Antiqua" w:ascii="Book Antiqua" w:hAnsi="Book Antiqua"/>
          <w:sz w:val="23"/>
          <w:szCs w:val="23"/>
        </w:rPr>
        <w:t xml:space="preserve">3. </w:t>
        <w:tab/>
        <w:t>If no rubella antibody titer screening was done, a serum specimen will be drawn STAT. Results will be requested STAT.</w:t>
      </w:r>
    </w:p>
    <w:p>
      <w:pPr>
        <w:pStyle w:val="Normal"/>
        <w:ind w:hanging="720" w:start="1440" w:end="0"/>
        <w:rPr>
          <w:rFonts w:ascii="Book Antiqua" w:hAnsi="Book Antiqua" w:cs="Book Antiqua"/>
          <w:sz w:val="23"/>
          <w:szCs w:val="23"/>
        </w:rPr>
      </w:pPr>
      <w:r>
        <w:rPr>
          <w:rFonts w:cs="Book Antiqua" w:ascii="Book Antiqua" w:hAnsi="Book Antiqua"/>
          <w:sz w:val="23"/>
          <w:szCs w:val="23"/>
        </w:rPr>
        <w:t xml:space="preserve">4. </w:t>
        <w:tab/>
        <w:t>Non-immune employees will be furloughed from the 7th through the 21st day after exposure, with or without development of illness.</w:t>
      </w:r>
    </w:p>
    <w:p>
      <w:pPr>
        <w:pStyle w:val="Normal"/>
        <w:ind w:hanging="720" w:start="1440" w:end="0"/>
        <w:rPr>
          <w:rFonts w:ascii="Book Antiqua" w:hAnsi="Book Antiqua" w:cs="Book Antiqua"/>
          <w:sz w:val="23"/>
          <w:szCs w:val="23"/>
        </w:rPr>
      </w:pPr>
      <w:r>
        <w:rPr>
          <w:rFonts w:cs="Book Antiqua" w:ascii="Book Antiqua" w:hAnsi="Book Antiqua"/>
          <w:sz w:val="23"/>
          <w:szCs w:val="23"/>
        </w:rPr>
        <w:t xml:space="preserve">5. </w:t>
        <w:tab/>
        <w:t>If active infection occurs, the employee may return to work 5 days after the onset of rash.</w:t>
      </w:r>
    </w:p>
    <w:p>
      <w:pPr>
        <w:pStyle w:val="Normal"/>
        <w:ind w:firstLine="720" w:end="0"/>
        <w:rPr>
          <w:rFonts w:ascii="Book Antiqua" w:hAnsi="Book Antiqua" w:cs="Book Antiqua"/>
          <w:sz w:val="23"/>
          <w:szCs w:val="23"/>
        </w:rPr>
      </w:pPr>
      <w:r>
        <w:rPr>
          <w:rFonts w:cs="Book Antiqua" w:ascii="Book Antiqua" w:hAnsi="Book Antiqua"/>
          <w:sz w:val="23"/>
          <w:szCs w:val="23"/>
        </w:rPr>
        <w:t xml:space="preserve">6. </w:t>
        <w:tab/>
        <w:t>Post-exposure immunization will not necessarily prevent infection or illness.</w:t>
      </w:r>
    </w:p>
    <w:p>
      <w:pPr>
        <w:pStyle w:val="Normal"/>
        <w:ind w:firstLine="720" w:end="0"/>
        <w:rPr>
          <w:rFonts w:ascii="Book Antiqua" w:hAnsi="Book Antiqua" w:cs="Book Antiqua"/>
          <w:sz w:val="23"/>
          <w:szCs w:val="23"/>
        </w:rPr>
      </w:pPr>
      <w:r>
        <w:rPr>
          <w:rFonts w:cs="Book Antiqua" w:ascii="Book Antiqua" w:hAnsi="Book Antiqua"/>
          <w:sz w:val="23"/>
          <w:szCs w:val="23"/>
        </w:rPr>
        <w:t xml:space="preserve">7. </w:t>
        <w:tab/>
        <w:t>Passive immunization with IG is not indicated.</w:t>
      </w:r>
    </w:p>
    <w:p>
      <w:pPr>
        <w:pStyle w:val="Normal"/>
        <w:rPr>
          <w:rFonts w:ascii="Book Antiqua" w:hAnsi="Book Antiqua" w:cs="Book Antiqua"/>
          <w:b/>
          <w:sz w:val="23"/>
          <w:szCs w:val="23"/>
        </w:rPr>
      </w:pPr>
      <w:r>
        <w:rPr>
          <w:rFonts w:cs="Book Antiqua" w:ascii="Book Antiqua" w:hAnsi="Book Antiqua"/>
          <w:b/>
          <w:sz w:val="23"/>
          <w:szCs w:val="23"/>
        </w:rPr>
      </w:r>
    </w:p>
    <w:p>
      <w:pPr>
        <w:pStyle w:val="Normal"/>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1"/>
        </w:numPr>
        <w:rPr>
          <w:rFonts w:ascii="Book Antiqua" w:hAnsi="Book Antiqua" w:cs="Book Antiqua"/>
          <w:sz w:val="23"/>
          <w:szCs w:val="23"/>
        </w:rPr>
      </w:pPr>
      <w:r>
        <w:rPr>
          <w:rFonts w:cs="Book Antiqua" w:ascii="Book Antiqua" w:hAnsi="Book Antiqua"/>
          <w:sz w:val="23"/>
          <w:szCs w:val="23"/>
        </w:rPr>
        <w:t>Control of Communicable Diseases Manual. 17th Edition. Chin J. Editor. APHA. 2000.</w:t>
      </w:r>
    </w:p>
    <w:p>
      <w:pPr>
        <w:pStyle w:val="Normal"/>
        <w:numPr>
          <w:ilvl w:val="0"/>
          <w:numId w:val="1"/>
        </w:numPr>
        <w:rPr>
          <w:rFonts w:ascii="Book Antiqua" w:hAnsi="Book Antiqua" w:cs="Book Antiqua"/>
          <w:sz w:val="23"/>
          <w:szCs w:val="23"/>
        </w:rPr>
      </w:pPr>
      <w:r>
        <w:rPr>
          <w:rFonts w:cs="Book Antiqua" w:ascii="Book Antiqua" w:hAnsi="Book Antiqua"/>
          <w:sz w:val="23"/>
          <w:szCs w:val="23"/>
        </w:rPr>
        <w:t>CDC, HICPAC. Guidelines for Hospital Employee Health. Fed Reg. Nov.1997</w:t>
      </w:r>
    </w:p>
    <w:p>
      <w:pPr>
        <w:pStyle w:val="Normal"/>
        <w:numPr>
          <w:ilvl w:val="0"/>
          <w:numId w:val="1"/>
        </w:numPr>
        <w:rPr>
          <w:rFonts w:ascii="Book Antiqua" w:hAnsi="Book Antiqua" w:cs="Book Antiqua"/>
          <w:sz w:val="23"/>
          <w:szCs w:val="23"/>
        </w:rPr>
      </w:pPr>
      <w:r>
        <w:rPr>
          <w:rFonts w:cs="Book Antiqua" w:ascii="Book Antiqua" w:hAnsi="Book Antiqua"/>
          <w:sz w:val="23"/>
          <w:szCs w:val="23"/>
        </w:rPr>
        <w:t>American Academy of Pediatrics RedBook: Report of the Committee on Infectious Diseases 2018.</w:t>
      </w:r>
    </w:p>
    <w:p>
      <w:pPr>
        <w:pStyle w:val="Normal"/>
        <w:numPr>
          <w:ilvl w:val="0"/>
          <w:numId w:val="1"/>
        </w:numPr>
        <w:rPr>
          <w:rFonts w:ascii="Book Antiqua" w:hAnsi="Book Antiqua" w:cs="Book Antiqua"/>
          <w:sz w:val="23"/>
          <w:szCs w:val="23"/>
        </w:rPr>
      </w:pPr>
      <w:r>
        <w:rPr>
          <w:rFonts w:cs="Book Antiqua" w:ascii="Book Antiqua" w:hAnsi="Book Antiqua"/>
          <w:sz w:val="23"/>
          <w:szCs w:val="23"/>
        </w:rPr>
        <w:t>Association for Professionals in Infection Control, 4</w:t>
      </w:r>
      <w:r>
        <w:rPr>
          <w:rFonts w:cs="Book Antiqua" w:ascii="Book Antiqua" w:hAnsi="Book Antiqua"/>
          <w:sz w:val="23"/>
          <w:szCs w:val="23"/>
          <w:vertAlign w:val="superscript"/>
        </w:rPr>
        <w:t>th</w:t>
      </w:r>
      <w:r>
        <w:rPr>
          <w:rFonts w:cs="Book Antiqua" w:ascii="Book Antiqua" w:hAnsi="Book Antiqua"/>
          <w:sz w:val="23"/>
          <w:szCs w:val="23"/>
        </w:rPr>
        <w:t xml:space="preserve"> edition, 2014, “Rubella” chapter 86.</w:t>
      </w:r>
    </w:p>
    <w:p>
      <w:pPr>
        <w:pStyle w:val="Normal"/>
        <w:rPr>
          <w:rFonts w:ascii="Book Antiqua" w:hAnsi="Book Antiqua" w:cs="Book Antiqua"/>
          <w:sz w:val="23"/>
          <w:szCs w:val="23"/>
        </w:rPr>
      </w:pPr>
      <w:r>
        <w:rPr>
          <w:rFonts w:cs="Book Antiqua" w:ascii="Book Antiqua" w:hAnsi="Book Antiqua"/>
          <w:sz w:val="23"/>
          <w:szCs w:val="23"/>
        </w:rPr>
      </w:r>
    </w:p>
    <w:p>
      <w:pPr>
        <w:pStyle w:val="Normal"/>
        <w:rPr>
          <w:rFonts w:ascii="Book Antiqua" w:hAnsi="Book Antiqua" w:cs="Book Antiqua"/>
          <w:b/>
          <w:sz w:val="23"/>
          <w:szCs w:val="23"/>
        </w:rPr>
      </w:pPr>
      <w:r>
        <w:rPr>
          <w:rFonts w:cs="Book Antiqua" w:ascii="Book Antiqua" w:hAnsi="Book Antiqua"/>
          <w:b/>
          <w:sz w:val="23"/>
          <w:szCs w:val="23"/>
        </w:rPr>
        <w:t>POLICY OWNER:</w:t>
      </w:r>
    </w:p>
    <w:p>
      <w:pPr>
        <w:pStyle w:val="Normal"/>
        <w:rPr/>
      </w:pPr>
      <w:r>
        <w:rPr>
          <w:rFonts w:cs="Book Antiqua" w:ascii="Book Antiqua" w:hAnsi="Book Antiqua"/>
          <w:bCs/>
          <w:i/>
          <w:iCs/>
          <w:sz w:val="23"/>
          <w:szCs w:val="23"/>
        </w:rPr>
        <w:t>Director, Accreditation &amp; Licensing, Infection Prevention, and Emergency Management</w:t>
      </w:r>
    </w:p>
    <w:sectPr>
      <w:headerReference w:type="default" r:id="rId2"/>
      <w:type w:val="nextPage"/>
      <w:pgSz w:w="12240" w:h="15840"/>
      <w:pgMar w:left="1080" w:right="108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Rubella Exposure Management</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10/01/1987</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12/22/2020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303.3</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2</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44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2z0">
    <w:name w:val="WW8Num2z0"/>
    <w:qFormat/>
    <w:rPr/>
  </w:style>
  <w:style w:type="character" w:styleId="DefaultParagraphFont">
    <w:name w:val="Default Paragraph Font"/>
    <w:qFormat/>
    <w:rPr/>
  </w:style>
  <w:style w:type="character" w:styleId="BalloonTextChar">
    <w:name w:val="Balloon Text Char"/>
    <w:qFormat/>
    <w:rPr>
      <w:rFonts w:ascii="Tahoma" w:hAnsi="Tahoma" w:eastAsia="Times New Roman" w:cs="Tahoma"/>
      <w:sz w:val="16"/>
      <w:szCs w:val="16"/>
    </w:rPr>
  </w:style>
  <w:style w:type="character" w:styleId="HeaderChar">
    <w:name w:val="Header Char"/>
    <w:qFormat/>
    <w:rPr>
      <w:rFonts w:ascii="Times New Roman" w:hAnsi="Times New Roman" w:eastAsia="Times New Roman" w:cs="Times New Roman"/>
      <w:sz w:val="24"/>
      <w:szCs w:val="24"/>
    </w:rPr>
  </w:style>
  <w:style w:type="character" w:styleId="FooterChar">
    <w:name w:val="Footer Char"/>
    <w:qFormat/>
    <w:rPr>
      <w:rFonts w:ascii="Times New Roman" w:hAnsi="Times New Roman" w:eastAsia="Times New Roman" w:cs="Times New Roman"/>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2020-10-19T07:51:00Z</dcterms:created>
  <dc:creator>Martin, Ashley</dc:creator>
  <dc:description/>
  <cp:keywords/>
  <dc:language>en-US</dc:language>
  <cp:lastModifiedBy>Lam, Susan</cp:lastModifiedBy>
  <cp:lastPrinted>2017-11-28T15:30:00Z</cp:lastPrinted>
  <dcterms:modified xsi:type="dcterms:W3CDTF">2021-05-12T15:02:00Z</dcterms:modified>
  <cp:revision>8</cp:revision>
  <dc:subject/>
  <dc:title>IC - 303.3 Rubella Exposure Management</dc:title>
</cp:coreProperties>
</file>