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Book Antiqua;Cambria" w:hAnsi="Book Antiqua;Cambria" w:cs="Book Antiqua;Cambria"/>
          <w:b/>
          <w:szCs w:val="24"/>
        </w:rPr>
      </w:pPr>
      <w:r>
        <w:rPr>
          <w:rFonts w:cs="Book Antiqua;Cambria" w:ascii="Book Antiqua;Cambria" w:hAnsi="Book Antiqua;Cambria"/>
          <w:b/>
          <w:szCs w:val="24"/>
        </w:rPr>
        <w:t xml:space="preserve">IC – 309.1 Appendix A: </w:t>
      </w:r>
    </w:p>
    <w:p>
      <w:pPr>
        <w:pStyle w:val="Normal"/>
        <w:jc w:val="center"/>
        <w:rPr/>
      </w:pPr>
      <w:r>
        <w:rPr>
          <w:rFonts w:cs="Book Antiqua;Cambria" w:ascii="Book Antiqua;Cambria" w:hAnsi="Book Antiqua;Cambria"/>
          <w:b/>
          <w:szCs w:val="24"/>
        </w:rPr>
        <w:t>Pertussis Background Information</w:t>
      </w:r>
    </w:p>
    <w:p>
      <w:pPr>
        <w:pStyle w:val="Normal"/>
        <w:jc w:val="center"/>
        <w:rPr>
          <w:rFonts w:ascii="Book Antiqua;Cambria" w:hAnsi="Book Antiqua;Cambria" w:cs="Book Antiqua;Cambria"/>
          <w:b/>
          <w:szCs w:val="24"/>
        </w:rPr>
      </w:pPr>
      <w:r>
        <w:rPr>
          <w:rFonts w:cs="Book Antiqua;Cambria" w:ascii="Book Antiqua;Cambria" w:hAnsi="Book Antiqua;Cambria"/>
          <w:b/>
          <w:szCs w:val="24"/>
        </w:rPr>
      </w:r>
    </w:p>
    <w:p>
      <w:pPr>
        <w:pStyle w:val="Normal"/>
        <w:rPr/>
      </w:pPr>
      <w:r>
        <w:rPr>
          <w:rFonts w:cs="Book Antiqua;Cambria" w:ascii="Book Antiqua;Cambria" w:hAnsi="Book Antiqua;Cambria"/>
          <w:szCs w:val="24"/>
          <w:u w:val="single"/>
        </w:rPr>
        <w:t>Modes of Transmission:</w:t>
      </w:r>
      <w:r>
        <w:rPr>
          <w:rFonts w:cs="Book Antiqua;Cambria" w:ascii="Book Antiqua;Cambria" w:hAnsi="Book Antiqua;Cambria"/>
          <w:szCs w:val="24"/>
        </w:rPr>
        <w:t xml:space="preserve"> Pertussis is highly contagious. Contact with respiratory tract secretions or droplets of infected individuals. </w:t>
      </w:r>
    </w:p>
    <w:p>
      <w:pPr>
        <w:pStyle w:val="Normal"/>
        <w:rPr>
          <w:rFonts w:ascii="Book Antiqua;Cambria" w:hAnsi="Book Antiqua;Cambria" w:cs="Book Antiqua;Cambria"/>
          <w:szCs w:val="24"/>
        </w:rPr>
      </w:pPr>
      <w:r>
        <w:rPr>
          <w:rFonts w:cs="Book Antiqua;Cambria" w:ascii="Book Antiqua;Cambria" w:hAnsi="Book Antiqua;Cambria"/>
          <w:szCs w:val="24"/>
        </w:rPr>
      </w:r>
    </w:p>
    <w:p>
      <w:pPr>
        <w:pStyle w:val="Normal"/>
        <w:rPr/>
      </w:pPr>
      <w:r>
        <w:rPr>
          <w:rFonts w:cs="Book Antiqua;Cambria" w:ascii="Book Antiqua;Cambria" w:hAnsi="Book Antiqua;Cambria"/>
          <w:szCs w:val="24"/>
          <w:u w:val="single"/>
        </w:rPr>
        <w:t xml:space="preserve">Incubation period:  </w:t>
      </w:r>
      <w:r>
        <w:rPr>
          <w:rFonts w:cs="Book Antiqua;Cambria" w:ascii="Book Antiqua;Cambria" w:hAnsi="Book Antiqua;Cambria"/>
          <w:szCs w:val="24"/>
        </w:rPr>
        <w:t>Typically 7-10 days (range 5-21 days)</w:t>
      </w:r>
    </w:p>
    <w:p>
      <w:pPr>
        <w:pStyle w:val="Normal"/>
        <w:rPr>
          <w:rFonts w:ascii="Book Antiqua;Cambria" w:hAnsi="Book Antiqua;Cambria" w:cs="Book Antiqua;Cambria"/>
          <w:szCs w:val="24"/>
        </w:rPr>
      </w:pPr>
      <w:r>
        <w:rPr>
          <w:rFonts w:cs="Book Antiqua;Cambria" w:ascii="Book Antiqua;Cambria" w:hAnsi="Book Antiqua;Cambria"/>
          <w:szCs w:val="24"/>
        </w:rPr>
      </w:r>
    </w:p>
    <w:p>
      <w:pPr>
        <w:pStyle w:val="Default"/>
        <w:rPr>
          <w:rFonts w:ascii="Book Antiqua;Cambria" w:hAnsi="Book Antiqua;Cambria" w:cs="Book Antiqua;Cambria"/>
        </w:rPr>
      </w:pPr>
      <w:r>
        <w:rPr>
          <w:rFonts w:cs="Book Antiqua;Cambria" w:ascii="Book Antiqua;Cambria" w:hAnsi="Book Antiqua;Cambria"/>
          <w:u w:val="single"/>
        </w:rPr>
        <w:t>Period of Communicability</w:t>
      </w:r>
      <w:r>
        <w:rPr>
          <w:rFonts w:cs="Book Antiqua;Cambria" w:ascii="Book Antiqua;Cambria" w:hAnsi="Book Antiqua;Cambria"/>
        </w:rPr>
        <w:t>: Persons ≥1 year are considered infectious from the onset of cold-like symptoms until after 5 days of treatment or until 21 days after cough onset, if no (or partial) treatment is given (6 weeks for infants &lt; 1year)</w:t>
      </w:r>
    </w:p>
    <w:p>
      <w:pPr>
        <w:pStyle w:val="Default"/>
        <w:rPr>
          <w:rFonts w:ascii="Book Antiqua;Cambria" w:hAnsi="Book Antiqua;Cambria" w:cs="Book Antiqua;Cambria"/>
        </w:rPr>
      </w:pPr>
      <w:r>
        <w:rPr>
          <w:rFonts w:cs="Book Antiqua;Cambria" w:ascii="Book Antiqua;Cambria" w:hAnsi="Book Antiqua;Cambria"/>
        </w:rPr>
      </w:r>
    </w:p>
    <w:p>
      <w:pPr>
        <w:pStyle w:val="Default"/>
        <w:rPr/>
      </w:pPr>
      <w:r>
        <w:rPr>
          <w:rFonts w:cs="Book Antiqua;Cambria" w:ascii="Book Antiqua;Cambria" w:hAnsi="Book Antiqua;Cambria"/>
          <w:u w:val="single"/>
        </w:rPr>
        <w:t xml:space="preserve">Clinical Manifestation:  </w:t>
      </w:r>
      <w:r>
        <w:rPr>
          <w:rFonts w:cs="Book Antiqua;Cambria" w:ascii="Book Antiqua;Cambria" w:hAnsi="Book Antiqua;Cambria"/>
        </w:rPr>
        <w:t xml:space="preserve"> The classic symptoms of pertussis include “whoop”, vomiting, apnea, and cyanosis immediately following a paroxysm of coughing. Infants younger than 6 months may have an atypical presentation with gagging, gasping or apnea as early manifestations. </w:t>
      </w:r>
    </w:p>
    <w:p>
      <w:pPr>
        <w:pStyle w:val="Default"/>
        <w:rPr>
          <w:rFonts w:ascii="Book Antiqua;Cambria" w:hAnsi="Book Antiqua;Cambria" w:cs="Book Antiqua;Cambria"/>
        </w:rPr>
      </w:pPr>
      <w:r>
        <w:rPr>
          <w:rFonts w:cs="Book Antiqua;Cambria" w:ascii="Book Antiqua;Cambria" w:hAnsi="Book Antiqua;Cambria"/>
        </w:rPr>
      </w:r>
    </w:p>
    <w:p>
      <w:pPr>
        <w:pStyle w:val="Default"/>
        <w:rPr>
          <w:rFonts w:ascii="Book Antiqua;Cambria" w:hAnsi="Book Antiqua;Cambria" w:cs="Book Antiqua;Cambria"/>
        </w:rPr>
      </w:pPr>
      <w:r>
        <w:rPr>
          <w:rFonts w:cs="Book Antiqua;Cambria" w:ascii="Book Antiqua;Cambria" w:hAnsi="Book Antiqua;Cambria"/>
        </w:rPr>
      </w:r>
    </w:p>
    <w:p>
      <w:pPr>
        <w:pStyle w:val="Default"/>
        <w:rPr>
          <w:lang w:val="en-US" w:eastAsia="en-US"/>
        </w:rPr>
      </w:pPr>
      <w:r>
        <w:rPr>
          <w:lang w:val="en-US" w:eastAsia="en-US"/>
        </w:rPr>
        <w:drawing>
          <wp:inline distT="0" distB="0" distL="0" distR="0">
            <wp:extent cx="6854825" cy="3343910"/>
            <wp:effectExtent l="0" t="0" r="0" b="0"/>
            <wp:docPr id="1" name="Picture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11" r="-6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825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Book Antiqua;Cambria" w:hAnsi="Book Antiqua;Cambria" w:cs="Book Antiqua;Cambria"/>
          <w:szCs w:val="24"/>
        </w:rPr>
      </w:pPr>
      <w:r>
        <w:rPr>
          <w:rFonts w:cs="Book Antiqua;Cambria" w:ascii="Book Antiqua;Cambria" w:hAnsi="Book Antiqua;Cambria"/>
          <w:szCs w:val="24"/>
        </w:rPr>
      </w:r>
    </w:p>
    <w:p>
      <w:pPr>
        <w:pStyle w:val="Normal"/>
        <w:jc w:val="both"/>
        <w:rPr>
          <w:rFonts w:ascii="Book Antiqua;Cambria" w:hAnsi="Book Antiqua;Cambria" w:cs="Book Antiqua;Cambria"/>
          <w:szCs w:val="24"/>
        </w:rPr>
      </w:pPr>
      <w:r>
        <w:rPr>
          <w:rFonts w:cs="Book Antiqua;Cambria" w:ascii="Book Antiqua;Cambria" w:hAnsi="Book Antiqua;Cambria"/>
          <w:szCs w:val="24"/>
        </w:rPr>
      </w:r>
    </w:p>
    <w:p>
      <w:pPr>
        <w:pStyle w:val="Normal"/>
        <w:jc w:val="both"/>
        <w:rPr>
          <w:rFonts w:ascii="Book Antiqua;Cambria" w:hAnsi="Book Antiqua;Cambria" w:cs="Book Antiqua;Cambria"/>
          <w:szCs w:val="24"/>
        </w:rPr>
      </w:pPr>
      <w:r>
        <w:rPr>
          <w:rFonts w:cs="Book Antiqua;Cambria" w:ascii="Book Antiqua;Cambria" w:hAnsi="Book Antiqua;Cambria"/>
          <w:szCs w:val="24"/>
        </w:rPr>
      </w:r>
    </w:p>
    <w:p>
      <w:pPr>
        <w:pStyle w:val="Normal"/>
        <w:rPr>
          <w:rFonts w:ascii="Book Antiqua;Cambria" w:hAnsi="Book Antiqua;Cambria" w:cs="Book Antiqua;Cambria"/>
          <w:szCs w:val="24"/>
        </w:rPr>
      </w:pPr>
      <w:r>
        <w:rPr>
          <w:rFonts w:cs="Book Antiqua;Cambria" w:ascii="Book Antiqua;Cambria" w:hAnsi="Book Antiqua;Cambria"/>
          <w:szCs w:val="24"/>
        </w:rPr>
      </w:r>
    </w:p>
    <w:sectPr>
      <w:headerReference w:type="default" r:id="rId3"/>
      <w:footerReference w:type="default" r:id="rId4"/>
      <w:type w:val="nextPage"/>
      <w:pgSz w:w="12240" w:h="15840"/>
      <w:pgMar w:left="720" w:right="720" w:gutter="0" w:header="432" w:top="720" w:footer="432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Book Antiqua">
    <w:altName w:val="Cambria"/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start="720" w:end="0"/>
      <w:jc w:val="center"/>
      <w:rPr/>
    </w:pPr>
    <w:r>
      <w:rPr>
        <w:rFonts w:cs="Book Antiqua;Cambria" w:ascii="Book Antiqua;Cambria" w:hAnsi="Book Antiqua;Cambria"/>
        <w:b/>
        <w:bCs/>
        <w:i/>
        <w:iCs/>
        <w:color w:val="FF0000"/>
        <w:sz w:val="20"/>
        <w:szCs w:val="16"/>
      </w:rPr>
      <w:t>*Once this policy is printed or otherwise distributed from the CHLA Policies and Procedures Library, it is not considered a controlled document. Please review the electronic version of this policy in the CHLA Policies and Procedures Library as this may not be the current version.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trackRevisions/>
  <w:defaultTabStop w:val="720"/>
  <w:autoHyphenation w:val="true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Times New Roman" w:hAnsi="Times New Roman" w:eastAsia="Times New Roman" w:cs="Times New Roman"/>
      <w:color w:val="auto"/>
      <w:sz w:val="24"/>
      <w:szCs w:val="20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Times New Roman"/>
      <w:sz w:val="24"/>
      <w:szCs w:val="20"/>
    </w:rPr>
  </w:style>
  <w:style w:type="character" w:styleId="BalloonTextChar">
    <w:name w:val="Balloon Text Char"/>
    <w:qFormat/>
    <w:rPr>
      <w:rFonts w:ascii="Tahoma" w:hAnsi="Tahoma" w:eastAsia="Times New Roman" w:cs="Tahoma"/>
      <w:sz w:val="16"/>
      <w:szCs w:val="16"/>
    </w:rPr>
  </w:style>
  <w:style w:type="character" w:styleId="FooterChar">
    <w:name w:val="Footer Char"/>
    <w:qFormat/>
    <w:rPr>
      <w:rFonts w:ascii="Times New Roman" w:hAnsi="Times New Roman" w:eastAsia="Times New Roman" w:cs="Times New Roman"/>
      <w:sz w:val="2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Default">
    <w:name w:val="Default"/>
    <w:qFormat/>
    <w:pPr>
      <w:widowControl/>
      <w:autoSpaceDE w:val="false"/>
      <w:bidi w:val="0"/>
    </w:pPr>
    <w:rPr>
      <w:rFonts w:ascii="Times New Roman" w:hAnsi="Times New Roman" w:eastAsia="Times New Roman" w:cs="Times New Roman"/>
      <w:color w:val="000000"/>
      <w:sz w:val="24"/>
      <w:szCs w:val="24"/>
      <w:lang w:val="en-US" w:bidi="ar-SA" w:eastAsia="zh-C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LibreOffice/24.2.4.2$MacOSX_AARCH64 LibreOffice_project/51a6219feb6075d9a4c46691dcfe0cd9c4fff3c2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2018-01-29T16:02:00Z</dcterms:created>
  <dc:creator>Fuong Huynh</dc:creator>
  <dc:description/>
  <cp:keywords/>
  <dc:language>en-US</dc:language>
  <cp:lastModifiedBy>Huynh, Fuong</cp:lastModifiedBy>
  <dcterms:modified xsi:type="dcterms:W3CDTF">2021-06-27T09:34:00Z</dcterms:modified>
  <cp:revision>5</cp:revision>
  <dc:subject/>
  <dc:title>IC - 309.1 Pertussis Background Information</dc:title>
</cp:coreProperties>
</file>