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b/>
          <w:sz w:val="23"/>
          <w:szCs w:val="23"/>
        </w:rPr>
      </w:pPr>
      <w:r>
        <w:rPr>
          <w:rFonts w:cs="Book Antiqua" w:ascii="Book Antiqua" w:hAnsi="Book Antiqua"/>
          <w:b/>
          <w:sz w:val="23"/>
          <w:szCs w:val="23"/>
        </w:rPr>
        <w:t>PURPOSE:</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sz w:val="23"/>
          <w:szCs w:val="23"/>
        </w:rPr>
      </w:pPr>
      <w:r>
        <w:rPr>
          <w:rFonts w:cs="Book Antiqua" w:ascii="Book Antiqua" w:hAnsi="Book Antiqua"/>
          <w:sz w:val="23"/>
          <w:szCs w:val="23"/>
        </w:rPr>
        <w:t xml:space="preserve">Respiratory Syncytial Virus (RSV) is one of the leading causes of respiratory tract infections in infants and the elderly worldwide. RSV is an infectious agent that is transmitted by direct and indirect contact. The management of patients diagnosed with, or highly suspicious of having RSV must be defined and preventive measures instituted. The mode of transmission and high attack rate make RSV a significant nosocomial pathogen, necessitating rapid implementation of infection prevention and control measures.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sz w:val="23"/>
          <w:szCs w:val="23"/>
        </w:rPr>
        <w:t xml:space="preserve">The purpose of the following policy is to prevent transmission of RSV to susceptible persons, define RSV exposure, and establish guidelines for patient placement and management. </w:t>
      </w:r>
    </w:p>
    <w:p>
      <w:pPr>
        <w:pStyle w:val="Normal"/>
        <w:ind w:start="360" w:end="0"/>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sz w:val="23"/>
          <w:szCs w:val="23"/>
        </w:rPr>
      </w:pPr>
      <w:r>
        <w:rPr>
          <w:rFonts w:cs="Book Antiqua" w:ascii="Book Antiqua" w:hAnsi="Book Antiqua"/>
          <w:b/>
          <w:sz w:val="23"/>
          <w:szCs w:val="23"/>
        </w:rPr>
        <w:t>DEFINITIONS</w:t>
      </w:r>
      <w:r>
        <w:rPr>
          <w:rFonts w:cs="Book Antiqua" w:ascii="Book Antiqua" w:hAnsi="Book Antiqua"/>
          <w:sz w:val="23"/>
          <w:szCs w:val="23"/>
        </w:rPr>
        <w:t>:</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numPr>
          <w:ilvl w:val="0"/>
          <w:numId w:val="4"/>
        </w:numPr>
        <w:jc w:val="both"/>
        <w:rPr>
          <w:rFonts w:ascii="Book Antiqua" w:hAnsi="Book Antiqua" w:cs="Book Antiqua"/>
          <w:sz w:val="23"/>
          <w:szCs w:val="23"/>
        </w:rPr>
      </w:pPr>
      <w:r>
        <w:rPr>
          <w:rFonts w:cs="Book Antiqua" w:ascii="Book Antiqua" w:hAnsi="Book Antiqua"/>
          <w:sz w:val="23"/>
          <w:szCs w:val="23"/>
          <w:u w:val="single"/>
        </w:rPr>
        <w:t>Mode of Transmission:</w:t>
      </w:r>
      <w:r>
        <w:rPr>
          <w:rFonts w:cs="Book Antiqua" w:ascii="Book Antiqua" w:hAnsi="Book Antiqua"/>
          <w:sz w:val="23"/>
          <w:szCs w:val="23"/>
        </w:rPr>
        <w:t xml:space="preserve"> RSV can be transmitted by direct contact with infected persons via large particle droplets. Indirect transmission can occur from hands or fomites that are contaminated with RSV.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numPr>
          <w:ilvl w:val="0"/>
          <w:numId w:val="4"/>
        </w:numPr>
        <w:jc w:val="both"/>
        <w:rPr>
          <w:rFonts w:ascii="Book Antiqua" w:hAnsi="Book Antiqua" w:cs="Book Antiqua"/>
          <w:sz w:val="23"/>
          <w:szCs w:val="23"/>
        </w:rPr>
      </w:pPr>
      <w:r>
        <w:rPr>
          <w:rFonts w:cs="Book Antiqua" w:ascii="Book Antiqua" w:hAnsi="Book Antiqua"/>
          <w:sz w:val="23"/>
          <w:szCs w:val="23"/>
          <w:u w:val="single"/>
        </w:rPr>
        <w:t>Clinical Manifestation:</w:t>
      </w:r>
      <w:r>
        <w:rPr>
          <w:rFonts w:cs="Book Antiqua" w:ascii="Book Antiqua" w:hAnsi="Book Antiqua"/>
          <w:sz w:val="23"/>
          <w:szCs w:val="23"/>
        </w:rPr>
        <w:t xml:space="preserve">  The most common presentation of RSV is upper respiratory tract infection, including sneezing, rhinorrhea, nasal congestion, cough, and often fever. Progression to lower tract disease may result in bronchiolitis, tracheobronchiolitis, and pneumonia.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 xml:space="preserve">PROCEDURES: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 xml:space="preserve">Patients admitted to CHLA with symptoms of an acute respiratory illness must be placed in </w:t>
      </w:r>
      <w:r>
        <w:rPr>
          <w:rFonts w:cs="Book Antiqua" w:ascii="Book Antiqua" w:hAnsi="Book Antiqua"/>
          <w:b/>
          <w:sz w:val="23"/>
          <w:szCs w:val="23"/>
        </w:rPr>
        <w:t>Combined-Droplet</w:t>
      </w:r>
      <w:r>
        <w:rPr>
          <w:rFonts w:cs="Book Antiqua" w:ascii="Book Antiqua" w:hAnsi="Book Antiqua"/>
          <w:sz w:val="23"/>
          <w:szCs w:val="23"/>
        </w:rPr>
        <w:t xml:space="preserve"> precautions using </w:t>
      </w:r>
      <w:r>
        <w:rPr>
          <w:rFonts w:cs="Book Antiqua" w:ascii="Book Antiqua" w:hAnsi="Book Antiqua"/>
          <w:b/>
          <w:sz w:val="23"/>
          <w:szCs w:val="23"/>
        </w:rPr>
        <w:t>mask, gloves, and gown</w:t>
      </w:r>
      <w:r>
        <w:rPr>
          <w:rFonts w:cs="Book Antiqua" w:ascii="Book Antiqua" w:hAnsi="Book Antiqua"/>
          <w:sz w:val="23"/>
          <w:szCs w:val="23"/>
        </w:rPr>
        <w:t xml:space="preserve"> for 7 days after positive test; or return to baseline (whichever is longer). For high hazard procedures, an N95 mask is required per CHLA’s ATD plan.</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b/>
          <w:sz w:val="23"/>
          <w:szCs w:val="23"/>
        </w:rPr>
        <w:t>Mask, gloves, and gowns</w:t>
      </w:r>
      <w:r>
        <w:rPr>
          <w:rFonts w:cs="Book Antiqua" w:ascii="Book Antiqua" w:hAnsi="Book Antiqua"/>
          <w:sz w:val="23"/>
          <w:szCs w:val="23"/>
        </w:rPr>
        <w:t xml:space="preserve"> </w:t>
      </w:r>
      <w:r>
        <w:rPr>
          <w:rFonts w:cs="Book Antiqua" w:ascii="Book Antiqua" w:hAnsi="Book Antiqua"/>
          <w:sz w:val="23"/>
          <w:szCs w:val="23"/>
          <w:u w:val="single"/>
        </w:rPr>
        <w:t>must</w:t>
      </w:r>
      <w:r>
        <w:rPr>
          <w:rFonts w:cs="Book Antiqua" w:ascii="Book Antiqua" w:hAnsi="Book Antiqua"/>
          <w:sz w:val="23"/>
          <w:szCs w:val="23"/>
        </w:rPr>
        <w:t xml:space="preserve"> be worn before entering the patient room.  Stringent hand hygiene must be practiced (5 Moments of Hand Hygiene).  </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Because of the virus’ ability to survive on hands and environmental surfaces, health care workers should abstain from touching eyes, nose and mouth while caring for patients.  Eyes, mouth and nose are inoculation sites.</w:t>
      </w:r>
    </w:p>
    <w:p>
      <w:pPr>
        <w:pStyle w:val="Normal"/>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 xml:space="preserve">Place patients with diagnosed RSV in a private room, or if known not to have any other respiratory infections or </w:t>
      </w:r>
      <w:r>
        <w:rPr>
          <w:rFonts w:cs="Book Antiqua" w:ascii="Book Antiqua" w:hAnsi="Book Antiqua"/>
          <w:b/>
          <w:sz w:val="23"/>
          <w:szCs w:val="23"/>
        </w:rPr>
        <w:t>chronic conditions</w:t>
      </w:r>
      <w:r>
        <w:rPr>
          <w:rFonts w:cs="Book Antiqua" w:ascii="Book Antiqua" w:hAnsi="Book Antiqua"/>
          <w:sz w:val="23"/>
          <w:szCs w:val="23"/>
        </w:rPr>
        <w:t>, in a room with other patient(s) with RSV</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Patients (</w:t>
      </w:r>
      <w:r>
        <w:rPr>
          <w:rFonts w:cs="Book Antiqua" w:ascii="Book Antiqua" w:hAnsi="Book Antiqua"/>
          <w:b/>
          <w:sz w:val="23"/>
          <w:szCs w:val="23"/>
        </w:rPr>
        <w:t>without any underlying chronic conditions</w:t>
      </w:r>
      <w:r>
        <w:rPr>
          <w:rFonts w:cs="Book Antiqua" w:ascii="Book Antiqua" w:hAnsi="Book Antiqua"/>
          <w:sz w:val="23"/>
          <w:szCs w:val="23"/>
        </w:rPr>
        <w:t xml:space="preserve">) who are symptomatic for or highly suspicious of having RSV may be cohorted. </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 xml:space="preserve">Do not cohort </w:t>
      </w:r>
      <w:r>
        <w:rPr>
          <w:rFonts w:cs="Book Antiqua" w:ascii="Book Antiqua" w:hAnsi="Book Antiqua"/>
          <w:sz w:val="23"/>
          <w:szCs w:val="23"/>
          <w:u w:val="single"/>
        </w:rPr>
        <w:t>asymptomatic</w:t>
      </w:r>
      <w:r>
        <w:rPr>
          <w:rFonts w:cs="Book Antiqua" w:ascii="Book Antiqua" w:hAnsi="Book Antiqua"/>
          <w:sz w:val="23"/>
          <w:szCs w:val="23"/>
        </w:rPr>
        <w:t xml:space="preserve"> RSV positive patients with symptomatic RSV positive patients.  Patients can be re-infected.</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In a multi bed room where a patient becomes symptomatic, and the patient cannot be moved to another room, consider the entire room exposed.  Mask, gown, and gloves must be used to prevent cross infection to the other patients.</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Repeat respiratory viral panel testing need not be done to discontinue isolation of asymptomatic patients.  Positive RSV may persist for 3-4 weeks, but infectiousness has not been determined.</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The physician's clinical judgment will determine the management of patients with chronic respiratory illnesses</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ListParagraph"/>
        <w:numPr>
          <w:ilvl w:val="0"/>
          <w:numId w:val="2"/>
        </w:numPr>
        <w:jc w:val="both"/>
        <w:rPr>
          <w:rFonts w:ascii="Book Antiqua" w:hAnsi="Book Antiqua" w:cs="Book Antiqua"/>
          <w:sz w:val="23"/>
          <w:szCs w:val="23"/>
        </w:rPr>
      </w:pPr>
      <w:r>
        <w:rPr>
          <w:rFonts w:cs="Book Antiqua" w:ascii="Book Antiqua" w:hAnsi="Book Antiqua"/>
          <w:sz w:val="23"/>
          <w:szCs w:val="23"/>
        </w:rPr>
        <w:t xml:space="preserve">CDC. HICPAC. Guideline for Isolation Precautions: Preventing Transmission of Infectious Agents in Healthcare Settings, 2007. </w:t>
      </w:r>
    </w:p>
    <w:p>
      <w:pPr>
        <w:pStyle w:val="ListParagraph"/>
        <w:numPr>
          <w:ilvl w:val="0"/>
          <w:numId w:val="2"/>
        </w:numPr>
        <w:jc w:val="both"/>
        <w:rPr>
          <w:rFonts w:ascii="Book Antiqua" w:hAnsi="Book Antiqua" w:cs="Book Antiqua"/>
          <w:sz w:val="23"/>
          <w:szCs w:val="23"/>
        </w:rPr>
      </w:pPr>
      <w:r>
        <w:rPr>
          <w:rFonts w:cs="Book Antiqua" w:ascii="Book Antiqua" w:hAnsi="Book Antiqua"/>
          <w:sz w:val="23"/>
          <w:szCs w:val="23"/>
        </w:rPr>
        <w:t>APIC Text of Infection Control and Epidemiology, 4</w:t>
      </w:r>
      <w:r>
        <w:rPr>
          <w:rFonts w:cs="Book Antiqua" w:ascii="Book Antiqua" w:hAnsi="Book Antiqua"/>
          <w:sz w:val="23"/>
          <w:szCs w:val="23"/>
          <w:vertAlign w:val="superscript"/>
        </w:rPr>
        <w:t>th</w:t>
      </w:r>
      <w:r>
        <w:rPr>
          <w:rFonts w:cs="Book Antiqua" w:ascii="Book Antiqua" w:hAnsi="Book Antiqua"/>
          <w:sz w:val="23"/>
          <w:szCs w:val="23"/>
        </w:rPr>
        <w:t xml:space="preserve"> edition. Chapter 90: Respiratory Syncytial Virus, 2014.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sz w:val="23"/>
          <w:szCs w:val="23"/>
        </w:rPr>
      </w:pPr>
      <w:r>
        <w:rPr>
          <w:rFonts w:cs="Book Antiqua" w:ascii="Book Antiqua" w:hAnsi="Book Antiqua"/>
          <w:b/>
          <w:sz w:val="23"/>
          <w:szCs w:val="23"/>
        </w:rPr>
        <w:t>POLICY OWNER:</w:t>
      </w:r>
    </w:p>
    <w:p>
      <w:pPr>
        <w:pStyle w:val="Normal"/>
        <w:jc w:val="both"/>
        <w:rPr>
          <w:rFonts w:ascii="Book Antiqua" w:hAnsi="Book Antiqua" w:cs="Book Antiqua"/>
          <w:bCs/>
          <w:i/>
          <w:i/>
          <w:iCs/>
          <w:sz w:val="23"/>
          <w:szCs w:val="23"/>
        </w:rPr>
      </w:pPr>
      <w:r>
        <w:rPr>
          <w:rFonts w:cs="Book Antiqua" w:ascii="Book Antiqua" w:hAnsi="Book Antiqua"/>
          <w:bCs/>
          <w:i/>
          <w:iCs/>
          <w:sz w:val="23"/>
          <w:szCs w:val="23"/>
        </w:rPr>
        <w:t>Executive Director, Infection Prevention, Accreditation and Licensing, Emergency Management</w:t>
      </w:r>
    </w:p>
    <w:p>
      <w:pPr>
        <w:pStyle w:val="Normal"/>
        <w:jc w:val="both"/>
        <w:rPr>
          <w:rFonts w:ascii="Book Antiqua" w:hAnsi="Book Antiqua" w:cs="Book Antiqua"/>
          <w:bCs/>
          <w:i/>
          <w:i/>
          <w:iCs/>
          <w:sz w:val="23"/>
          <w:szCs w:val="23"/>
        </w:rPr>
      </w:pPr>
      <w:r>
        <w:rPr>
          <w:rFonts w:cs="Book Antiqua" w:ascii="Book Antiqua" w:hAnsi="Book Antiqua"/>
          <w:bCs/>
          <w:i/>
          <w:iCs/>
          <w:sz w:val="23"/>
          <w:szCs w:val="23"/>
        </w:rPr>
      </w:r>
    </w:p>
    <w:sectPr>
      <w:headerReference w:type="default" r:id="rId2"/>
      <w:footerReference w:type="default" r:id="rId3"/>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Book Antiqu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Respiratory Syncytial Virus (RSV) Management and Prevention</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06/01/1990</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11/19/2021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Chief Clinical Officer,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t>09/21/2021</w:t>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310.0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 xml:space="preserve">CHAPTER: ENTERPRISE – INFECTION CONTROL </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lvl>
  </w:abstractNum>
  <w:abstractNum w:abstractNumId="3">
    <w:lvl w:ilvl="0">
      <w:start w:val="1"/>
      <w:numFmt w:val="decimal"/>
      <w:lvlText w:val="%1."/>
      <w:lvlJc w:val="start"/>
      <w:pPr>
        <w:tabs>
          <w:tab w:val="num" w:pos="0"/>
        </w:tabs>
        <w:ind w:start="720" w:hanging="360"/>
      </w:pPr>
    </w:lvl>
  </w:abstractNum>
  <w:abstractNum w:abstractNumId="4">
    <w:lvl w:ilvl="0">
      <w:start w:val="1"/>
      <w:numFmt w:val="decimal"/>
      <w:lvlText w:val="%1."/>
      <w:lvlJc w:val="start"/>
      <w:pPr>
        <w:tabs>
          <w:tab w:val="num" w:pos="0"/>
        </w:tabs>
        <w:ind w:start="72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6z0">
    <w:name w:val="WW8Num6z0"/>
    <w:qFormat/>
    <w:rPr>
      <w:rFonts w:ascii="Book Antiqua" w:hAnsi="Book Antiqua" w:cs="Book Antiqua"/>
      <w:b w:val="false"/>
      <w:i w:val="false"/>
      <w:sz w:val="24"/>
      <w:u w:val="none"/>
    </w:rPr>
  </w:style>
  <w:style w:type="character" w:styleId="WW8Num6z1">
    <w:name w:val="WW8Num6z1"/>
    <w:qFormat/>
    <w:rPr>
      <w:rFonts w:ascii="Arial" w:hAnsi="Arial" w:cs="Arial"/>
      <w:sz w:val="24"/>
      <w:u w:val="none"/>
    </w:rPr>
  </w:style>
  <w:style w:type="character" w:styleId="WW8Num6z2">
    <w:name w:val="WW8Num6z2"/>
    <w:qFormat/>
    <w:rPr>
      <w:rFonts w:ascii="Arial" w:hAnsi="Arial" w:cs="Arial"/>
      <w:sz w:val="24"/>
    </w:rPr>
  </w:style>
  <w:style w:type="character" w:styleId="WW8Num6z3">
    <w:name w:val="WW8Num6z3"/>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Arial" w:hAnsi="Arial" w:cs="Arial"/>
      <w:b w:val="false"/>
      <w:i w:val="false"/>
      <w:color w:val="000000"/>
      <w:sz w:val="24"/>
      <w:u w:val="none"/>
    </w:rPr>
  </w:style>
  <w:style w:type="character" w:styleId="WW8Num8z1">
    <w:name w:val="WW8Num8z1"/>
    <w:qFormat/>
    <w:rPr>
      <w:rFonts w:ascii="Book Antiqua" w:hAnsi="Book Antiqua" w:cs="Book Antiqua"/>
      <w:color w:val="000000"/>
      <w:sz w:val="24"/>
      <w:u w:val="none"/>
    </w:rPr>
  </w:style>
  <w:style w:type="character" w:styleId="WW8Num8z2">
    <w:name w:val="WW8Num8z2"/>
    <w:qFormat/>
    <w:rPr>
      <w:rFonts w:ascii="Arial" w:hAnsi="Arial" w:cs="Arial"/>
      <w:sz w:val="24"/>
    </w:rPr>
  </w:style>
  <w:style w:type="character" w:styleId="WW8Num8z5">
    <w:name w:val="WW8Num8z5"/>
    <w:qFormat/>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Book Antiqua" w:hAnsi="Book Antiqua" w:cs="Book Antiqua"/>
      <w:b w:val="false"/>
      <w:i w:val="false"/>
      <w:sz w:val="24"/>
      <w:u w:val="none"/>
    </w:rPr>
  </w:style>
  <w:style w:type="character" w:styleId="WW8Num11z1">
    <w:name w:val="WW8Num11z1"/>
    <w:qFormat/>
    <w:rPr>
      <w:rFonts w:ascii="Arial" w:hAnsi="Arial" w:cs="Arial"/>
      <w:sz w:val="24"/>
      <w:u w:val="none"/>
    </w:rPr>
  </w:style>
  <w:style w:type="character" w:styleId="WW8Num11z2">
    <w:name w:val="WW8Num11z2"/>
    <w:qFormat/>
    <w:rPr>
      <w:rFonts w:ascii="Arial" w:hAnsi="Arial" w:cs="Arial"/>
      <w:sz w:val="24"/>
    </w:rPr>
  </w:style>
  <w:style w:type="character" w:styleId="WW8Num11z3">
    <w:name w:val="WW8Num11z3"/>
    <w:qFormat/>
    <w:rPr/>
  </w:style>
  <w:style w:type="character" w:styleId="WW8Num13z0">
    <w:name w:val="WW8Num13z0"/>
    <w:qFormat/>
    <w:rPr/>
  </w:style>
  <w:style w:type="character" w:styleId="WW8Num15z0">
    <w:name w:val="WW8Num15z0"/>
    <w:qFormat/>
    <w:rPr>
      <w:rFonts w:ascii="Book Antiqua" w:hAnsi="Book Antiqua" w:cs="Book Antiqua"/>
      <w:b w:val="false"/>
      <w:i w:val="false"/>
      <w:color w:val="000000"/>
      <w:sz w:val="24"/>
      <w:u w:val="none"/>
    </w:rPr>
  </w:style>
  <w:style w:type="character" w:styleId="WW8Num15z1">
    <w:name w:val="WW8Num15z1"/>
    <w:qFormat/>
    <w:rPr>
      <w:rFonts w:ascii="Arial" w:hAnsi="Arial" w:cs="Arial"/>
      <w:sz w:val="24"/>
      <w:u w:val="none"/>
    </w:rPr>
  </w:style>
  <w:style w:type="character" w:styleId="WW8Num15z2">
    <w:name w:val="WW8Num15z2"/>
    <w:qFormat/>
    <w:rPr>
      <w:rFonts w:ascii="Arial" w:hAnsi="Arial" w:cs="Arial"/>
      <w:sz w:val="24"/>
    </w:rPr>
  </w:style>
  <w:style w:type="character" w:styleId="WW8Num15z3">
    <w:name w:val="WW8Num15z3"/>
    <w:qFormat/>
    <w:rPr/>
  </w:style>
  <w:style w:type="character" w:styleId="WW8Num18z0">
    <w:name w:val="WW8Num18z0"/>
    <w:qFormat/>
    <w:rPr>
      <w:rFonts w:ascii="Symbol" w:hAnsi="Symbol" w:cs="Symbol"/>
    </w:rPr>
  </w:style>
  <w:style w:type="character" w:styleId="WW8Num18z2">
    <w:name w:val="WW8Num18z2"/>
    <w:qFormat/>
    <w:rPr/>
  </w:style>
  <w:style w:type="character" w:styleId="WW8Num18z4">
    <w:name w:val="WW8Num18z4"/>
    <w:qFormat/>
    <w:rPr>
      <w:rFonts w:ascii="Courier New" w:hAnsi="Courier New" w:cs="Courier New"/>
    </w:rPr>
  </w:style>
  <w:style w:type="character" w:styleId="WW8Num18z5">
    <w:name w:val="WW8Num18z5"/>
    <w:qFormat/>
    <w:rPr>
      <w:rFonts w:ascii="Wingdings" w:hAnsi="Wingdings" w:cs="Wingdings"/>
    </w:rPr>
  </w:style>
  <w:style w:type="character" w:styleId="WW8Num19z0">
    <w:name w:val="WW8Num19z0"/>
    <w:qFormat/>
    <w:rPr/>
  </w:style>
  <w:style w:type="character" w:styleId="WW8Num20z0">
    <w:name w:val="WW8Num20z0"/>
    <w:qFormat/>
    <w:rPr>
      <w:sz w:val="24"/>
    </w:rPr>
  </w:style>
  <w:style w:type="character" w:styleId="WW8Num22z0">
    <w:name w:val="WW8Num22z0"/>
    <w:qFormat/>
    <w:rPr/>
  </w:style>
  <w:style w:type="character" w:styleId="WW8Num23z0">
    <w:name w:val="WW8Num23z0"/>
    <w:qFormat/>
    <w:rPr/>
  </w:style>
  <w:style w:type="character" w:styleId="WW8Num24z0">
    <w:name w:val="WW8Num24z0"/>
    <w:qFormat/>
    <w:rPr>
      <w:b/>
    </w:rPr>
  </w:style>
  <w:style w:type="character" w:styleId="WW8Num25z0">
    <w:name w:val="WW8Num25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2021-09-20T11:41:00Z</dcterms:created>
  <dc:creator>MAGGIE</dc:creator>
  <dc:description/>
  <cp:keywords/>
  <dc:language>en-US</dc:language>
  <cp:lastModifiedBy>Huynh, Fuong</cp:lastModifiedBy>
  <cp:lastPrinted>2018-10-04T13:09:00Z</cp:lastPrinted>
  <dcterms:modified xsi:type="dcterms:W3CDTF">2021-11-19T15:27:00Z</dcterms:modified>
  <cp:revision>3</cp:revision>
  <dc:subject/>
  <dc:title>IC - 310.0  Respiratory Syncytial Virus RSV Management and Prevention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y fmtid="{D5CDD505-2E9C-101B-9397-08002B2CF9AE}" pid="3" name="_dlc_DocId">
    <vt:lpwstr>N6ARCRRY53XU-1042-170</vt:lpwstr>
  </property>
  <property fmtid="{D5CDD505-2E9C-101B-9397-08002B2CF9AE}" pid="4" name="_dlc_DocIdItemGuid">
    <vt:lpwstr>e7c2f73d-d735-4891-a7e8-32490bfa7eaa</vt:lpwstr>
  </property>
  <property fmtid="{D5CDD505-2E9C-101B-9397-08002B2CF9AE}" pid="5" name="_dlc_DocIdUrl">
    <vt:lpwstr>http://departments/DocumentsLibrary/policyandprocedure/_layouts/DocIdRedir.aspx?ID=N6ARCRRY53XU-1042-170, N6ARCRRY53XU-1042-170</vt:lpwstr>
  </property>
</Properties>
</file>