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PURPOSE: </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t>Children’s Hospital Los Angeles routinely reviews antimicrobial susceptibility patterns to aid in the control of hospital acquired infections by identifying changes in the in vitro susceptibility patterns of bacteria isolated from clinical specimens to various antimicrobial agents used to treat infection at this institution.</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 xml:space="preserve">PROCEDURES: </w:t>
      </w:r>
    </w:p>
    <w:p>
      <w:pPr>
        <w:pStyle w:val="Normal"/>
        <w:ind w:hanging="720" w:start="1440" w:end="0"/>
        <w:jc w:val="both"/>
        <w:rPr/>
      </w:pPr>
      <w:r>
        <w:rPr>
          <w:rFonts w:cs="Book Antiqua;Cambria" w:ascii="Book Antiqua;Cambria" w:hAnsi="Book Antiqua;Cambria"/>
          <w:sz w:val="23"/>
          <w:szCs w:val="23"/>
        </w:rPr>
        <w:t xml:space="preserve">1. </w:t>
        <w:tab/>
        <w:t>The Microbiology Section of the Clinical Laboratory is responsible for collecting and compiling data on susceptibility patterns. Data are organized in the following manner:</w:t>
      </w:r>
    </w:p>
    <w:p>
      <w:pPr>
        <w:pStyle w:val="Normal"/>
        <w:ind w:hanging="720" w:start="216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a. </w:t>
        <w:tab/>
        <w:t>An antibiogram is published once per year that summarizes the percentage of individual bacterial pathogens of clinical interest susceptible to select antimicrobial agents.</w:t>
      </w:r>
    </w:p>
    <w:p>
      <w:pPr>
        <w:pStyle w:val="Normal"/>
        <w:ind w:hanging="720" w:start="144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2. </w:t>
        <w:tab/>
        <w:t>Reports, summarizing the data, are made available to the Attending, House Staff and relevant committees and published once each year in the CHLA Pharmacy Pink Book.</w:t>
      </w:r>
    </w:p>
    <w:p>
      <w:pPr>
        <w:pStyle w:val="Normal"/>
        <w:ind w:hanging="720" w:start="1440" w:end="0"/>
        <w:jc w:val="both"/>
        <w:rPr/>
      </w:pPr>
      <w:r>
        <w:rPr>
          <w:rFonts w:cs="Book Antiqua;Cambria" w:ascii="Book Antiqua;Cambria" w:hAnsi="Book Antiqua;Cambria"/>
          <w:sz w:val="23"/>
          <w:szCs w:val="23"/>
        </w:rPr>
        <w:t xml:space="preserve">3. </w:t>
        <w:tab/>
        <w:t>Data are reported to the Hospital Infection Control Committee on a yearly basis, or as significant changes are identified.</w:t>
      </w:r>
    </w:p>
    <w:p>
      <w:pPr>
        <w:pStyle w:val="Normal"/>
        <w:ind w:hanging="720" w:start="1440" w:end="0"/>
        <w:jc w:val="both"/>
        <w:rPr/>
      </w:pPr>
      <w:r>
        <w:rPr>
          <w:rFonts w:cs="Book Antiqua;Cambria" w:ascii="Book Antiqua;Cambria" w:hAnsi="Book Antiqua;Cambria"/>
          <w:sz w:val="23"/>
          <w:szCs w:val="23"/>
        </w:rPr>
        <w:t>4.</w:t>
        <w:tab/>
        <w:t>The Hospital Infection Control Committee is responsible for coordination with the appropriate committee personnel on action relative to the findings from susceptibility studies which pertain to infection control.</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jc w:val="both"/>
        <w:rPr>
          <w:rFonts w:ascii="Book Antiqua;Cambria" w:hAnsi="Book Antiqua;Cambria" w:cs="Book Antiqua;Cambria"/>
          <w:bCs/>
          <w:i/>
          <w:i/>
          <w:iCs/>
          <w:sz w:val="23"/>
          <w:szCs w:val="23"/>
        </w:rPr>
      </w:pPr>
      <w:r>
        <w:rPr>
          <w:rFonts w:cs="Book Antiqua;Cambria" w:ascii="Book Antiqua;Cambria" w:hAnsi="Book Antiqua;Cambria"/>
          <w:bCs/>
          <w:i/>
          <w:iCs/>
          <w:sz w:val="23"/>
          <w:szCs w:val="23"/>
        </w:rPr>
        <w:t>Director, Accreditation &amp; Licensing, Infection Prevention, and Emergency Management</w:t>
      </w:r>
    </w:p>
    <w:p>
      <w:pPr>
        <w:pStyle w:val="Normal"/>
        <w:jc w:val="both"/>
        <w:rPr>
          <w:rFonts w:ascii="Book Antiqua;Cambria" w:hAnsi="Book Antiqua;Cambria" w:cs="Book Antiqua;Cambria"/>
          <w:bCs/>
          <w:i/>
          <w:i/>
          <w:iCs/>
          <w:sz w:val="23"/>
          <w:szCs w:val="23"/>
        </w:rPr>
      </w:pPr>
      <w:r>
        <w:rPr>
          <w:rFonts w:cs="Book Antiqua;Cambria" w:ascii="Book Antiqua;Cambria" w:hAnsi="Book Antiqua;Cambria"/>
          <w:bCs/>
          <w:i/>
          <w:iCs/>
          <w:sz w:val="23"/>
          <w:szCs w:val="23"/>
        </w:rPr>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Book Antiqua">
    <w:altName w:val="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Antimicrobial Susceptibility</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10/01/1997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12/22/2020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404.0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num w:numId="1">
    <w:abstractNumId w:val="1"/>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tyle>
  <w:style w:type="character" w:styleId="WW8Num2z0">
    <w:name w:val="WW8Num2z0"/>
    <w:qFormat/>
    <w:rPr>
      <w:b/>
    </w:rPr>
  </w:style>
  <w:style w:type="character" w:styleId="WW8Num2z1">
    <w:name w:val="WW8Num2z1"/>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2">
    <w:name w:val="WW8Num6z2"/>
    <w:qFormat/>
    <w:rPr/>
  </w:style>
  <w:style w:type="character" w:styleId="WW8Num6z4">
    <w:name w:val="WW8Num6z4"/>
    <w:qFormat/>
    <w:rPr>
      <w:rFonts w:ascii="Courier New" w:hAnsi="Courier New" w:cs="Courier New"/>
    </w:rPr>
  </w:style>
  <w:style w:type="character" w:styleId="WW8Num6z5">
    <w:name w:val="WW8Num6z5"/>
    <w:qFormat/>
    <w:rPr>
      <w:rFonts w:ascii="Wingdings" w:hAnsi="Wingdings" w:cs="Wingdings"/>
    </w:rPr>
  </w:style>
  <w:style w:type="character" w:styleId="WW8Num7z0">
    <w:name w:val="WW8Num7z0"/>
    <w:qFormat/>
    <w:rPr/>
  </w:style>
  <w:style w:type="character" w:styleId="WW8Num8z0">
    <w:name w:val="WW8Num8z0"/>
    <w:qFormat/>
    <w:rPr>
      <w:b/>
    </w:rPr>
  </w:style>
  <w:style w:type="character" w:styleId="WW8Num9z0">
    <w:name w:val="WW8Num9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2020-10-26T06:30:00Z</dcterms:created>
  <dc:creator>MAGGIE</dc:creator>
  <dc:description/>
  <cp:keywords/>
  <dc:language>en-US</dc:language>
  <cp:lastModifiedBy>Huynh, Fuong</cp:lastModifiedBy>
  <cp:lastPrinted>2017-11-28T15:43:00Z</cp:lastPrinted>
  <dcterms:modified xsi:type="dcterms:W3CDTF">2021-06-27T09:40:00Z</dcterms:modified>
  <cp:revision>8</cp:revision>
  <dc:subject/>
  <dc:title>IC 404.0 Antimicrobial Susceptibility</dc:title>
</cp:coreProperties>
</file>