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Book Antiqua"/>
          <w:b/>
          <w:sz w:val="23"/>
          <w:szCs w:val="23"/>
        </w:rPr>
      </w:pPr>
      <w:r>
        <w:rPr>
          <w:rFonts w:cs="Book Antiqua" w:ascii="Book Antiqua" w:hAnsi="Book Antiqua"/>
          <w:b/>
          <w:sz w:val="23"/>
          <w:szCs w:val="23"/>
        </w:rPr>
        <w:t>PURPOSE:</w:t>
      </w:r>
    </w:p>
    <w:p>
      <w:pPr>
        <w:pStyle w:val="Normal"/>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With current treatment options for  HIV disease and the evolution of knowledge about hepatitis C, it is important to promptly and carefully evaluate potential exposures to bloodborne pathogens.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purpose of this policy is to establish a uniform system for medical management and epidemiological monitoring of all percutaneous and significant mucous membrane exposures to blood and/or other body substances which have potential for resulting in infection with hepatitis B or C viruses and/or human immunodeficiency virus (HIV), in accordance with CDC Guidelines, OSHA regulations, and the latest P.H.S. recommendations for chemoprophylaxis after occupational exposure to HIV.</w:t>
      </w:r>
    </w:p>
    <w:p>
      <w:pPr>
        <w:pStyle w:val="Normal"/>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DEFINITION:</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widowControl/>
        <w:numPr>
          <w:ilvl w:val="0"/>
          <w:numId w:val="16"/>
        </w:numPr>
        <w:tabs>
          <w:tab w:val="clear" w:pos="720"/>
        </w:tabs>
        <w:ind w:hanging="360" w:start="720" w:end="0"/>
        <w:rPr>
          <w:rFonts w:ascii="Book Antiqua" w:hAnsi="Book Antiqua" w:cs="Book Antiqua"/>
          <w:sz w:val="23"/>
          <w:szCs w:val="23"/>
        </w:rPr>
      </w:pPr>
      <w:r>
        <w:rPr>
          <w:rFonts w:cs="Book Antiqua" w:ascii="Book Antiqua" w:hAnsi="Book Antiqua"/>
          <w:b/>
          <w:sz w:val="23"/>
          <w:szCs w:val="23"/>
        </w:rPr>
        <w:t>Bloodborne pathogens</w:t>
      </w:r>
      <w:r>
        <w:rPr>
          <w:rFonts w:cs="Book Antiqua" w:ascii="Book Antiqua" w:hAnsi="Book Antiqua"/>
          <w:sz w:val="23"/>
          <w:szCs w:val="23"/>
        </w:rPr>
        <w:t>. The following body fluids, tissues and substances are potential sources of HIV, Hepatitis B and Hepatitis C exposure and should be taken into consideration in the post-exposure assessment:</w:t>
      </w:r>
    </w:p>
    <w:p>
      <w:pPr>
        <w:pStyle w:val="Normal"/>
        <w:widowControl/>
        <w:numPr>
          <w:ilvl w:val="0"/>
          <w:numId w:val="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blood or blood containing body fluids, tissues or substances visibly contaminated with blood;</w:t>
      </w:r>
    </w:p>
    <w:p>
      <w:pPr>
        <w:pStyle w:val="Normal"/>
        <w:widowControl/>
        <w:numPr>
          <w:ilvl w:val="0"/>
          <w:numId w:val="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amniotic, cerebrospinal, pericardial, peritoneal, pleural or synovial fluids;</w:t>
      </w:r>
    </w:p>
    <w:p>
      <w:pPr>
        <w:pStyle w:val="Normal"/>
        <w:widowControl/>
        <w:numPr>
          <w:ilvl w:val="0"/>
          <w:numId w:val="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inflammatory exudates;</w:t>
      </w:r>
    </w:p>
    <w:p>
      <w:pPr>
        <w:pStyle w:val="Normal"/>
        <w:widowControl/>
        <w:numPr>
          <w:ilvl w:val="0"/>
          <w:numId w:val="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semen and vaginal secretions;</w:t>
      </w:r>
    </w:p>
    <w:p>
      <w:pPr>
        <w:pStyle w:val="Normal"/>
        <w:widowControl/>
        <w:numPr>
          <w:ilvl w:val="0"/>
          <w:numId w:val="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human milk (at CHLA);</w:t>
      </w:r>
    </w:p>
    <w:p>
      <w:pPr>
        <w:pStyle w:val="Normal"/>
        <w:widowControl/>
        <w:numPr>
          <w:ilvl w:val="0"/>
          <w:numId w:val="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viral cultures, regardless of the age of the specimen.</w:t>
      </w:r>
    </w:p>
    <w:p>
      <w:pPr>
        <w:pStyle w:val="Normal"/>
        <w:widowControl/>
        <w:numPr>
          <w:ilvl w:val="0"/>
          <w:numId w:val="16"/>
        </w:numPr>
        <w:tabs>
          <w:tab w:val="clear" w:pos="720"/>
        </w:tabs>
        <w:ind w:hanging="360" w:start="720" w:end="0"/>
        <w:rPr>
          <w:rFonts w:ascii="Book Antiqua" w:hAnsi="Book Antiqua" w:cs="Book Antiqua"/>
          <w:sz w:val="23"/>
          <w:szCs w:val="23"/>
        </w:rPr>
      </w:pPr>
      <w:r>
        <w:rPr>
          <w:rFonts w:cs="Book Antiqua" w:ascii="Book Antiqua" w:hAnsi="Book Antiqua"/>
          <w:b/>
          <w:sz w:val="23"/>
          <w:szCs w:val="23"/>
        </w:rPr>
        <w:t>Principal Routes</w:t>
      </w:r>
      <w:r>
        <w:rPr>
          <w:rFonts w:cs="Book Antiqua" w:ascii="Book Antiqua" w:hAnsi="Book Antiqua"/>
          <w:sz w:val="23"/>
          <w:szCs w:val="23"/>
        </w:rPr>
        <w:t>. The principal routes of exposure to substances that carry a potential risk of HIV transmission are:</w:t>
      </w:r>
    </w:p>
    <w:p>
      <w:pPr>
        <w:pStyle w:val="Normal"/>
        <w:widowControl/>
        <w:numPr>
          <w:ilvl w:val="0"/>
          <w:numId w:val="10"/>
        </w:numPr>
        <w:tabs>
          <w:tab w:val="clear" w:pos="720"/>
        </w:tabs>
        <w:ind w:hanging="360" w:start="1080" w:end="0"/>
        <w:rPr>
          <w:rFonts w:ascii="Book Antiqua" w:hAnsi="Book Antiqua" w:cs="Book Antiqua"/>
          <w:sz w:val="23"/>
          <w:szCs w:val="23"/>
        </w:rPr>
      </w:pPr>
      <w:r>
        <w:rPr>
          <w:rFonts w:cs="Book Antiqua" w:ascii="Book Antiqua" w:hAnsi="Book Antiqua"/>
          <w:sz w:val="23"/>
          <w:szCs w:val="23"/>
        </w:rPr>
        <w:t>percutaneous injuries (i.e.: skin puncture from contaminated needle or laceration from contaminated sharp objects);</w:t>
      </w:r>
    </w:p>
    <w:p>
      <w:pPr>
        <w:pStyle w:val="Normal"/>
        <w:widowControl/>
        <w:numPr>
          <w:ilvl w:val="0"/>
          <w:numId w:val="10"/>
        </w:numPr>
        <w:tabs>
          <w:tab w:val="clear" w:pos="720"/>
        </w:tabs>
        <w:ind w:hanging="360" w:start="1080" w:end="0"/>
        <w:rPr>
          <w:rFonts w:ascii="Book Antiqua" w:hAnsi="Book Antiqua" w:cs="Book Antiqua"/>
          <w:sz w:val="23"/>
          <w:szCs w:val="23"/>
        </w:rPr>
      </w:pPr>
      <w:r>
        <w:rPr>
          <w:rFonts w:cs="Book Antiqua" w:ascii="Book Antiqua" w:hAnsi="Book Antiqua"/>
          <w:sz w:val="23"/>
          <w:szCs w:val="23"/>
        </w:rPr>
        <w:t>exposure of mucous membranes;</w:t>
      </w:r>
    </w:p>
    <w:p>
      <w:pPr>
        <w:pStyle w:val="Normal"/>
        <w:widowControl/>
        <w:numPr>
          <w:ilvl w:val="0"/>
          <w:numId w:val="10"/>
        </w:numPr>
        <w:tabs>
          <w:tab w:val="clear" w:pos="720"/>
        </w:tabs>
        <w:ind w:hanging="360" w:start="1080" w:end="0"/>
        <w:rPr>
          <w:rFonts w:ascii="Book Antiqua" w:hAnsi="Book Antiqua" w:cs="Book Antiqua"/>
          <w:sz w:val="23"/>
          <w:szCs w:val="23"/>
        </w:rPr>
      </w:pPr>
      <w:r>
        <w:rPr>
          <w:rFonts w:cs="Book Antiqua" w:ascii="Book Antiqua" w:hAnsi="Book Antiqua"/>
          <w:sz w:val="23"/>
          <w:szCs w:val="23"/>
        </w:rPr>
        <w:t>exposure of non-intact skin.</w:t>
      </w:r>
    </w:p>
    <w:p>
      <w:pPr>
        <w:pStyle w:val="Normal"/>
        <w:widowControl/>
        <w:numPr>
          <w:ilvl w:val="0"/>
          <w:numId w:val="16"/>
        </w:numPr>
        <w:tabs>
          <w:tab w:val="clear" w:pos="720"/>
        </w:tabs>
        <w:ind w:hanging="360" w:start="720" w:end="0"/>
        <w:rPr>
          <w:rFonts w:ascii="Book Antiqua" w:hAnsi="Book Antiqua" w:cs="Book Antiqua"/>
          <w:sz w:val="23"/>
          <w:szCs w:val="23"/>
        </w:rPr>
      </w:pPr>
      <w:r>
        <w:rPr>
          <w:rFonts w:cs="Book Antiqua" w:ascii="Book Antiqua" w:hAnsi="Book Antiqua"/>
          <w:b/>
          <w:sz w:val="23"/>
          <w:szCs w:val="23"/>
        </w:rPr>
        <w:t>The type and extent of exposure</w:t>
      </w:r>
      <w:r>
        <w:rPr>
          <w:rFonts w:cs="Book Antiqua" w:ascii="Book Antiqua" w:hAnsi="Book Antiqua"/>
          <w:sz w:val="23"/>
          <w:szCs w:val="23"/>
        </w:rPr>
        <w:t>. Type and extent of exposure are assessed according to the following criteria:</w:t>
      </w:r>
    </w:p>
    <w:p>
      <w:pPr>
        <w:pStyle w:val="Normal"/>
        <w:tabs>
          <w:tab w:val="clear" w:pos="720"/>
          <w:tab w:val="left" w:pos="-1440" w:leader="none"/>
        </w:tabs>
        <w:ind w:hanging="360" w:start="720" w:end="0"/>
        <w:rPr/>
      </w:pPr>
      <w:r>
        <w:rPr>
          <w:rFonts w:eastAsia="Book Antiqua" w:cs="Book Antiqua" w:ascii="Book Antiqua" w:hAnsi="Book Antiqua"/>
          <w:sz w:val="23"/>
          <w:szCs w:val="23"/>
        </w:rPr>
        <w:t xml:space="preserve"> </w:t>
      </w:r>
      <w:r>
        <w:rPr>
          <w:rFonts w:cs="Book Antiqua" w:ascii="Book Antiqua" w:hAnsi="Book Antiqua"/>
          <w:sz w:val="23"/>
          <w:szCs w:val="23"/>
        </w:rPr>
        <w:tab/>
        <w:t>a.</w:t>
        <w:tab/>
      </w:r>
      <w:r>
        <w:rPr>
          <w:rFonts w:cs="Book Antiqua" w:ascii="Book Antiqua" w:hAnsi="Book Antiqua"/>
          <w:sz w:val="23"/>
          <w:szCs w:val="23"/>
          <w:u w:val="single"/>
        </w:rPr>
        <w:t>High risk source</w:t>
      </w:r>
      <w:r>
        <w:rPr>
          <w:rFonts w:cs="Book Antiqua" w:ascii="Book Antiqua" w:hAnsi="Book Antiqua"/>
          <w:sz w:val="23"/>
          <w:szCs w:val="23"/>
        </w:rPr>
        <w:t xml:space="preserve"> </w:t>
      </w:r>
    </w:p>
    <w:p>
      <w:pPr>
        <w:pStyle w:val="Normal"/>
        <w:ind w:hanging="360" w:start="1440" w:end="0"/>
        <w:rPr>
          <w:rFonts w:ascii="Book Antiqua" w:hAnsi="Book Antiqua" w:cs="Book Antiqua"/>
          <w:sz w:val="23"/>
          <w:szCs w:val="23"/>
        </w:rPr>
      </w:pPr>
      <w:r>
        <w:rPr>
          <w:rFonts w:cs="Book Antiqua" w:ascii="Book Antiqua" w:hAnsi="Book Antiqua"/>
          <w:sz w:val="23"/>
          <w:szCs w:val="23"/>
        </w:rPr>
        <w:t>i.</w:t>
        <w:tab/>
        <w:t>patient with AIDS or HIV positive;</w:t>
      </w:r>
    </w:p>
    <w:p>
      <w:pPr>
        <w:pStyle w:val="Normal"/>
        <w:ind w:hanging="360" w:start="1440" w:end="0"/>
        <w:rPr/>
      </w:pPr>
      <w:r>
        <w:rPr>
          <w:rFonts w:cs="Book Antiqua" w:ascii="Book Antiqua" w:hAnsi="Book Antiqua"/>
          <w:sz w:val="23"/>
          <w:szCs w:val="23"/>
        </w:rPr>
        <w:t>ii.</w:t>
        <w:tab/>
        <w:t>Asian born or Pacific Island born (hepatitis B only).</w:t>
      </w:r>
    </w:p>
    <w:p>
      <w:pPr>
        <w:pStyle w:val="Normal"/>
        <w:widowControl/>
        <w:numPr>
          <w:ilvl w:val="1"/>
          <w:numId w:val="3"/>
        </w:numPr>
        <w:tabs>
          <w:tab w:val="clear" w:pos="720"/>
          <w:tab w:val="left" w:pos="-1440" w:leader="none"/>
        </w:tabs>
        <w:ind w:hanging="360" w:start="1080" w:end="0"/>
        <w:rPr>
          <w:rFonts w:ascii="Book Antiqua" w:hAnsi="Book Antiqua" w:cs="Book Antiqua"/>
          <w:sz w:val="23"/>
          <w:szCs w:val="23"/>
        </w:rPr>
      </w:pPr>
      <w:r>
        <w:rPr>
          <w:rFonts w:cs="Book Antiqua" w:ascii="Book Antiqua" w:hAnsi="Book Antiqua"/>
          <w:sz w:val="23"/>
          <w:szCs w:val="23"/>
          <w:u w:val="single"/>
        </w:rPr>
        <w:t>High risk history</w:t>
      </w:r>
      <w:r>
        <w:rPr>
          <w:rFonts w:cs="Book Antiqua" w:ascii="Book Antiqua" w:hAnsi="Book Antiqua"/>
          <w:sz w:val="23"/>
          <w:szCs w:val="23"/>
        </w:rPr>
        <w:t xml:space="preserve"> </w:t>
      </w:r>
    </w:p>
    <w:p>
      <w:pPr>
        <w:pStyle w:val="Normal"/>
        <w:widowControl/>
        <w:numPr>
          <w:ilvl w:val="0"/>
          <w:numId w:val="13"/>
        </w:numPr>
        <w:tabs>
          <w:tab w:val="clear" w:pos="720"/>
        </w:tabs>
        <w:ind w:hanging="360" w:start="1440" w:end="0"/>
        <w:rPr>
          <w:rFonts w:ascii="Book Antiqua" w:hAnsi="Book Antiqua" w:cs="Book Antiqua"/>
          <w:sz w:val="23"/>
          <w:szCs w:val="23"/>
        </w:rPr>
      </w:pPr>
      <w:r>
        <w:rPr>
          <w:rFonts w:cs="Book Antiqua" w:ascii="Book Antiqua" w:hAnsi="Book Antiqua"/>
          <w:sz w:val="23"/>
          <w:szCs w:val="23"/>
        </w:rPr>
        <w:t>hemophilia with factor replacement prior to 1987</w:t>
      </w:r>
    </w:p>
    <w:p>
      <w:pPr>
        <w:pStyle w:val="Normal"/>
        <w:widowControl/>
        <w:numPr>
          <w:ilvl w:val="0"/>
          <w:numId w:val="13"/>
        </w:numPr>
        <w:tabs>
          <w:tab w:val="clear" w:pos="720"/>
        </w:tabs>
        <w:ind w:hanging="360" w:start="1440" w:end="0"/>
        <w:rPr>
          <w:rFonts w:ascii="Book Antiqua" w:hAnsi="Book Antiqua" w:cs="Book Antiqua"/>
          <w:sz w:val="23"/>
          <w:szCs w:val="23"/>
        </w:rPr>
      </w:pPr>
      <w:r>
        <w:rPr>
          <w:rFonts w:cs="Book Antiqua" w:ascii="Book Antiqua" w:hAnsi="Book Antiqua"/>
          <w:sz w:val="23"/>
          <w:szCs w:val="23"/>
        </w:rPr>
        <w:t>household contact of a hepatitis B virus carrier;</w:t>
      </w:r>
    </w:p>
    <w:p>
      <w:pPr>
        <w:pStyle w:val="Normal"/>
        <w:widowControl/>
        <w:numPr>
          <w:ilvl w:val="0"/>
          <w:numId w:val="13"/>
        </w:numPr>
        <w:tabs>
          <w:tab w:val="clear" w:pos="720"/>
        </w:tabs>
        <w:ind w:hanging="360" w:start="1440" w:end="0"/>
        <w:rPr>
          <w:rFonts w:ascii="Book Antiqua" w:hAnsi="Book Antiqua" w:cs="Book Antiqua"/>
          <w:sz w:val="23"/>
          <w:szCs w:val="23"/>
        </w:rPr>
      </w:pPr>
      <w:r>
        <w:rPr>
          <w:rFonts w:cs="Book Antiqua" w:ascii="Book Antiqua" w:hAnsi="Book Antiqua"/>
          <w:sz w:val="23"/>
          <w:szCs w:val="23"/>
        </w:rPr>
        <w:t>recipient of blood transfusions in the past year;</w:t>
      </w:r>
    </w:p>
    <w:p>
      <w:pPr>
        <w:pStyle w:val="Normal"/>
        <w:widowControl/>
        <w:numPr>
          <w:ilvl w:val="0"/>
          <w:numId w:val="13"/>
        </w:numPr>
        <w:tabs>
          <w:tab w:val="clear" w:pos="720"/>
          <w:tab w:val="left" w:pos="-1440" w:leader="none"/>
        </w:tabs>
        <w:ind w:hanging="360" w:start="1440" w:end="0"/>
        <w:rPr>
          <w:rFonts w:ascii="Book Antiqua" w:hAnsi="Book Antiqua" w:cs="Book Antiqua"/>
          <w:b/>
          <w:spacing w:val="-2"/>
          <w:sz w:val="23"/>
          <w:szCs w:val="23"/>
        </w:rPr>
      </w:pPr>
      <w:r>
        <w:rPr>
          <w:rFonts w:cs="Book Antiqua" w:ascii="Book Antiqua" w:hAnsi="Book Antiqua"/>
          <w:sz w:val="23"/>
          <w:szCs w:val="23"/>
        </w:rPr>
        <w:t>child born to high-risk parents, i.e.:</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acute chronic liver disease</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rejection as a blood donor</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multiple blood transfusions prior to 1986</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multiple episodes of venereal disease</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percutaneous use of illicit drugs</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males: sexual contact with another man or multiple sex partners</w:t>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prostitution or multiple sex partners</w:t>
        <w:tab/>
      </w:r>
    </w:p>
    <w:p>
      <w:pPr>
        <w:pStyle w:val="Style13"/>
        <w:numPr>
          <w:ilvl w:val="0"/>
          <w:numId w:val="28"/>
        </w:numPr>
        <w:tabs>
          <w:tab w:val="clear" w:pos="720"/>
        </w:tabs>
        <w:ind w:hanging="360" w:start="1800" w:end="0"/>
        <w:rPr>
          <w:rFonts w:ascii="Book Antiqua" w:hAnsi="Book Antiqua" w:cs="Book Antiqua"/>
          <w:sz w:val="23"/>
          <w:szCs w:val="23"/>
        </w:rPr>
      </w:pPr>
      <w:r>
        <w:rPr>
          <w:rFonts w:cs="Book Antiqua" w:ascii="Book Antiqua" w:hAnsi="Book Antiqua"/>
          <w:sz w:val="23"/>
          <w:szCs w:val="23"/>
        </w:rPr>
        <w:t>sexual partners of a high-risk person</w:t>
      </w:r>
    </w:p>
    <w:p>
      <w:pPr>
        <w:pStyle w:val="Normal"/>
        <w:widowControl/>
        <w:numPr>
          <w:ilvl w:val="1"/>
          <w:numId w:val="3"/>
        </w:numPr>
        <w:tabs>
          <w:tab w:val="clear" w:pos="720"/>
        </w:tabs>
        <w:ind w:hanging="360" w:start="1080" w:end="0"/>
        <w:rPr>
          <w:rFonts w:ascii="Book Antiqua" w:hAnsi="Book Antiqua" w:cs="Book Antiqua"/>
          <w:sz w:val="23"/>
          <w:szCs w:val="23"/>
        </w:rPr>
      </w:pPr>
      <w:r>
        <w:rPr>
          <w:rFonts w:cs="Book Antiqua" w:ascii="Book Antiqua" w:hAnsi="Book Antiqua"/>
          <w:sz w:val="23"/>
          <w:szCs w:val="23"/>
          <w:u w:val="single"/>
        </w:rPr>
        <w:t>High risk exposure</w:t>
      </w:r>
      <w:r>
        <w:rPr>
          <w:rFonts w:cs="Book Antiqua" w:ascii="Book Antiqua" w:hAnsi="Book Antiqua"/>
          <w:sz w:val="23"/>
          <w:szCs w:val="23"/>
        </w:rPr>
        <w:t xml:space="preserve"> </w:t>
      </w:r>
    </w:p>
    <w:p>
      <w:pPr>
        <w:pStyle w:val="Normal"/>
        <w:widowControl/>
        <w:numPr>
          <w:ilvl w:val="0"/>
          <w:numId w:val="21"/>
        </w:numPr>
        <w:tabs>
          <w:tab w:val="clear" w:pos="720"/>
        </w:tabs>
        <w:ind w:hanging="360" w:start="1440" w:end="0"/>
        <w:rPr>
          <w:rFonts w:ascii="Book Antiqua" w:hAnsi="Book Antiqua" w:cs="Book Antiqua"/>
          <w:sz w:val="23"/>
          <w:szCs w:val="23"/>
        </w:rPr>
      </w:pPr>
      <w:r>
        <w:rPr>
          <w:rFonts w:cs="Book Antiqua" w:ascii="Book Antiqua" w:hAnsi="Book Antiqua"/>
          <w:sz w:val="23"/>
          <w:szCs w:val="23"/>
        </w:rPr>
        <w:t>deep injury (causing bleeding) from a hollow-bore (larger the bore the higher the risk), blood-filled needle;</w:t>
      </w:r>
    </w:p>
    <w:p>
      <w:pPr>
        <w:pStyle w:val="Normal"/>
        <w:widowControl/>
        <w:numPr>
          <w:ilvl w:val="0"/>
          <w:numId w:val="21"/>
        </w:numPr>
        <w:tabs>
          <w:tab w:val="clear" w:pos="720"/>
        </w:tabs>
        <w:ind w:hanging="360" w:start="1440" w:end="0"/>
        <w:rPr>
          <w:rFonts w:ascii="Book Antiqua" w:hAnsi="Book Antiqua" w:cs="Book Antiqua"/>
          <w:sz w:val="23"/>
          <w:szCs w:val="23"/>
        </w:rPr>
      </w:pPr>
      <w:r>
        <w:rPr>
          <w:rFonts w:cs="Book Antiqua" w:ascii="Book Antiqua" w:hAnsi="Book Antiqua"/>
          <w:sz w:val="23"/>
          <w:szCs w:val="23"/>
        </w:rPr>
        <w:t>direct contact with concentrated virus in a research lab.</w:t>
      </w:r>
    </w:p>
    <w:p>
      <w:pPr>
        <w:pStyle w:val="Normal"/>
        <w:widowControl/>
        <w:numPr>
          <w:ilvl w:val="1"/>
          <w:numId w:val="3"/>
        </w:numPr>
        <w:tabs>
          <w:tab w:val="clear" w:pos="720"/>
        </w:tabs>
        <w:ind w:hanging="360" w:start="1080" w:end="0"/>
        <w:rPr>
          <w:rFonts w:ascii="Book Antiqua" w:hAnsi="Book Antiqua" w:cs="Book Antiqua"/>
          <w:sz w:val="23"/>
          <w:szCs w:val="23"/>
        </w:rPr>
      </w:pPr>
      <w:r>
        <w:rPr>
          <w:rFonts w:cs="Book Antiqua" w:ascii="Book Antiqua" w:hAnsi="Book Antiqua"/>
          <w:sz w:val="23"/>
          <w:szCs w:val="23"/>
          <w:u w:val="single"/>
        </w:rPr>
        <w:t>Low risk exposure</w:t>
      </w:r>
      <w:r>
        <w:rPr>
          <w:rFonts w:cs="Book Antiqua" w:ascii="Book Antiqua" w:hAnsi="Book Antiqua"/>
          <w:sz w:val="23"/>
          <w:szCs w:val="23"/>
        </w:rPr>
        <w:t xml:space="preserve"> </w:t>
      </w:r>
    </w:p>
    <w:p>
      <w:pPr>
        <w:pStyle w:val="Normal"/>
        <w:widowControl/>
        <w:numPr>
          <w:ilvl w:val="0"/>
          <w:numId w:val="2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needle stick injury or laceration (causing bleeding) from an instrument visibly contaminated with blood;</w:t>
      </w:r>
    </w:p>
    <w:p>
      <w:pPr>
        <w:pStyle w:val="Normal"/>
        <w:widowControl/>
        <w:numPr>
          <w:ilvl w:val="0"/>
          <w:numId w:val="2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exposure of an open wound or conjunctivae to blood or to body substance visibly contaminated with blood;</w:t>
      </w:r>
    </w:p>
    <w:p>
      <w:pPr>
        <w:pStyle w:val="Normal"/>
        <w:widowControl/>
        <w:numPr>
          <w:ilvl w:val="0"/>
          <w:numId w:val="2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prolonged blood contact over large areas of skin (if skin is completely intact risk is lowered)</w:t>
      </w:r>
    </w:p>
    <w:p>
      <w:pPr>
        <w:pStyle w:val="Normal"/>
        <w:widowControl/>
        <w:numPr>
          <w:ilvl w:val="0"/>
          <w:numId w:val="2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exposure of a closed wound or mucous membranes to blood or body substance visibly contaminated with blood.</w:t>
      </w:r>
    </w:p>
    <w:p>
      <w:pPr>
        <w:pStyle w:val="Normal"/>
        <w:widowControl/>
        <w:numPr>
          <w:ilvl w:val="1"/>
          <w:numId w:val="3"/>
        </w:numPr>
        <w:tabs>
          <w:tab w:val="clear" w:pos="720"/>
        </w:tabs>
        <w:ind w:hanging="360" w:start="1080" w:end="0"/>
        <w:rPr>
          <w:rFonts w:ascii="Book Antiqua" w:hAnsi="Book Antiqua" w:cs="Book Antiqua"/>
          <w:sz w:val="23"/>
          <w:szCs w:val="23"/>
        </w:rPr>
      </w:pPr>
      <w:r>
        <w:rPr>
          <w:rFonts w:cs="Book Antiqua" w:ascii="Book Antiqua" w:hAnsi="Book Antiqua"/>
          <w:sz w:val="23"/>
          <w:szCs w:val="23"/>
          <w:u w:val="single"/>
        </w:rPr>
        <w:t>Very Low risk exposure</w:t>
      </w:r>
      <w:r>
        <w:rPr>
          <w:rFonts w:cs="Book Antiqua" w:ascii="Book Antiqua" w:hAnsi="Book Antiqua"/>
          <w:sz w:val="23"/>
          <w:szCs w:val="23"/>
        </w:rPr>
        <w:t xml:space="preserve"> </w:t>
      </w:r>
    </w:p>
    <w:p>
      <w:pPr>
        <w:pStyle w:val="Normal"/>
        <w:widowControl/>
        <w:numPr>
          <w:ilvl w:val="0"/>
          <w:numId w:val="14"/>
        </w:numPr>
        <w:tabs>
          <w:tab w:val="clear" w:pos="720"/>
        </w:tabs>
        <w:ind w:hanging="360" w:start="1440" w:end="0"/>
        <w:rPr>
          <w:rFonts w:ascii="Book Antiqua" w:hAnsi="Book Antiqua" w:cs="Book Antiqua"/>
          <w:sz w:val="23"/>
          <w:szCs w:val="23"/>
        </w:rPr>
      </w:pPr>
      <w:r>
        <w:rPr>
          <w:rFonts w:cs="Book Antiqua" w:ascii="Book Antiqua" w:hAnsi="Book Antiqua"/>
          <w:sz w:val="23"/>
          <w:szCs w:val="23"/>
        </w:rPr>
        <w:t>superficial injury (not causing bleeding);</w:t>
      </w:r>
    </w:p>
    <w:p>
      <w:pPr>
        <w:pStyle w:val="Normal"/>
        <w:widowControl/>
        <w:numPr>
          <w:ilvl w:val="0"/>
          <w:numId w:val="14"/>
        </w:numPr>
        <w:tabs>
          <w:tab w:val="clear" w:pos="720"/>
        </w:tabs>
        <w:ind w:hanging="360" w:start="1440" w:end="0"/>
        <w:rPr>
          <w:rFonts w:ascii="Book Antiqua" w:hAnsi="Book Antiqua" w:cs="Book Antiqua"/>
          <w:sz w:val="23"/>
          <w:szCs w:val="23"/>
        </w:rPr>
      </w:pPr>
      <w:r>
        <w:rPr>
          <w:rFonts w:cs="Book Antiqua" w:ascii="Book Antiqua" w:hAnsi="Book Antiqua"/>
          <w:sz w:val="23"/>
          <w:szCs w:val="23"/>
        </w:rPr>
        <w:t xml:space="preserve">wound caused by a bite breaking the skin (in this case there is little risk to the person bitten unless the saliva was visibly contaminated by blood prior to biting). </w:t>
      </w:r>
    </w:p>
    <w:p>
      <w:pPr>
        <w:pStyle w:val="Normal"/>
        <w:widowControl/>
        <w:numPr>
          <w:ilvl w:val="1"/>
          <w:numId w:val="3"/>
        </w:numPr>
        <w:tabs>
          <w:tab w:val="clear" w:pos="720"/>
        </w:tabs>
        <w:ind w:hanging="360" w:start="1080" w:end="0"/>
        <w:rPr>
          <w:rFonts w:ascii="Book Antiqua" w:hAnsi="Book Antiqua" w:cs="Book Antiqua"/>
          <w:sz w:val="23"/>
          <w:szCs w:val="23"/>
        </w:rPr>
      </w:pPr>
      <w:r>
        <w:rPr>
          <w:rFonts w:cs="Book Antiqua" w:ascii="Book Antiqua" w:hAnsi="Book Antiqua"/>
          <w:sz w:val="23"/>
          <w:szCs w:val="23"/>
          <w:u w:val="single"/>
        </w:rPr>
        <w:t>No documented risk</w:t>
      </w:r>
    </w:p>
    <w:p>
      <w:pPr>
        <w:pStyle w:val="Normal"/>
        <w:widowControl/>
        <w:numPr>
          <w:ilvl w:val="0"/>
          <w:numId w:val="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contamination of intact skin (small area) by blood;</w:t>
      </w:r>
    </w:p>
    <w:p>
      <w:pPr>
        <w:pStyle w:val="Normal"/>
        <w:widowControl/>
        <w:numPr>
          <w:ilvl w:val="0"/>
          <w:numId w:val="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injury with instrument not visibly contaminated with blood.</w:t>
      </w:r>
    </w:p>
    <w:p>
      <w:pPr>
        <w:pStyle w:val="Normal"/>
        <w:widowControl/>
        <w:numPr>
          <w:ilvl w:val="0"/>
          <w:numId w:val="2"/>
        </w:numPr>
        <w:tabs>
          <w:tab w:val="clear" w:pos="720"/>
        </w:tabs>
        <w:ind w:hanging="360" w:start="1440" w:end="0"/>
        <w:rPr>
          <w:rFonts w:ascii="Book Antiqua" w:hAnsi="Book Antiqua" w:cs="Book Antiqua"/>
          <w:sz w:val="23"/>
          <w:szCs w:val="23"/>
        </w:rPr>
      </w:pPr>
      <w:r>
        <w:rPr>
          <w:rFonts w:cs="Book Antiqua" w:ascii="Book Antiqua" w:hAnsi="Book Antiqua"/>
          <w:sz w:val="23"/>
          <w:szCs w:val="23"/>
        </w:rPr>
        <w:t>contact with skin or mucous membrane by urine, emesis, or saliva not containing visible blood.</w:t>
      </w:r>
    </w:p>
    <w:p>
      <w:pPr>
        <w:pStyle w:val="Normal"/>
        <w:widowControl/>
        <w:numPr>
          <w:ilvl w:val="1"/>
          <w:numId w:val="19"/>
        </w:numPr>
        <w:tabs>
          <w:tab w:val="clear" w:pos="720"/>
        </w:tabs>
        <w:ind w:hanging="360" w:start="1080" w:end="0"/>
        <w:rPr>
          <w:rFonts w:ascii="Book Antiqua" w:hAnsi="Book Antiqua" w:cs="Book Antiqua"/>
          <w:sz w:val="23"/>
          <w:szCs w:val="23"/>
        </w:rPr>
      </w:pPr>
      <w:r>
        <w:rPr>
          <w:rFonts w:cs="Book Antiqua" w:ascii="Book Antiqua" w:hAnsi="Book Antiqua"/>
          <w:sz w:val="23"/>
          <w:szCs w:val="23"/>
        </w:rPr>
        <w:t>Risk in category 4a, 4b and 4c is further increased if source patient is in end stage of AIDS or is in the window period of HIV infection;</w:t>
      </w:r>
    </w:p>
    <w:p>
      <w:pPr>
        <w:pStyle w:val="Normal"/>
        <w:widowControl/>
        <w:numPr>
          <w:ilvl w:val="1"/>
          <w:numId w:val="19"/>
        </w:numPr>
        <w:tabs>
          <w:tab w:val="clear" w:pos="720"/>
        </w:tabs>
        <w:ind w:hanging="360" w:start="1080" w:end="0"/>
        <w:rPr>
          <w:rFonts w:ascii="Book Antiqua" w:hAnsi="Book Antiqua" w:cs="Book Antiqua"/>
          <w:sz w:val="23"/>
          <w:szCs w:val="23"/>
        </w:rPr>
      </w:pPr>
      <w:r>
        <w:rPr>
          <w:rFonts w:cs="Book Antiqua" w:ascii="Book Antiqua" w:hAnsi="Book Antiqua"/>
          <w:sz w:val="23"/>
          <w:szCs w:val="23"/>
        </w:rPr>
        <w:t>Skin wounds due to bite (risk category 4e.ii) should be evaluated on a case-by-case basis, depending on the risk status of the source.</w:t>
      </w:r>
    </w:p>
    <w:p>
      <w:pPr>
        <w:pStyle w:val="Normal"/>
        <w:widowControl/>
        <w:numPr>
          <w:ilvl w:val="0"/>
          <w:numId w:val="18"/>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CDC recommendations with respect to health-care workers (HCW). Health-care workers who do invasive procedures should know their HBsAg and HIV antibody status, any CHLA HCW who does invasive procedures may elect to have a baseline hepatitis B surface antigen (HBsAg) or HIV antibody test done by contacting Employee Health Services (EHS).  </w:t>
      </w:r>
    </w:p>
    <w:p>
      <w:pPr>
        <w:pStyle w:val="Normal"/>
        <w:widowControl/>
        <w:numPr>
          <w:ilvl w:val="0"/>
          <w:numId w:val="18"/>
        </w:numPr>
        <w:tabs>
          <w:tab w:val="clear" w:pos="720"/>
        </w:tabs>
        <w:ind w:hanging="360" w:start="720" w:end="0"/>
        <w:rPr>
          <w:rFonts w:ascii="Book Antiqua" w:hAnsi="Book Antiqua" w:cs="Book Antiqua"/>
          <w:sz w:val="23"/>
          <w:szCs w:val="23"/>
        </w:rPr>
      </w:pPr>
      <w:r>
        <w:rPr>
          <w:rFonts w:cs="Book Antiqua" w:ascii="Book Antiqua" w:hAnsi="Book Antiqua"/>
          <w:sz w:val="23"/>
          <w:szCs w:val="23"/>
        </w:rPr>
        <w:t>HCW baseline blood testing. *If a HCW consents to baseline blood testing, but not to HIV baseline testing, a blood sample will be stored for 90 days to allow the HCW time to reconsider.</w:t>
      </w:r>
    </w:p>
    <w:p>
      <w:pPr>
        <w:pStyle w:val="Normal"/>
        <w:widowControl/>
        <w:numPr>
          <w:ilvl w:val="0"/>
          <w:numId w:val="26"/>
        </w:numPr>
        <w:tabs>
          <w:tab w:val="clear" w:pos="720"/>
        </w:tabs>
        <w:ind w:hanging="360" w:start="1080" w:end="0"/>
        <w:rPr>
          <w:rFonts w:ascii="Book Antiqua" w:hAnsi="Book Antiqua" w:cs="Book Antiqua"/>
          <w:sz w:val="23"/>
          <w:szCs w:val="23"/>
        </w:rPr>
      </w:pPr>
      <w:r>
        <w:rPr>
          <w:rFonts w:eastAsia="Book Antiqua" w:cs="Book Antiqua" w:ascii="Book Antiqua" w:hAnsi="Book Antiqua"/>
          <w:sz w:val="23"/>
          <w:szCs w:val="23"/>
        </w:rPr>
        <w:t xml:space="preserve"> </w:t>
      </w:r>
      <w:r>
        <w:rPr>
          <w:rFonts w:cs="Book Antiqua" w:ascii="Book Antiqua" w:hAnsi="Book Antiqua"/>
          <w:sz w:val="23"/>
          <w:szCs w:val="23"/>
        </w:rPr>
        <w:t xml:space="preserve">Precautions will be taken to protect HCW confidentiality as well for post-exposure testing. </w:t>
      </w:r>
    </w:p>
    <w:p>
      <w:pPr>
        <w:pStyle w:val="Normal"/>
        <w:widowControl/>
        <w:numPr>
          <w:ilvl w:val="0"/>
          <w:numId w:val="26"/>
        </w:numPr>
        <w:tabs>
          <w:tab w:val="clear" w:pos="720"/>
        </w:tabs>
        <w:ind w:hanging="360" w:start="1080" w:end="0"/>
        <w:rPr>
          <w:rFonts w:ascii="Book Antiqua" w:hAnsi="Book Antiqua" w:cs="Book Antiqua"/>
          <w:sz w:val="23"/>
          <w:szCs w:val="23"/>
        </w:rPr>
      </w:pPr>
      <w:r>
        <w:rPr>
          <w:rFonts w:cs="Book Antiqua" w:ascii="Book Antiqua" w:hAnsi="Book Antiqua"/>
          <w:sz w:val="23"/>
          <w:szCs w:val="23"/>
        </w:rPr>
        <w:t xml:space="preserve">HCWs who do not do invasive procedures and HCWs who are exposed or do invasive procedures and who desire a higher level of confidentiality should be referred to HIV testing and counseling at alternative sites.  </w:t>
      </w:r>
    </w:p>
    <w:p>
      <w:pPr>
        <w:pStyle w:val="Header"/>
        <w:widowControl/>
        <w:numPr>
          <w:ilvl w:val="0"/>
          <w:numId w:val="25"/>
        </w:numPr>
        <w:tabs>
          <w:tab w:val="clear" w:pos="720"/>
          <w:tab w:val="left" w:pos="-1440" w:leader="none"/>
        </w:tabs>
        <w:ind w:hanging="360" w:start="720" w:end="0"/>
        <w:rPr>
          <w:rFonts w:ascii="Book Antiqua" w:hAnsi="Book Antiqua" w:cs="Book Antiqua"/>
          <w:b/>
          <w:spacing w:val="-2"/>
          <w:sz w:val="23"/>
          <w:szCs w:val="23"/>
        </w:rPr>
      </w:pPr>
      <w:r>
        <w:rPr>
          <w:rFonts w:cs="Book Antiqua" w:ascii="Book Antiqua" w:hAnsi="Book Antiqua"/>
          <w:sz w:val="23"/>
          <w:szCs w:val="23"/>
        </w:rPr>
        <w:t>Records on HCW exposure events are maintained for the duration of employment plus 30 years.</w:t>
      </w:r>
    </w:p>
    <w:p>
      <w:pPr>
        <w:pStyle w:val="Normal"/>
        <w:jc w:val="both"/>
        <w:rPr>
          <w:rFonts w:ascii="Book Antiqua" w:hAnsi="Book Antiqua" w:cs="Book Antiqua"/>
          <w:b/>
          <w:spacing w:val="-2"/>
          <w:sz w:val="23"/>
          <w:szCs w:val="23"/>
        </w:rPr>
      </w:pPr>
      <w:r>
        <w:rPr>
          <w:rFonts w:cs="Book Antiqua" w:ascii="Book Antiqua" w:hAnsi="Book Antiqua"/>
          <w:b/>
          <w:spacing w:val="-2"/>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w:t>
      </w:r>
    </w:p>
    <w:p>
      <w:pPr>
        <w:pStyle w:val="Normal"/>
        <w:widowControl/>
        <w:numPr>
          <w:ilvl w:val="0"/>
          <w:numId w:val="7"/>
        </w:numPr>
        <w:tabs>
          <w:tab w:val="clear" w:pos="720"/>
        </w:tabs>
        <w:ind w:hanging="360" w:start="720" w:end="0"/>
        <w:rPr>
          <w:rFonts w:ascii="Book Antiqua" w:hAnsi="Book Antiqua" w:cs="Book Antiqua"/>
          <w:sz w:val="23"/>
          <w:szCs w:val="23"/>
        </w:rPr>
      </w:pPr>
      <w:r>
        <w:rPr>
          <w:rFonts w:cs="Book Antiqua" w:ascii="Book Antiqua" w:hAnsi="Book Antiqua"/>
          <w:sz w:val="23"/>
          <w:szCs w:val="23"/>
        </w:rPr>
        <w:t>All bloodborne pathogen exposures must be reported and exposed employees must be offered medical evaluation.</w:t>
      </w:r>
    </w:p>
    <w:p>
      <w:pPr>
        <w:pStyle w:val="Normal"/>
        <w:widowControl/>
        <w:numPr>
          <w:ilvl w:val="0"/>
          <w:numId w:val="7"/>
        </w:numPr>
        <w:tabs>
          <w:tab w:val="clear" w:pos="720"/>
        </w:tabs>
        <w:ind w:hanging="360" w:start="720" w:end="0"/>
        <w:rPr>
          <w:rFonts w:ascii="Book Antiqua" w:hAnsi="Book Antiqua" w:cs="Book Antiqua"/>
          <w:sz w:val="23"/>
          <w:szCs w:val="23"/>
        </w:rPr>
      </w:pPr>
      <w:r>
        <w:rPr>
          <w:rFonts w:cs="Book Antiqua" w:ascii="Book Antiqua" w:hAnsi="Book Antiqua"/>
          <w:sz w:val="23"/>
          <w:szCs w:val="23"/>
        </w:rPr>
        <w:t>HCWs sustaining an exposure should immediately flush the exposed area copiously with water (sterile water or saline may be used for eye exposure), removing any foreign material embedded in the wound if present and wash the wound thoroughly with soap and running water (betadine may be used).</w:t>
      </w:r>
    </w:p>
    <w:p>
      <w:pPr>
        <w:pStyle w:val="Normal"/>
        <w:widowControl/>
        <w:numPr>
          <w:ilvl w:val="0"/>
          <w:numId w:val="7"/>
        </w:numPr>
        <w:tabs>
          <w:tab w:val="clear" w:pos="720"/>
        </w:tabs>
        <w:ind w:hanging="360" w:start="720" w:end="0"/>
        <w:rPr>
          <w:rFonts w:ascii="Book Antiqua" w:hAnsi="Book Antiqua" w:cs="Book Antiqua"/>
          <w:sz w:val="23"/>
          <w:szCs w:val="23"/>
        </w:rPr>
      </w:pPr>
      <w:r>
        <w:rPr>
          <w:rFonts w:cs="Book Antiqua" w:ascii="Book Antiqua" w:hAnsi="Book Antiqua"/>
          <w:sz w:val="23"/>
          <w:szCs w:val="23"/>
        </w:rPr>
        <w:t>HCW should report the exposure to their manager or supervisor immediately.</w:t>
      </w:r>
    </w:p>
    <w:p>
      <w:pPr>
        <w:pStyle w:val="Normal"/>
        <w:widowControl/>
        <w:numPr>
          <w:ilvl w:val="0"/>
          <w:numId w:val="7"/>
        </w:numPr>
        <w:tabs>
          <w:tab w:val="clear" w:pos="720"/>
        </w:tabs>
        <w:ind w:hanging="360" w:start="720" w:end="0"/>
        <w:rPr>
          <w:rFonts w:ascii="Book Antiqua" w:hAnsi="Book Antiqua" w:cs="Book Antiqua"/>
          <w:sz w:val="23"/>
          <w:szCs w:val="23"/>
        </w:rPr>
      </w:pPr>
      <w:r>
        <w:rPr>
          <w:rFonts w:cs="Book Antiqua" w:ascii="Book Antiqua" w:hAnsi="Book Antiqua"/>
          <w:sz w:val="23"/>
          <w:szCs w:val="23"/>
        </w:rPr>
        <w:t>Follow IC 601.1 for exposures during hours that Employee Health is closed (Monday-Friday 4 PM to 6 AM, and weekends). When EHS is closed, exposed HCWs should report the incident IMMEDIATELY to the house supervisor through the CHLA operator.</w:t>
      </w:r>
    </w:p>
    <w:p>
      <w:pPr>
        <w:pStyle w:val="Normal"/>
        <w:widowControl/>
        <w:numPr>
          <w:ilvl w:val="0"/>
          <w:numId w:val="7"/>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For exposures during hours that Employee Health is open (Monday-Friday 6 AM to 4 PM), the following steps need to be taken immediately: </w:t>
      </w:r>
    </w:p>
    <w:p>
      <w:pPr>
        <w:pStyle w:val="ListParagraph"/>
        <w:widowControl/>
        <w:numPr>
          <w:ilvl w:val="0"/>
          <w:numId w:val="15"/>
        </w:numPr>
        <w:ind w:hanging="360" w:start="1440" w:end="0"/>
        <w:rPr>
          <w:rFonts w:ascii="Book Antiqua" w:hAnsi="Book Antiqua" w:cs="Book Antiqua"/>
          <w:sz w:val="23"/>
          <w:szCs w:val="23"/>
        </w:rPr>
      </w:pPr>
      <w:r>
        <w:rPr>
          <w:rFonts w:cs="Book Antiqua" w:ascii="Book Antiqua" w:hAnsi="Book Antiqua"/>
          <w:sz w:val="23"/>
          <w:szCs w:val="23"/>
        </w:rPr>
        <w:t>Treating provider will need to obtain verbal consent, place orders and make sure the source individual’s blood is drawn right then before releasing the source from the clinic or hospital</w:t>
      </w:r>
    </w:p>
    <w:p>
      <w:pPr>
        <w:pStyle w:val="ListParagraph"/>
        <w:widowControl/>
        <w:numPr>
          <w:ilvl w:val="0"/>
          <w:numId w:val="15"/>
        </w:numPr>
        <w:ind w:hanging="360" w:start="1440" w:end="0"/>
        <w:rPr>
          <w:rFonts w:ascii="Book Antiqua" w:hAnsi="Book Antiqua" w:cs="Book Antiqua"/>
          <w:sz w:val="23"/>
          <w:szCs w:val="23"/>
        </w:rPr>
      </w:pPr>
      <w:r>
        <w:rPr>
          <w:rFonts w:cs="Book Antiqua" w:ascii="Book Antiqua" w:hAnsi="Book Antiqua"/>
          <w:sz w:val="23"/>
          <w:szCs w:val="23"/>
        </w:rPr>
        <w:t>Exposed individual should report promptly to Employee Health for follow-up and evaluation</w:t>
      </w:r>
    </w:p>
    <w:p>
      <w:pPr>
        <w:pStyle w:val="Normal"/>
        <w:widowControl/>
        <w:numPr>
          <w:ilvl w:val="0"/>
          <w:numId w:val="7"/>
        </w:numPr>
        <w:tabs>
          <w:tab w:val="clear" w:pos="720"/>
        </w:tabs>
        <w:ind w:hanging="360" w:start="720" w:end="0"/>
        <w:rPr>
          <w:rFonts w:ascii="Book Antiqua" w:hAnsi="Book Antiqua" w:cs="Book Antiqua"/>
          <w:sz w:val="23"/>
          <w:szCs w:val="23"/>
        </w:rPr>
      </w:pPr>
      <w:r>
        <w:rPr>
          <w:rFonts w:cs="Book Antiqua" w:ascii="Book Antiqua" w:hAnsi="Book Antiqua"/>
          <w:sz w:val="23"/>
          <w:szCs w:val="23"/>
          <w:u w:val="single"/>
        </w:rPr>
        <w:t>Every effort should be made to evaluate high-risk exposures within an hour of the incident</w:t>
      </w:r>
      <w:r>
        <w:rPr>
          <w:rFonts w:cs="Book Antiqua" w:ascii="Book Antiqua" w:hAnsi="Book Antiqua"/>
          <w:sz w:val="23"/>
          <w:szCs w:val="23"/>
        </w:rPr>
        <w:t xml:space="preserve">. </w:t>
      </w:r>
    </w:p>
    <w:p>
      <w:pPr>
        <w:pStyle w:val="Normal"/>
        <w:ind w:start="360" w:end="0"/>
        <w:rPr>
          <w:rFonts w:ascii="Book Antiqua" w:hAnsi="Book Antiqua" w:cs="Book Antiqua"/>
          <w:sz w:val="23"/>
          <w:szCs w:val="23"/>
        </w:rPr>
      </w:pPr>
      <w:r>
        <w:rPr>
          <w:rFonts w:cs="Book Antiqua" w:ascii="Book Antiqua" w:hAnsi="Book Antiqua"/>
          <w:sz w:val="23"/>
          <w:szCs w:val="23"/>
        </w:rPr>
      </w:r>
    </w:p>
    <w:p>
      <w:pPr>
        <w:pStyle w:val="Normal"/>
        <w:tabs>
          <w:tab w:val="clear" w:pos="720"/>
          <w:tab w:val="left" w:pos="-1440" w:leader="none"/>
        </w:tabs>
        <w:ind w:start="360" w:end="0"/>
        <w:rPr>
          <w:rFonts w:ascii="Book Antiqua" w:hAnsi="Book Antiqua" w:cs="Book Antiqua"/>
          <w:b/>
          <w:sz w:val="23"/>
          <w:szCs w:val="23"/>
          <w:u w:val="single"/>
        </w:rPr>
      </w:pPr>
      <w:r>
        <w:rPr>
          <w:rFonts w:eastAsia="Book Antiqua" w:cs="Book Antiqua" w:ascii="Book Antiqua" w:hAnsi="Book Antiqua"/>
          <w:sz w:val="23"/>
          <w:szCs w:val="23"/>
        </w:rPr>
        <w:t xml:space="preserve"> </w:t>
      </w:r>
    </w:p>
    <w:p>
      <w:pPr>
        <w:pStyle w:val="Normal"/>
        <w:ind w:start="360" w:end="0"/>
        <w:rPr>
          <w:rFonts w:ascii="Book Antiqua" w:hAnsi="Book Antiqua" w:cs="Book Antiqua"/>
          <w:sz w:val="23"/>
          <w:szCs w:val="23"/>
        </w:rPr>
      </w:pPr>
      <w:r>
        <w:rPr>
          <w:rFonts w:cs="Book Antiqua" w:ascii="Book Antiqua" w:hAnsi="Book Antiqua"/>
          <w:b/>
          <w:sz w:val="23"/>
          <w:szCs w:val="23"/>
          <w:u w:val="single"/>
        </w:rPr>
        <w:t>HEPATITIS B</w:t>
      </w:r>
    </w:p>
    <w:p>
      <w:pPr>
        <w:pStyle w:val="Normal"/>
        <w:widowControl/>
        <w:numPr>
          <w:ilvl w:val="0"/>
          <w:numId w:val="31"/>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When the source is HBsAg positive </w:t>
      </w:r>
      <w:r>
        <w:rPr>
          <w:rFonts w:cs="Book Antiqua" w:ascii="Book Antiqua" w:hAnsi="Book Antiqua"/>
          <w:sz w:val="23"/>
          <w:szCs w:val="23"/>
          <w:u w:val="single"/>
        </w:rPr>
        <w:t>and</w:t>
      </w:r>
      <w:r>
        <w:rPr>
          <w:rFonts w:cs="Book Antiqua" w:ascii="Book Antiqua" w:hAnsi="Book Antiqua"/>
          <w:sz w:val="23"/>
          <w:szCs w:val="23"/>
        </w:rPr>
        <w:t xml:space="preserve"> a significant blood exposure has occurred, personnel with </w:t>
      </w:r>
      <w:r>
        <w:rPr>
          <w:rFonts w:cs="Book Antiqua" w:ascii="Book Antiqua" w:hAnsi="Book Antiqua"/>
          <w:sz w:val="23"/>
          <w:szCs w:val="23"/>
          <w:u w:val="single"/>
        </w:rPr>
        <w:t>KNOWN</w:t>
      </w:r>
      <w:r>
        <w:rPr>
          <w:rFonts w:cs="Book Antiqua" w:ascii="Book Antiqua" w:hAnsi="Book Antiqua"/>
          <w:sz w:val="23"/>
          <w:szCs w:val="23"/>
        </w:rPr>
        <w:t xml:space="preserve"> sufficient antibodies to hepatitis B (HBsAb &gt; 10 SRU), whether by natural infection or immunization, need no prophylaxis for hepatitis B.</w:t>
      </w:r>
    </w:p>
    <w:p>
      <w:pPr>
        <w:pStyle w:val="Normal"/>
        <w:widowControl/>
        <w:numPr>
          <w:ilvl w:val="0"/>
          <w:numId w:val="31"/>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Any non-protected person or one with UNKNOWN protection status, </w:t>
      </w:r>
      <w:r>
        <w:rPr>
          <w:rFonts w:cs="Book Antiqua" w:ascii="Book Antiqua" w:hAnsi="Book Antiqua"/>
          <w:sz w:val="23"/>
          <w:szCs w:val="23"/>
          <w:u w:val="single"/>
        </w:rPr>
        <w:t>whether hepatitis B vaccine was administered or not</w:t>
      </w:r>
      <w:r>
        <w:rPr>
          <w:rFonts w:cs="Book Antiqua" w:ascii="Book Antiqua" w:hAnsi="Book Antiqua"/>
          <w:sz w:val="23"/>
          <w:szCs w:val="23"/>
        </w:rPr>
        <w:t>, will require investigation by testing the source for HBsAg and the HCW for HBsAb.</w:t>
      </w:r>
    </w:p>
    <w:p>
      <w:pPr>
        <w:pStyle w:val="Normal"/>
        <w:widowControl/>
        <w:numPr>
          <w:ilvl w:val="1"/>
          <w:numId w:val="11"/>
        </w:numPr>
        <w:tabs>
          <w:tab w:val="clear" w:pos="720"/>
        </w:tabs>
        <w:ind w:hanging="360" w:start="1080" w:end="0"/>
        <w:rPr>
          <w:rFonts w:ascii="Book Antiqua" w:hAnsi="Book Antiqua" w:cs="Book Antiqua"/>
          <w:sz w:val="23"/>
          <w:szCs w:val="23"/>
        </w:rPr>
      </w:pPr>
      <w:r>
        <w:rPr>
          <w:rFonts w:cs="Book Antiqua" w:ascii="Book Antiqua" w:hAnsi="Book Antiqua"/>
          <w:sz w:val="23"/>
          <w:szCs w:val="23"/>
        </w:rPr>
        <w:t>if source is negative for HBsAg and HCW is negative for HBsAb, no treatment necessary;</w:t>
      </w:r>
    </w:p>
    <w:p>
      <w:pPr>
        <w:pStyle w:val="Normal"/>
        <w:widowControl/>
        <w:numPr>
          <w:ilvl w:val="1"/>
          <w:numId w:val="11"/>
        </w:numPr>
        <w:tabs>
          <w:tab w:val="clear" w:pos="720"/>
        </w:tabs>
        <w:ind w:hanging="360" w:start="1080" w:end="0"/>
        <w:rPr>
          <w:rFonts w:ascii="Book Antiqua" w:hAnsi="Book Antiqua" w:cs="Book Antiqua"/>
          <w:sz w:val="23"/>
          <w:szCs w:val="23"/>
        </w:rPr>
      </w:pPr>
      <w:r>
        <w:rPr>
          <w:rFonts w:cs="Book Antiqua" w:ascii="Book Antiqua" w:hAnsi="Book Antiqua"/>
          <w:sz w:val="23"/>
          <w:szCs w:val="23"/>
        </w:rPr>
        <w:t>if source is negative for HBsAg and HCW is positive for HBsAb, no treatment necessary;</w:t>
      </w:r>
    </w:p>
    <w:p>
      <w:pPr>
        <w:pStyle w:val="Normal"/>
        <w:widowControl/>
        <w:numPr>
          <w:ilvl w:val="1"/>
          <w:numId w:val="11"/>
        </w:numPr>
        <w:tabs>
          <w:tab w:val="clear" w:pos="720"/>
        </w:tabs>
        <w:ind w:hanging="360" w:start="1080" w:end="0"/>
        <w:rPr>
          <w:rFonts w:ascii="Book Antiqua" w:hAnsi="Book Antiqua" w:cs="Book Antiqua"/>
          <w:sz w:val="23"/>
          <w:szCs w:val="23"/>
        </w:rPr>
      </w:pPr>
      <w:r>
        <w:rPr>
          <w:rFonts w:cs="Book Antiqua" w:ascii="Book Antiqua" w:hAnsi="Book Antiqua"/>
          <w:sz w:val="23"/>
          <w:szCs w:val="23"/>
        </w:rPr>
        <w:t xml:space="preserve">if source is positive for HBsAg and HCW is positive for HBsAb, no treatment necessary;   </w:t>
      </w:r>
    </w:p>
    <w:p>
      <w:pPr>
        <w:pStyle w:val="Normal"/>
        <w:widowControl/>
        <w:numPr>
          <w:ilvl w:val="1"/>
          <w:numId w:val="11"/>
        </w:numPr>
        <w:tabs>
          <w:tab w:val="clear" w:pos="720"/>
        </w:tabs>
        <w:ind w:hanging="360" w:start="1080" w:end="0"/>
        <w:rPr>
          <w:rFonts w:ascii="Book Antiqua" w:hAnsi="Book Antiqua" w:cs="Book Antiqua"/>
          <w:sz w:val="23"/>
          <w:szCs w:val="23"/>
        </w:rPr>
      </w:pPr>
      <w:r>
        <w:rPr>
          <w:rFonts w:cs="Book Antiqua" w:ascii="Book Antiqua" w:hAnsi="Book Antiqua"/>
          <w:sz w:val="23"/>
          <w:szCs w:val="23"/>
        </w:rPr>
        <w:t>if source is questionable, unknown, or positive for HBsAg and HCW is negative for HBsAb, administer HBIG and begin vaccine series;</w:t>
      </w:r>
    </w:p>
    <w:p>
      <w:pPr>
        <w:pStyle w:val="Normal"/>
        <w:rPr>
          <w:rFonts w:ascii="Book Antiqua" w:hAnsi="Book Antiqua" w:cs="Book Antiqua"/>
          <w:sz w:val="23"/>
          <w:szCs w:val="23"/>
        </w:rPr>
      </w:pPr>
      <w:r>
        <w:rPr>
          <w:rFonts w:cs="Book Antiqua" w:ascii="Book Antiqua" w:hAnsi="Book Antiqua"/>
          <w:sz w:val="23"/>
          <w:szCs w:val="23"/>
        </w:rPr>
      </w:r>
    </w:p>
    <w:p>
      <w:pPr>
        <w:pStyle w:val="Normal"/>
        <w:tabs>
          <w:tab w:val="clear" w:pos="720"/>
          <w:tab w:val="left" w:pos="-1440" w:leader="none"/>
        </w:tabs>
        <w:ind w:start="360" w:end="0"/>
        <w:rPr>
          <w:rFonts w:ascii="Book Antiqua" w:hAnsi="Book Antiqua" w:cs="Book Antiqua"/>
          <w:b/>
          <w:sz w:val="23"/>
          <w:szCs w:val="23"/>
          <w:u w:val="single"/>
        </w:rPr>
      </w:pPr>
      <w:r>
        <w:rPr>
          <w:rFonts w:cs="Book Antiqua" w:ascii="Book Antiqua" w:hAnsi="Book Antiqua"/>
          <w:b/>
          <w:sz w:val="23"/>
          <w:szCs w:val="23"/>
          <w:u w:val="single"/>
        </w:rPr>
        <w:t>HEPATITIS C</w:t>
      </w:r>
    </w:p>
    <w:p>
      <w:pPr>
        <w:pStyle w:val="Normal"/>
        <w:widowControl/>
        <w:numPr>
          <w:ilvl w:val="0"/>
          <w:numId w:val="30"/>
        </w:numPr>
        <w:tabs>
          <w:tab w:val="clear" w:pos="720"/>
        </w:tabs>
        <w:ind w:hanging="360" w:start="720" w:end="0"/>
        <w:rPr>
          <w:rFonts w:ascii="Book Antiqua" w:hAnsi="Book Antiqua" w:cs="Book Antiqua"/>
          <w:sz w:val="23"/>
          <w:szCs w:val="23"/>
        </w:rPr>
      </w:pPr>
      <w:r>
        <w:rPr>
          <w:rFonts w:cs="Book Antiqua" w:ascii="Book Antiqua" w:hAnsi="Book Antiqua"/>
          <w:sz w:val="23"/>
          <w:szCs w:val="23"/>
        </w:rPr>
        <w:t>All sources and exposed HCWs should be tested for anti-HCV baseline.</w:t>
      </w:r>
    </w:p>
    <w:p>
      <w:pPr>
        <w:pStyle w:val="Normal"/>
        <w:widowControl/>
        <w:numPr>
          <w:ilvl w:val="0"/>
          <w:numId w:val="30"/>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When the source is known to be or has a potential for being HCV positive </w:t>
      </w:r>
      <w:r>
        <w:rPr>
          <w:rFonts w:cs="Book Antiqua" w:ascii="Book Antiqua" w:hAnsi="Book Antiqua"/>
          <w:sz w:val="23"/>
          <w:szCs w:val="23"/>
          <w:u w:val="single"/>
        </w:rPr>
        <w:t>and</w:t>
      </w:r>
      <w:r>
        <w:rPr>
          <w:rFonts w:cs="Book Antiqua" w:ascii="Book Antiqua" w:hAnsi="Book Antiqua"/>
          <w:sz w:val="23"/>
          <w:szCs w:val="23"/>
        </w:rPr>
        <w:t xml:space="preserve"> a significant blood exposure has occurred:</w:t>
        <w:tab/>
      </w:r>
    </w:p>
    <w:p>
      <w:pPr>
        <w:pStyle w:val="Normal"/>
        <w:widowControl/>
        <w:numPr>
          <w:ilvl w:val="0"/>
          <w:numId w:val="5"/>
        </w:numPr>
        <w:tabs>
          <w:tab w:val="clear" w:pos="720"/>
        </w:tabs>
        <w:ind w:hanging="360" w:start="1080" w:end="0"/>
        <w:rPr>
          <w:rFonts w:ascii="Book Antiqua" w:hAnsi="Book Antiqua" w:cs="Book Antiqua"/>
          <w:sz w:val="23"/>
          <w:szCs w:val="23"/>
        </w:rPr>
      </w:pPr>
      <w:r>
        <w:rPr>
          <w:rFonts w:cs="Book Antiqua" w:ascii="Book Antiqua" w:hAnsi="Book Antiqua"/>
          <w:sz w:val="23"/>
          <w:szCs w:val="23"/>
        </w:rPr>
        <w:t>obtain alanine aminotransferase (ALT) and anti-HCV baseline value at 0, 3 and 6 months after exposure;</w:t>
      </w:r>
    </w:p>
    <w:p>
      <w:pPr>
        <w:pStyle w:val="Normal"/>
        <w:widowControl/>
        <w:numPr>
          <w:ilvl w:val="0"/>
          <w:numId w:val="5"/>
        </w:numPr>
        <w:tabs>
          <w:tab w:val="clear" w:pos="720"/>
        </w:tabs>
        <w:ind w:hanging="360" w:start="1080" w:end="0"/>
        <w:rPr>
          <w:rFonts w:ascii="Book Antiqua" w:hAnsi="Book Antiqua" w:cs="Book Antiqua"/>
          <w:sz w:val="23"/>
          <w:szCs w:val="23"/>
        </w:rPr>
      </w:pPr>
      <w:r>
        <w:rPr>
          <w:rFonts w:cs="Book Antiqua" w:ascii="Book Antiqua" w:hAnsi="Book Antiqua"/>
          <w:sz w:val="23"/>
          <w:szCs w:val="23"/>
        </w:rPr>
        <w:t>counsel regarding symptoms: anorexia, nausea or vomiting, malaise, abdominal pain, dark urine, jaundice;</w:t>
      </w:r>
    </w:p>
    <w:p>
      <w:pPr>
        <w:pStyle w:val="Normal"/>
        <w:widowControl/>
        <w:numPr>
          <w:ilvl w:val="0"/>
          <w:numId w:val="5"/>
        </w:numPr>
        <w:tabs>
          <w:tab w:val="clear" w:pos="720"/>
          <w:tab w:val="left" w:pos="-1440" w:leader="none"/>
        </w:tabs>
        <w:ind w:hanging="360" w:start="1080" w:end="0"/>
        <w:rPr>
          <w:rFonts w:ascii="Book Antiqua" w:hAnsi="Book Antiqua" w:cs="Book Antiqua"/>
          <w:spacing w:val="-2"/>
          <w:sz w:val="23"/>
          <w:szCs w:val="23"/>
        </w:rPr>
      </w:pPr>
      <w:r>
        <w:rPr>
          <w:rFonts w:cs="Book Antiqua" w:ascii="Book Antiqua" w:hAnsi="Book Antiqua"/>
          <w:sz w:val="23"/>
          <w:szCs w:val="23"/>
        </w:rPr>
        <w:t>Counsel regarding risks and precautions.</w:t>
      </w:r>
    </w:p>
    <w:p>
      <w:pPr>
        <w:pStyle w:val="Normal"/>
        <w:tabs>
          <w:tab w:val="clear" w:pos="720"/>
          <w:tab w:val="left" w:pos="-1440" w:leader="none"/>
        </w:tabs>
        <w:ind w:start="360" w:end="0"/>
        <w:rPr>
          <w:rFonts w:ascii="Book Antiqua" w:hAnsi="Book Antiqua" w:cs="Book Antiqua"/>
          <w:b/>
          <w:spacing w:val="-2"/>
          <w:sz w:val="23"/>
          <w:szCs w:val="23"/>
        </w:rPr>
      </w:pPr>
      <w:r>
        <w:rPr>
          <w:rFonts w:cs="Book Antiqua" w:ascii="Book Antiqua" w:hAnsi="Book Antiqua"/>
          <w:b/>
          <w:spacing w:val="-2"/>
          <w:sz w:val="23"/>
          <w:szCs w:val="23"/>
        </w:rPr>
      </w:r>
    </w:p>
    <w:p>
      <w:pPr>
        <w:pStyle w:val="Normal"/>
        <w:tabs>
          <w:tab w:val="clear" w:pos="720"/>
          <w:tab w:val="left" w:pos="-1440" w:leader="none"/>
        </w:tabs>
        <w:ind w:start="360" w:end="0"/>
        <w:rPr>
          <w:rFonts w:ascii="Book Antiqua" w:hAnsi="Book Antiqua" w:cs="Book Antiqua"/>
          <w:b/>
          <w:spacing w:val="-2"/>
          <w:sz w:val="23"/>
          <w:szCs w:val="23"/>
        </w:rPr>
      </w:pPr>
      <w:r>
        <w:rPr>
          <w:rFonts w:cs="Book Antiqua" w:ascii="Book Antiqua" w:hAnsi="Book Antiqua"/>
          <w:b/>
          <w:spacing w:val="-2"/>
          <w:sz w:val="23"/>
          <w:szCs w:val="23"/>
        </w:rPr>
      </w:r>
    </w:p>
    <w:p>
      <w:pPr>
        <w:pStyle w:val="Normal"/>
        <w:ind w:start="360" w:end="0"/>
        <w:rPr>
          <w:rFonts w:ascii="Book Antiqua" w:hAnsi="Book Antiqua" w:cs="Book Antiqua"/>
          <w:sz w:val="23"/>
          <w:szCs w:val="23"/>
        </w:rPr>
      </w:pPr>
      <w:r>
        <w:rPr>
          <w:rFonts w:cs="Book Antiqua" w:ascii="Book Antiqua" w:hAnsi="Book Antiqua"/>
          <w:b/>
          <w:sz w:val="23"/>
          <w:szCs w:val="23"/>
          <w:u w:val="single"/>
        </w:rPr>
        <w:t>HUMAN IMMUNODEFICIENCY VIRUS</w:t>
      </w:r>
    </w:p>
    <w:p>
      <w:pPr>
        <w:pStyle w:val="Normal"/>
        <w:ind w:start="360" w:end="0"/>
        <w:rPr/>
      </w:pPr>
      <w:r>
        <w:rPr>
          <w:rFonts w:cs="Book Antiqua" w:ascii="Book Antiqua" w:hAnsi="Book Antiqua"/>
          <w:sz w:val="23"/>
          <w:szCs w:val="23"/>
        </w:rPr>
        <w:t>If the source is HIV positive or high risk, a decision regarding postexposure prophylaxis (PEP) should be made promptly since recent data suggest that specific antiretroviral chemoprophylaxis reduces the risk of seroconversion in exposed HCWs.  Treatment, if elected, should be started as soon as possible, (preferably within two hours of exposure, but no later than 72 hours following exposure). Treatment recommendations for source HIV unknown or source HIV positive will be at the discretion of the Clinical Immunologist.</w:t>
      </w:r>
    </w:p>
    <w:p>
      <w:pPr>
        <w:pStyle w:val="Normal"/>
        <w:ind w:firstLine="3600" w:start="360" w:end="0"/>
        <w:rPr>
          <w:rFonts w:ascii="Book Antiqua" w:hAnsi="Book Antiqua" w:cs="Book Antiqua"/>
          <w:sz w:val="23"/>
          <w:szCs w:val="23"/>
        </w:rPr>
      </w:pPr>
      <w:r>
        <w:rPr>
          <w:rFonts w:cs="Book Antiqua" w:ascii="Book Antiqua" w:hAnsi="Book Antiqua"/>
          <w:sz w:val="23"/>
          <w:szCs w:val="23"/>
        </w:rPr>
      </w:r>
    </w:p>
    <w:p>
      <w:pPr>
        <w:pStyle w:val="Normal"/>
        <w:widowControl/>
        <w:numPr>
          <w:ilvl w:val="0"/>
          <w:numId w:val="9"/>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When the source is HIV positive </w:t>
      </w:r>
      <w:r>
        <w:rPr>
          <w:rFonts w:cs="Book Antiqua" w:ascii="Book Antiqua" w:hAnsi="Book Antiqua"/>
          <w:sz w:val="23"/>
          <w:szCs w:val="23"/>
          <w:u w:val="single"/>
        </w:rPr>
        <w:t>and</w:t>
      </w:r>
      <w:r>
        <w:rPr>
          <w:rFonts w:cs="Book Antiqua" w:ascii="Book Antiqua" w:hAnsi="Book Antiqua"/>
          <w:sz w:val="23"/>
          <w:szCs w:val="23"/>
        </w:rPr>
        <w:t xml:space="preserve"> a significant exposure occurred:  </w:t>
      </w:r>
    </w:p>
    <w:p>
      <w:pPr>
        <w:pStyle w:val="Normal"/>
        <w:widowControl/>
        <w:numPr>
          <w:ilvl w:val="0"/>
          <w:numId w:val="20"/>
        </w:numPr>
        <w:tabs>
          <w:tab w:val="clear" w:pos="720"/>
        </w:tabs>
        <w:ind w:hanging="360" w:start="1080" w:end="0"/>
        <w:rPr>
          <w:rFonts w:ascii="Book Antiqua" w:hAnsi="Book Antiqua" w:cs="Book Antiqua"/>
          <w:sz w:val="23"/>
          <w:szCs w:val="23"/>
        </w:rPr>
      </w:pPr>
      <w:r>
        <w:rPr>
          <w:rFonts w:cs="Book Antiqua" w:ascii="Book Antiqua" w:hAnsi="Book Antiqua"/>
          <w:sz w:val="23"/>
          <w:szCs w:val="23"/>
        </w:rPr>
        <w:t>Obtain blood from the HCW and do a Rapid HIV blood test, Hep B Surface Ab, Hepatitis B surface antigen, Hep C Ab, ALT and AST. Initially seronegative HCWs should be retested for HIV, HEP C Ab, and Hb Surface Ag at 6 weeks, 3 and 6 months after exposure.</w:t>
      </w:r>
    </w:p>
    <w:p>
      <w:pPr>
        <w:pStyle w:val="Normal"/>
        <w:widowControl/>
        <w:numPr>
          <w:ilvl w:val="0"/>
          <w:numId w:val="20"/>
        </w:numPr>
        <w:rPr>
          <w:rFonts w:ascii="Book Antiqua" w:hAnsi="Book Antiqua" w:cs="Book Antiqua"/>
          <w:sz w:val="23"/>
          <w:szCs w:val="23"/>
        </w:rPr>
      </w:pPr>
      <w:r>
        <w:rPr>
          <w:rFonts w:cs="Book Antiqua" w:ascii="Book Antiqua" w:hAnsi="Book Antiqua"/>
          <w:sz w:val="23"/>
          <w:szCs w:val="23"/>
        </w:rPr>
        <w:t xml:space="preserve">If HCW refuses to consent to HIV test, complete documentation of efforts to obtain consent and refusal to consent must be made in HCW's medical record. HIV prophylaxis will not be offered if HCW refuses to consent to HIV testing. </w:t>
      </w:r>
    </w:p>
    <w:p>
      <w:pPr>
        <w:pStyle w:val="Normal"/>
        <w:widowControl/>
        <w:numPr>
          <w:ilvl w:val="0"/>
          <w:numId w:val="20"/>
        </w:numPr>
        <w:tabs>
          <w:tab w:val="clear" w:pos="720"/>
        </w:tabs>
        <w:ind w:hanging="360" w:start="1080" w:end="0"/>
        <w:rPr>
          <w:rFonts w:ascii="Book Antiqua" w:hAnsi="Book Antiqua" w:cs="Book Antiqua"/>
          <w:sz w:val="23"/>
          <w:szCs w:val="23"/>
        </w:rPr>
      </w:pPr>
      <w:r>
        <w:rPr>
          <w:rFonts w:cs="Book Antiqua" w:ascii="Book Antiqua" w:hAnsi="Book Antiqua"/>
          <w:sz w:val="23"/>
          <w:szCs w:val="23"/>
        </w:rPr>
        <w:t>Counsel HCW to:</w:t>
      </w:r>
    </w:p>
    <w:p>
      <w:pPr>
        <w:pStyle w:val="Normal"/>
        <w:widowControl/>
        <w:numPr>
          <w:ilvl w:val="0"/>
          <w:numId w:val="29"/>
        </w:numPr>
        <w:tabs>
          <w:tab w:val="clear" w:pos="720"/>
        </w:tabs>
        <w:ind w:hanging="360" w:start="1440" w:end="0"/>
        <w:rPr>
          <w:rFonts w:ascii="Book Antiqua" w:hAnsi="Book Antiqua" w:cs="Book Antiqua"/>
          <w:sz w:val="23"/>
          <w:szCs w:val="23"/>
        </w:rPr>
      </w:pPr>
      <w:r>
        <w:rPr>
          <w:rFonts w:cs="Book Antiqua" w:ascii="Book Antiqua" w:hAnsi="Book Antiqua"/>
          <w:sz w:val="23"/>
          <w:szCs w:val="23"/>
        </w:rPr>
        <w:t>report to EHS for any acute illness especially if characte</w:t>
        <w:softHyphen/>
        <w:t>rized by fever; myalgia, profound fatigue, malaise, persistent headaches, rash or lymph</w:t>
        <w:softHyphen/>
        <w:t>adenopa</w:t>
        <w:softHyphen/>
        <w:t>thy that occurs within 14 weeks of exposure;</w:t>
      </w:r>
    </w:p>
    <w:p>
      <w:pPr>
        <w:pStyle w:val="Normal"/>
        <w:widowControl/>
        <w:numPr>
          <w:ilvl w:val="2"/>
          <w:numId w:val="24"/>
        </w:numPr>
        <w:tabs>
          <w:tab w:val="clear" w:pos="720"/>
        </w:tabs>
        <w:ind w:hanging="360" w:start="1440" w:end="0"/>
        <w:rPr>
          <w:rFonts w:ascii="Book Antiqua" w:hAnsi="Book Antiqua" w:cs="Book Antiqua"/>
          <w:sz w:val="23"/>
          <w:szCs w:val="23"/>
        </w:rPr>
      </w:pPr>
      <w:r>
        <w:rPr>
          <w:rFonts w:cs="Book Antiqua" w:ascii="Book Antiqua" w:hAnsi="Book Antiqua"/>
          <w:sz w:val="23"/>
          <w:szCs w:val="23"/>
        </w:rPr>
        <w:t>refrain from blood, semen or organ donation;</w:t>
      </w:r>
    </w:p>
    <w:p>
      <w:pPr>
        <w:pStyle w:val="Normal"/>
        <w:widowControl/>
        <w:numPr>
          <w:ilvl w:val="2"/>
          <w:numId w:val="24"/>
        </w:numPr>
        <w:tabs>
          <w:tab w:val="clear" w:pos="720"/>
        </w:tabs>
        <w:ind w:hanging="360" w:start="1440" w:end="0"/>
        <w:rPr>
          <w:rFonts w:ascii="Book Antiqua" w:hAnsi="Book Antiqua" w:cs="Book Antiqua"/>
          <w:sz w:val="23"/>
          <w:szCs w:val="23"/>
        </w:rPr>
      </w:pPr>
      <w:r>
        <w:rPr>
          <w:rFonts w:cs="Book Antiqua" w:ascii="Book Antiqua" w:hAnsi="Book Antiqua"/>
          <w:sz w:val="23"/>
          <w:szCs w:val="23"/>
        </w:rPr>
        <w:t>use proper precautions during sexu</w:t>
        <w:softHyphen/>
        <w:t>al intercourse;</w:t>
      </w:r>
    </w:p>
    <w:p>
      <w:pPr>
        <w:pStyle w:val="Normal"/>
        <w:widowControl/>
        <w:numPr>
          <w:ilvl w:val="2"/>
          <w:numId w:val="24"/>
        </w:numPr>
        <w:tabs>
          <w:tab w:val="clear" w:pos="720"/>
        </w:tabs>
        <w:ind w:hanging="360" w:start="1440" w:end="0"/>
        <w:rPr>
          <w:rFonts w:ascii="Book Antiqua" w:hAnsi="Book Antiqua" w:cs="Book Antiqua"/>
          <w:sz w:val="23"/>
          <w:szCs w:val="23"/>
        </w:rPr>
      </w:pPr>
      <w:r>
        <w:rPr>
          <w:rFonts w:cs="Book Antiqua" w:ascii="Book Antiqua" w:hAnsi="Book Antiqua"/>
          <w:sz w:val="23"/>
          <w:szCs w:val="23"/>
        </w:rPr>
        <w:t xml:space="preserve">women should not breast-feed their infants;  </w:t>
      </w:r>
    </w:p>
    <w:p>
      <w:pPr>
        <w:pStyle w:val="Normal"/>
        <w:widowControl/>
        <w:numPr>
          <w:ilvl w:val="0"/>
          <w:numId w:val="20"/>
        </w:numPr>
        <w:tabs>
          <w:tab w:val="clear" w:pos="720"/>
        </w:tabs>
        <w:ind w:hanging="360" w:start="1080" w:end="0"/>
        <w:rPr>
          <w:rFonts w:ascii="Book Antiqua" w:hAnsi="Book Antiqua" w:cs="Book Antiqua"/>
          <w:sz w:val="23"/>
          <w:szCs w:val="23"/>
        </w:rPr>
      </w:pPr>
      <w:r>
        <w:rPr>
          <w:rFonts w:cs="Book Antiqua" w:ascii="Book Antiqua" w:hAnsi="Book Antiqua"/>
          <w:sz w:val="23"/>
          <w:szCs w:val="23"/>
        </w:rPr>
        <w:t>If EHS is closed, follow the protocol in IC 601.1 for after-hour exposures.  The on-call Clinical Immunologist will recommend antiretroviral chemoprophylaxis and counsel the HCW as outlined regarding:</w:t>
      </w:r>
    </w:p>
    <w:p>
      <w:pPr>
        <w:pStyle w:val="Normal"/>
        <w:widowControl/>
        <w:numPr>
          <w:ilvl w:val="2"/>
          <w:numId w:val="23"/>
        </w:numPr>
        <w:tabs>
          <w:tab w:val="clear" w:pos="720"/>
        </w:tabs>
        <w:ind w:hanging="360" w:start="1440" w:end="0"/>
        <w:rPr>
          <w:rFonts w:ascii="Book Antiqua" w:hAnsi="Book Antiqua" w:cs="Book Antiqua"/>
          <w:sz w:val="23"/>
          <w:szCs w:val="23"/>
        </w:rPr>
      </w:pPr>
      <w:r>
        <w:rPr>
          <w:rFonts w:cs="Book Antiqua" w:ascii="Book Antiqua" w:hAnsi="Book Antiqua"/>
          <w:sz w:val="23"/>
          <w:szCs w:val="23"/>
        </w:rPr>
        <w:t xml:space="preserve">risk of occupationally acquired HIV infection due to exposure; </w:t>
      </w:r>
    </w:p>
    <w:p>
      <w:pPr>
        <w:pStyle w:val="Normal"/>
        <w:widowControl/>
        <w:numPr>
          <w:ilvl w:val="2"/>
          <w:numId w:val="27"/>
        </w:numPr>
        <w:tabs>
          <w:tab w:val="clear" w:pos="720"/>
        </w:tabs>
        <w:ind w:hanging="360" w:start="1440" w:end="0"/>
        <w:rPr>
          <w:rFonts w:ascii="Book Antiqua" w:hAnsi="Book Antiqua" w:cs="Book Antiqua"/>
          <w:sz w:val="23"/>
          <w:szCs w:val="23"/>
        </w:rPr>
      </w:pPr>
      <w:r>
        <w:rPr>
          <w:rFonts w:cs="Book Antiqua" w:ascii="Book Antiqua" w:hAnsi="Book Antiqua"/>
          <w:sz w:val="23"/>
          <w:szCs w:val="23"/>
        </w:rPr>
        <w:t>theoretical rationale for post-exposure prophylaxis</w:t>
      </w:r>
    </w:p>
    <w:p>
      <w:pPr>
        <w:pStyle w:val="Normal"/>
        <w:widowControl/>
        <w:numPr>
          <w:ilvl w:val="2"/>
          <w:numId w:val="27"/>
        </w:numPr>
        <w:tabs>
          <w:tab w:val="clear" w:pos="720"/>
        </w:tabs>
        <w:ind w:hanging="360" w:start="1440" w:end="0"/>
        <w:rPr>
          <w:rFonts w:ascii="Book Antiqua" w:hAnsi="Book Antiqua" w:cs="Book Antiqua"/>
          <w:sz w:val="23"/>
          <w:szCs w:val="23"/>
        </w:rPr>
      </w:pPr>
      <w:r>
        <w:rPr>
          <w:rFonts w:cs="Book Antiqua" w:ascii="Book Antiqua" w:hAnsi="Book Antiqua"/>
          <w:sz w:val="23"/>
          <w:szCs w:val="23"/>
        </w:rPr>
        <w:t>current knowledge of antiretroviral chemoprophylaxis toxicity and limitations of this knowledge in predicting toxicity in uninfected individuals who take these drugs after occupational exposure;</w:t>
      </w:r>
    </w:p>
    <w:p>
      <w:pPr>
        <w:pStyle w:val="Normal"/>
        <w:widowControl/>
        <w:numPr>
          <w:ilvl w:val="2"/>
          <w:numId w:val="27"/>
        </w:numPr>
        <w:tabs>
          <w:tab w:val="clear" w:pos="720"/>
        </w:tabs>
        <w:ind w:hanging="360" w:start="1440" w:end="0"/>
        <w:rPr>
          <w:rFonts w:ascii="Book Antiqua" w:hAnsi="Book Antiqua" w:cs="Book Antiqua"/>
          <w:sz w:val="23"/>
          <w:szCs w:val="23"/>
        </w:rPr>
      </w:pPr>
      <w:r>
        <w:rPr>
          <w:rFonts w:cs="Book Antiqua" w:ascii="Book Antiqua" w:hAnsi="Book Antiqua"/>
          <w:sz w:val="23"/>
          <w:szCs w:val="23"/>
        </w:rPr>
        <w:t>option to decline post-exposure prophylaxis.</w:t>
      </w:r>
    </w:p>
    <w:p>
      <w:pPr>
        <w:pStyle w:val="Normal"/>
        <w:widowControl/>
        <w:numPr>
          <w:ilvl w:val="2"/>
          <w:numId w:val="27"/>
        </w:numPr>
        <w:tabs>
          <w:tab w:val="clear" w:pos="720"/>
        </w:tabs>
        <w:ind w:hanging="360" w:start="1440" w:end="0"/>
        <w:rPr>
          <w:rFonts w:ascii="Book Antiqua" w:hAnsi="Book Antiqua" w:cs="Book Antiqua"/>
          <w:sz w:val="23"/>
          <w:szCs w:val="23"/>
        </w:rPr>
      </w:pPr>
      <w:r>
        <w:rPr>
          <w:rFonts w:cs="Book Antiqua" w:ascii="Book Antiqua" w:hAnsi="Book Antiqua"/>
          <w:sz w:val="23"/>
          <w:szCs w:val="23"/>
        </w:rPr>
        <w:t>need for post-exposure follow-up.</w:t>
      </w:r>
    </w:p>
    <w:p>
      <w:pPr>
        <w:pStyle w:val="Normal"/>
        <w:widowControl/>
        <w:ind w:start="360" w:end="0"/>
        <w:rPr>
          <w:rFonts w:ascii="Book Antiqua" w:hAnsi="Book Antiqua" w:cs="Book Antiqua"/>
          <w:sz w:val="23"/>
          <w:szCs w:val="23"/>
        </w:rPr>
      </w:pPr>
      <w:r>
        <w:rPr>
          <w:rFonts w:cs="Book Antiqua" w:ascii="Book Antiqua" w:hAnsi="Book Antiqua"/>
          <w:sz w:val="23"/>
          <w:szCs w:val="23"/>
        </w:rPr>
      </w:r>
    </w:p>
    <w:p>
      <w:pPr>
        <w:pStyle w:val="Normal"/>
        <w:widowControl/>
        <w:ind w:start="360" w:end="0"/>
        <w:rPr>
          <w:rFonts w:ascii="Book Antiqua" w:hAnsi="Book Antiqua" w:cs="Book Antiqua"/>
          <w:sz w:val="23"/>
          <w:szCs w:val="23"/>
        </w:rPr>
      </w:pPr>
      <w:r>
        <w:rPr>
          <w:rFonts w:cs="Book Antiqua" w:ascii="Book Antiqua" w:hAnsi="Book Antiqua"/>
          <w:sz w:val="23"/>
          <w:szCs w:val="23"/>
        </w:rPr>
        <w:t>*When EHS is open, and the source is HIV unknown or HIV positive, the EHS clinician will consult with the clinical Immunologist and counsel the patient regarding the above issues. The EHS clinician will offer and provide chemoprophylaxis as advised by the clinical immunologist. Prophylactic therapy can be ordered by the EHS practitioner as recommended by the Clinical Immunologist when EHS is open and will be furnished by the in-patient pharmacy. If EHS is closed, the clinical immunologist on call will counsel the HCW and call in the prescription to the in-patient pharmacy.  Arrangements for the HCW's further drug supply, follow-up and monitoring will be made by EHS.</w:t>
      </w:r>
    </w:p>
    <w:p>
      <w:pPr>
        <w:pStyle w:val="Normal"/>
        <w:widowControl/>
        <w:ind w:start="360" w:end="0"/>
        <w:rPr>
          <w:rFonts w:ascii="Book Antiqua" w:hAnsi="Book Antiqua" w:cs="Book Antiqua"/>
          <w:sz w:val="23"/>
          <w:szCs w:val="23"/>
        </w:rPr>
      </w:pPr>
      <w:r>
        <w:rPr>
          <w:rFonts w:cs="Book Antiqua" w:ascii="Book Antiqua" w:hAnsi="Book Antiqua"/>
          <w:sz w:val="23"/>
          <w:szCs w:val="23"/>
        </w:rPr>
      </w:r>
    </w:p>
    <w:p>
      <w:pPr>
        <w:pStyle w:val="Normal"/>
        <w:widowControl/>
        <w:numPr>
          <w:ilvl w:val="0"/>
          <w:numId w:val="9"/>
        </w:numPr>
        <w:tabs>
          <w:tab w:val="clear" w:pos="720"/>
        </w:tabs>
        <w:ind w:hanging="360" w:start="720" w:end="0"/>
        <w:rPr>
          <w:rFonts w:ascii="Book Antiqua" w:hAnsi="Book Antiqua" w:cs="Book Antiqua"/>
          <w:sz w:val="23"/>
          <w:szCs w:val="23"/>
        </w:rPr>
      </w:pPr>
      <w:r>
        <w:rPr>
          <w:rFonts w:cs="Book Antiqua" w:ascii="Book Antiqua" w:hAnsi="Book Antiqua"/>
          <w:sz w:val="23"/>
          <w:szCs w:val="23"/>
        </w:rPr>
        <w:t>If the HIV status of the source is unknown, but the source belongs to or is suspected of belonging to a high risk group, follow these steps:</w:t>
      </w:r>
    </w:p>
    <w:p>
      <w:pPr>
        <w:pStyle w:val="Normal"/>
        <w:widowControl/>
        <w:numPr>
          <w:ilvl w:val="0"/>
          <w:numId w:val="17"/>
        </w:numPr>
        <w:tabs>
          <w:tab w:val="clear" w:pos="720"/>
          <w:tab w:val="left" w:pos="1800" w:leader="none"/>
        </w:tabs>
        <w:ind w:hanging="720" w:start="1800" w:end="0"/>
        <w:rPr>
          <w:rFonts w:ascii="Book Antiqua" w:hAnsi="Book Antiqua" w:cs="Book Antiqua"/>
          <w:sz w:val="23"/>
          <w:szCs w:val="23"/>
        </w:rPr>
      </w:pPr>
      <w:r>
        <w:rPr>
          <w:rFonts w:cs="Book Antiqua" w:ascii="Book Antiqua" w:hAnsi="Book Antiqua"/>
          <w:sz w:val="23"/>
          <w:szCs w:val="23"/>
        </w:rPr>
        <w:t>Obtain blood from the HCW and do a Rapid HIV blood test, Hep B Surface Ab, Hepatitis B surface antigen, Hep C Ab, ALT and AST.</w:t>
      </w:r>
    </w:p>
    <w:p>
      <w:pPr>
        <w:pStyle w:val="Normal"/>
        <w:widowControl/>
        <w:numPr>
          <w:ilvl w:val="0"/>
          <w:numId w:val="17"/>
        </w:numPr>
        <w:tabs>
          <w:tab w:val="clear" w:pos="720"/>
          <w:tab w:val="left" w:pos="1800" w:leader="none"/>
        </w:tabs>
        <w:ind w:hanging="720" w:start="1800" w:end="0"/>
        <w:rPr>
          <w:rFonts w:ascii="Book Antiqua" w:hAnsi="Book Antiqua" w:cs="Book Antiqua"/>
          <w:sz w:val="23"/>
          <w:szCs w:val="23"/>
        </w:rPr>
      </w:pPr>
      <w:r>
        <w:rPr>
          <w:rFonts w:cs="Book Antiqua" w:ascii="Book Antiqua" w:hAnsi="Book Antiqua"/>
          <w:sz w:val="23"/>
          <w:szCs w:val="23"/>
        </w:rPr>
        <w:t xml:space="preserve">If HCW refuses to consent to HIV test, complete documentation of efforts to obtain consent and refusal to consent must be made in HCW's medical record. HIV prophylaxis will not be offered if HCW refuses to consent to HIV testing. </w:t>
      </w:r>
    </w:p>
    <w:p>
      <w:pPr>
        <w:pStyle w:val="Normal"/>
        <w:widowControl/>
        <w:numPr>
          <w:ilvl w:val="0"/>
          <w:numId w:val="17"/>
        </w:numPr>
        <w:tabs>
          <w:tab w:val="clear" w:pos="720"/>
          <w:tab w:val="left" w:pos="1800" w:leader="none"/>
        </w:tabs>
        <w:ind w:hanging="720" w:start="1800" w:end="0"/>
        <w:rPr>
          <w:rFonts w:ascii="Book Antiqua" w:hAnsi="Book Antiqua" w:cs="Book Antiqua"/>
          <w:sz w:val="23"/>
          <w:szCs w:val="23"/>
        </w:rPr>
      </w:pPr>
      <w:r>
        <w:rPr>
          <w:rFonts w:cs="Book Antiqua" w:ascii="Book Antiqua" w:hAnsi="Book Antiqua"/>
          <w:sz w:val="23"/>
          <w:szCs w:val="23"/>
        </w:rPr>
        <w:t>Inform source patient of the exposure and tell the source patient or his parent that you want their permission to do an HIV test – fill out the document noting you obtained verbal consent (Appendix 601.2). The treating practitioner needs to be aware the testing is being done and when possible, testing will be ordered and entered by the EHS staff when EHS is open or by the treating MD/NP and facilitated by the house supervisor when EHS is closed (see appendix A). The results will be provided to both the source patient’s treating practitioner and to EHS. The source patient’s treating practitioner will be responsible for communicating those results to his or her patient and for any follow-up treatment indicated with respect to the source patient. The EHS practitioner will provide results and follow-up for the at risk employee. *If the source patient is under 5 months old, a blood test also needs to be performed on the source patient’s mother.</w:t>
      </w:r>
    </w:p>
    <w:p>
      <w:pPr>
        <w:pStyle w:val="ListParagraph"/>
        <w:widowControl/>
        <w:numPr>
          <w:ilvl w:val="0"/>
          <w:numId w:val="9"/>
        </w:numPr>
        <w:tabs>
          <w:tab w:val="clear" w:pos="720"/>
          <w:tab w:val="left" w:pos="1080" w:leader="none"/>
        </w:tabs>
        <w:ind w:hanging="720" w:start="1080" w:end="0"/>
        <w:rPr>
          <w:rFonts w:ascii="Book Antiqua" w:hAnsi="Book Antiqua" w:cs="Book Antiqua"/>
          <w:sz w:val="23"/>
          <w:szCs w:val="23"/>
        </w:rPr>
      </w:pPr>
      <w:r>
        <w:rPr>
          <w:rFonts w:cs="Book Antiqua" w:ascii="Book Antiqua" w:hAnsi="Book Antiqua"/>
          <w:sz w:val="23"/>
          <w:szCs w:val="23"/>
        </w:rPr>
        <w:t>Follow-up testing for healthcare workers:</w:t>
      </w:r>
    </w:p>
    <w:p>
      <w:pPr>
        <w:pStyle w:val="Normal"/>
        <w:widowControl/>
        <w:numPr>
          <w:ilvl w:val="0"/>
          <w:numId w:val="8"/>
        </w:numPr>
        <w:tabs>
          <w:tab w:val="clear" w:pos="720"/>
        </w:tabs>
        <w:ind w:hanging="360" w:start="1440" w:end="0"/>
        <w:rPr>
          <w:rFonts w:ascii="Book Antiqua" w:hAnsi="Book Antiqua" w:cs="Book Antiqua"/>
          <w:sz w:val="23"/>
          <w:szCs w:val="23"/>
        </w:rPr>
      </w:pPr>
      <w:r>
        <w:rPr>
          <w:rFonts w:cs="Book Antiqua" w:ascii="Book Antiqua" w:hAnsi="Book Antiqua"/>
          <w:sz w:val="23"/>
          <w:szCs w:val="23"/>
        </w:rPr>
        <w:t>If the HIV test on patient and patient’s mother are negative, the HCW will be tested at baseline, 6wks, 3mos, and 6mos.</w:t>
      </w:r>
    </w:p>
    <w:p>
      <w:pPr>
        <w:pStyle w:val="Normal"/>
        <w:widowControl/>
        <w:numPr>
          <w:ilvl w:val="0"/>
          <w:numId w:val="8"/>
        </w:numPr>
        <w:tabs>
          <w:tab w:val="clear" w:pos="720"/>
        </w:tabs>
        <w:ind w:hanging="360" w:start="1440" w:end="0"/>
        <w:rPr>
          <w:rFonts w:ascii="Book Antiqua" w:hAnsi="Book Antiqua" w:cs="Book Antiqua"/>
          <w:sz w:val="23"/>
          <w:szCs w:val="23"/>
        </w:rPr>
      </w:pPr>
      <w:r>
        <w:rPr>
          <w:rFonts w:cs="Book Antiqua" w:ascii="Book Antiqua" w:hAnsi="Book Antiqua"/>
          <w:sz w:val="23"/>
          <w:szCs w:val="23"/>
        </w:rPr>
        <w:t>If the HIV test on the source patient or source patient’s mother are positive, follow same procedure as with any HIV positive source as under 1.</w:t>
      </w:r>
    </w:p>
    <w:p>
      <w:pPr>
        <w:pStyle w:val="Normal"/>
        <w:widowControl/>
        <w:numPr>
          <w:ilvl w:val="0"/>
          <w:numId w:val="8"/>
        </w:numPr>
        <w:tabs>
          <w:tab w:val="clear" w:pos="720"/>
        </w:tabs>
        <w:ind w:hanging="360" w:start="1440" w:end="0"/>
        <w:rPr>
          <w:rFonts w:ascii="Book Antiqua" w:hAnsi="Book Antiqua" w:cs="Book Antiqua"/>
          <w:sz w:val="23"/>
          <w:szCs w:val="23"/>
        </w:rPr>
      </w:pPr>
      <w:r>
        <w:rPr>
          <w:rFonts w:cs="Book Antiqua" w:ascii="Book Antiqua" w:hAnsi="Book Antiqua"/>
          <w:sz w:val="23"/>
          <w:szCs w:val="23"/>
        </w:rPr>
        <w:t xml:space="preserve">If source patient refuses HIV testing, follow same procedure as with HIV positive source under 1. </w:t>
      </w:r>
    </w:p>
    <w:p>
      <w:pPr>
        <w:pStyle w:val="Normal"/>
        <w:widowControl/>
        <w:numPr>
          <w:ilvl w:val="0"/>
          <w:numId w:val="8"/>
        </w:numPr>
        <w:tabs>
          <w:tab w:val="clear" w:pos="720"/>
        </w:tabs>
        <w:ind w:hanging="360" w:start="1440" w:end="0"/>
        <w:rPr>
          <w:rFonts w:ascii="Book Antiqua" w:hAnsi="Book Antiqua" w:cs="Book Antiqua"/>
          <w:sz w:val="23"/>
          <w:szCs w:val="23"/>
        </w:rPr>
      </w:pPr>
      <w:r>
        <w:rPr>
          <w:rFonts w:cs="Book Antiqua" w:ascii="Book Antiqua" w:hAnsi="Book Antiqua"/>
          <w:sz w:val="23"/>
          <w:szCs w:val="23"/>
        </w:rPr>
        <w:t>If HIV status of source patient is not known but source does not belong to any high risk group, the HCW will be tested at baseline, 6 wks, 3 mos, 6 mos.</w:t>
      </w:r>
    </w:p>
    <w:p>
      <w:pPr>
        <w:pStyle w:val="Normal"/>
        <w:widowControl/>
        <w:ind w:start="360" w:end="0"/>
        <w:rPr/>
      </w:pPr>
      <w:r>
        <w:rPr>
          <w:rFonts w:cs="Book Antiqua" w:ascii="Book Antiqua" w:hAnsi="Book Antiqua"/>
          <w:sz w:val="23"/>
          <w:szCs w:val="23"/>
        </w:rPr>
        <w:t xml:space="preserve">4.  Additional counseling for HCW should be arranged if necessary.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ATTACHMENTS:</w:t>
      </w:r>
    </w:p>
    <w:p>
      <w:pPr>
        <w:pStyle w:val="ListParagraph"/>
        <w:numPr>
          <w:ilvl w:val="0"/>
          <w:numId w:val="12"/>
        </w:numPr>
        <w:jc w:val="both"/>
        <w:rPr>
          <w:rFonts w:ascii="Book Antiqua" w:hAnsi="Book Antiqua" w:cs="Book Antiqua"/>
          <w:sz w:val="23"/>
          <w:szCs w:val="23"/>
        </w:rPr>
      </w:pPr>
      <w:hyperlink r:id="rId2">
        <w:r>
          <w:rPr>
            <w:rStyle w:val="Hyperlink"/>
            <w:rFonts w:cs="Book Antiqua" w:ascii="Book Antiqua" w:hAnsi="Book Antiqua"/>
            <w:sz w:val="23"/>
            <w:szCs w:val="23"/>
          </w:rPr>
          <w:t>IC - 601.1 Flyer –After Hours BBP Exposure</w:t>
        </w:r>
      </w:hyperlink>
      <w:r>
        <w:rPr>
          <w:rFonts w:cs="Book Antiqua" w:ascii="Book Antiqua" w:hAnsi="Book Antiqua"/>
          <w:sz w:val="23"/>
          <w:szCs w:val="23"/>
        </w:rPr>
        <w:t xml:space="preserve"> </w:t>
      </w:r>
    </w:p>
    <w:p>
      <w:pPr>
        <w:pStyle w:val="ListParagraph"/>
        <w:numPr>
          <w:ilvl w:val="0"/>
          <w:numId w:val="12"/>
        </w:numPr>
        <w:jc w:val="both"/>
        <w:rPr>
          <w:rFonts w:ascii="Book Antiqua" w:hAnsi="Book Antiqua" w:cs="Book Antiqua"/>
          <w:sz w:val="23"/>
          <w:szCs w:val="23"/>
        </w:rPr>
      </w:pPr>
      <w:hyperlink r:id="rId3">
        <w:r>
          <w:rPr>
            <w:rStyle w:val="Hyperlink"/>
            <w:rFonts w:cs="Book Antiqua" w:ascii="Book Antiqua" w:hAnsi="Book Antiqua"/>
            <w:bCs/>
            <w:sz w:val="23"/>
            <w:szCs w:val="23"/>
          </w:rPr>
          <w:t>IC - 601.2 Verbal Consent for HIV</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widowControl/>
        <w:numPr>
          <w:ilvl w:val="0"/>
          <w:numId w:val="4"/>
        </w:numPr>
        <w:tabs>
          <w:tab w:val="clear" w:pos="720"/>
        </w:tabs>
        <w:ind w:hanging="360" w:start="720" w:end="0"/>
        <w:rPr>
          <w:rFonts w:ascii="Book Antiqua" w:hAnsi="Book Antiqua" w:cs="Book Antiqua"/>
          <w:sz w:val="23"/>
          <w:szCs w:val="23"/>
        </w:rPr>
      </w:pPr>
      <w:r>
        <w:rPr>
          <w:rFonts w:cs="Book Antiqua" w:ascii="Book Antiqua" w:hAnsi="Book Antiqua"/>
          <w:sz w:val="23"/>
          <w:szCs w:val="23"/>
        </w:rPr>
        <w:t>MMWR/ Vol. 54 / No. RR-9.  Sept. 30, 2005.  Updated  Public Health Service Guidelines for the Management of Occupational Exposures to HIV and Recommendations for Postexposure Prophylaxis</w:t>
      </w:r>
    </w:p>
    <w:p>
      <w:pPr>
        <w:pStyle w:val="Normal"/>
        <w:widowControl/>
        <w:numPr>
          <w:ilvl w:val="0"/>
          <w:numId w:val="4"/>
        </w:numPr>
        <w:tabs>
          <w:tab w:val="clear" w:pos="720"/>
        </w:tabs>
        <w:ind w:hanging="360" w:start="720" w:end="0"/>
        <w:rPr>
          <w:rFonts w:ascii="Book Antiqua" w:hAnsi="Book Antiqua" w:cs="Book Antiqua"/>
          <w:sz w:val="23"/>
          <w:szCs w:val="23"/>
        </w:rPr>
      </w:pPr>
      <w:r>
        <w:rPr>
          <w:rFonts w:cs="Book Antiqua" w:ascii="Book Antiqua" w:hAnsi="Book Antiqua"/>
          <w:sz w:val="23"/>
          <w:szCs w:val="23"/>
        </w:rPr>
        <w:t>MMWR/ Vo1. 55/No. RR-16 Dec. 8, 2006. Appendix B Postexposure Prophylaxis to Prevent Hepatitis B Virus Infection.</w:t>
      </w:r>
    </w:p>
    <w:p>
      <w:pPr>
        <w:pStyle w:val="Normal"/>
        <w:widowControl/>
        <w:numPr>
          <w:ilvl w:val="0"/>
          <w:numId w:val="4"/>
        </w:numPr>
        <w:tabs>
          <w:tab w:val="clear" w:pos="720"/>
        </w:tabs>
        <w:ind w:hanging="360" w:start="720" w:end="0"/>
        <w:rPr>
          <w:rFonts w:ascii="Book Antiqua" w:hAnsi="Book Antiqua" w:cs="Book Antiqua"/>
          <w:sz w:val="23"/>
          <w:szCs w:val="23"/>
        </w:rPr>
      </w:pPr>
      <w:r>
        <w:rPr>
          <w:rFonts w:cs="Book Antiqua" w:ascii="Book Antiqua" w:hAnsi="Book Antiqua"/>
          <w:sz w:val="23"/>
          <w:szCs w:val="23"/>
        </w:rPr>
        <w:t xml:space="preserve">Bloodborne Pathogens 2009 update 29 CFR 1910.1030 </w:t>
      </w:r>
      <w:r>
        <w:rPr>
          <w:rFonts w:cs="Book Antiqua" w:ascii="Book Antiqua" w:hAnsi="Book Antiqua"/>
          <w:i/>
          <w:sz w:val="23"/>
          <w:szCs w:val="23"/>
        </w:rPr>
        <w:t>mrw/opeiu459aflcio/H/Bloodborne/BloodbornePathogensUpdaterev.doc</w:t>
      </w:r>
    </w:p>
    <w:p>
      <w:pPr>
        <w:pStyle w:val="Normal"/>
        <w:widowControl/>
        <w:ind w:start="720" w:end="0"/>
        <w:rPr>
          <w:rFonts w:ascii="Book Antiqua" w:hAnsi="Book Antiqua" w:cs="Book Antiqua"/>
          <w:sz w:val="23"/>
          <w:szCs w:val="23"/>
        </w:rPr>
      </w:pPr>
      <w:r>
        <w:rPr>
          <w:rFonts w:cs="Book Antiqua" w:ascii="Book Antiqua" w:hAnsi="Book Antiqua"/>
          <w:sz w:val="23"/>
          <w:szCs w:val="23"/>
        </w:rPr>
        <w:t>CDC Guidelines for the Management of Occupational Exposures to HIV and Recommendations for Post-exposure Prophylaxis (PEP) Sept. 25, 2013. https://stacks.cdc.gov/view/cdc/20711</w:t>
      </w:r>
    </w:p>
    <w:p>
      <w:pPr>
        <w:pStyle w:val="Normal"/>
        <w:widowControl/>
        <w:numPr>
          <w:ilvl w:val="0"/>
          <w:numId w:val="4"/>
        </w:numPr>
        <w:tabs>
          <w:tab w:val="clear" w:pos="720"/>
        </w:tabs>
        <w:ind w:hanging="360" w:start="720" w:end="0"/>
        <w:rPr>
          <w:rFonts w:ascii="Book Antiqua" w:hAnsi="Book Antiqua" w:cs="Book Antiqua"/>
          <w:sz w:val="23"/>
          <w:szCs w:val="23"/>
        </w:rPr>
      </w:pPr>
      <w:r>
        <w:rPr>
          <w:rFonts w:cs="Book Antiqua" w:ascii="Book Antiqua" w:hAnsi="Book Antiqua"/>
          <w:sz w:val="23"/>
          <w:szCs w:val="23"/>
        </w:rPr>
        <w:t>PEP guidelines, Mountain Plains AIDS Education and Training Center, School of Medicine, Division of Infectious Diseases, University of Colorado Health Sciences Center, Denver Colorado – National HIV/AIDS Clinician Consultation Center.</w:t>
      </w:r>
    </w:p>
    <w:p>
      <w:pPr>
        <w:pStyle w:val="Normal"/>
        <w:widowControl/>
        <w:numPr>
          <w:ilvl w:val="0"/>
          <w:numId w:val="4"/>
        </w:numPr>
        <w:tabs>
          <w:tab w:val="clear" w:pos="720"/>
        </w:tabs>
        <w:ind w:hanging="360" w:start="720" w:end="0"/>
        <w:rPr>
          <w:rFonts w:ascii="Book Antiqua" w:hAnsi="Book Antiqua" w:cs="Book Antiqua"/>
          <w:sz w:val="23"/>
          <w:szCs w:val="23"/>
        </w:rPr>
      </w:pPr>
      <w:r>
        <w:rPr>
          <w:rFonts w:cs="Book Antiqua" w:ascii="Book Antiqua" w:hAnsi="Book Antiqua"/>
          <w:sz w:val="23"/>
          <w:szCs w:val="23"/>
        </w:rPr>
        <w:t>MMWR/December 14, 2007/ 56(49); 1291-1292, Notice to Readers: Updated Information Regarding Antiretroviral Agents Used as HIV post exposure Prophylaxis for Occupational HIV Exposures</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rFonts w:ascii="Book Antiqua" w:hAnsi="Book Antiqua" w:cs="Book Antiqua"/>
          <w:bCs/>
          <w:i/>
          <w:i/>
          <w:iCs/>
          <w:sz w:val="23"/>
          <w:szCs w:val="23"/>
        </w:rPr>
      </w:pPr>
      <w:r>
        <w:rPr>
          <w:rFonts w:cs="Book Antiqua" w:ascii="Book Antiqua" w:hAnsi="Book Antiqua"/>
          <w:bCs/>
          <w:i/>
          <w:iCs/>
          <w:sz w:val="23"/>
          <w:szCs w:val="23"/>
        </w:rPr>
        <w:t>Manager, Employee Health</w:t>
      </w:r>
    </w:p>
    <w:p>
      <w:pPr>
        <w:pStyle w:val="Normal"/>
        <w:jc w:val="both"/>
        <w:rPr>
          <w:rFonts w:ascii="Book Antiqua" w:hAnsi="Book Antiqua" w:cs="Book Antiqua"/>
          <w:b/>
          <w:bCs/>
          <w:i/>
          <w:i/>
          <w:iCs/>
          <w:sz w:val="23"/>
          <w:szCs w:val="23"/>
        </w:rPr>
      </w:pPr>
      <w:r>
        <w:rPr>
          <w:rFonts w:cs="Book Antiqua" w:ascii="Book Antiqua" w:hAnsi="Book Antiqua"/>
          <w:b/>
          <w:bCs/>
          <w:i/>
          <w:iCs/>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sectPr>
      <w:headerReference w:type="default" r:id="rId4"/>
      <w:footerReference w:type="default" r:id="rId5"/>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b/>
        <w:bCs/>
        <w:i/>
        <w:i/>
        <w:iCs/>
        <w:color w:val="FF0000"/>
        <w:sz w:val="20"/>
        <w:szCs w:val="16"/>
      </w:rPr>
    </w:pPr>
    <w:r>
      <w:rPr>
        <w:rFonts w:cs="Book Antiqua" w:ascii="Book Antiqua" w:hAnsi="Book Antiqua"/>
        <w:b/>
        <w:bCs/>
        <w:i/>
        <w:iCs/>
        <w:color w:val="FF0000"/>
        <w:sz w:val="20"/>
        <w:szCs w:val="16"/>
      </w:rPr>
    </w:r>
  </w:p>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Management of Blood Borne Pathogen Exposure</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57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05/01/1997</w:t>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04/26/2021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601.0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6</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6</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lowerRoman"/>
      <w:lvlText w:val="%1."/>
      <w:lvlJc w:val="start"/>
      <w:pPr>
        <w:tabs>
          <w:tab w:val="num" w:pos="2160"/>
        </w:tabs>
        <w:ind w:start="2160" w:hanging="720"/>
      </w:pPr>
      <w:rPr/>
    </w:lvl>
  </w:abstractNum>
  <w:abstractNum w:abstractNumId="3">
    <w:lvl w:ilvl="0">
      <w:start w:val="3"/>
      <w:numFmt w:val="decimal"/>
      <w:lvlText w:val="%1."/>
      <w:lvlJc w:val="start"/>
      <w:pPr>
        <w:tabs>
          <w:tab w:val="num" w:pos="900"/>
        </w:tabs>
        <w:ind w:start="900" w:hanging="360"/>
      </w:pPr>
      <w:rPr>
        <w:sz w:val="24"/>
        <w:i w:val="false"/>
        <w:b w:val="false"/>
        <w:rFonts w:ascii="Arial" w:hAnsi="Arial" w:cs="Arial"/>
      </w:rPr>
    </w:lvl>
    <w:lvl w:ilvl="1">
      <w:start w:val="2"/>
      <w:numFmt w:val="lowerLetter"/>
      <w:lvlText w:val="%2."/>
      <w:lvlJc w:val="start"/>
      <w:pPr>
        <w:tabs>
          <w:tab w:val="num" w:pos="1620"/>
        </w:tabs>
        <w:ind w:start="1620" w:hanging="360"/>
      </w:pPr>
    </w:lvl>
    <w:lvl w:ilvl="2">
      <w:start w:val="4"/>
      <w:numFmt w:val="lowerRoman"/>
      <w:lvlText w:val="%3."/>
      <w:lvlJc w:val="end"/>
      <w:pPr>
        <w:tabs>
          <w:tab w:val="num" w:pos="2340"/>
        </w:tabs>
        <w:ind w:start="2340" w:hanging="180"/>
      </w:pPr>
    </w:lvl>
    <w:lvl w:ilvl="3">
      <w:start w:val="1"/>
      <w:numFmt w:val="decimal"/>
      <w:lvlText w:val="%4."/>
      <w:lvlJc w:val="start"/>
      <w:pPr>
        <w:tabs>
          <w:tab w:val="num" w:pos="3060"/>
        </w:tabs>
        <w:ind w:start="3060" w:hanging="360"/>
      </w:pPr>
    </w:lvl>
    <w:lvl w:ilvl="4">
      <w:start w:val="1"/>
      <w:numFmt w:val="lowerLetter"/>
      <w:lvlText w:val="%5."/>
      <w:lvlJc w:val="start"/>
      <w:pPr>
        <w:tabs>
          <w:tab w:val="num" w:pos="3780"/>
        </w:tabs>
        <w:ind w:start="3780" w:hanging="360"/>
      </w:pPr>
    </w:lvl>
    <w:lvl w:ilvl="5">
      <w:start w:val="1"/>
      <w:numFmt w:val="lowerRoman"/>
      <w:lvlText w:val="%6."/>
      <w:lvlJc w:val="end"/>
      <w:pPr>
        <w:tabs>
          <w:tab w:val="num" w:pos="4500"/>
        </w:tabs>
        <w:ind w:start="4500" w:hanging="180"/>
      </w:pPr>
    </w:lvl>
    <w:lvl w:ilvl="6">
      <w:start w:val="1"/>
      <w:numFmt w:val="decimal"/>
      <w:lvlText w:val="%7."/>
      <w:lvlJc w:val="start"/>
      <w:pPr>
        <w:tabs>
          <w:tab w:val="num" w:pos="5220"/>
        </w:tabs>
        <w:ind w:start="5220" w:hanging="360"/>
      </w:pPr>
    </w:lvl>
    <w:lvl w:ilvl="7">
      <w:start w:val="1"/>
      <w:numFmt w:val="lowerLetter"/>
      <w:lvlText w:val="%8."/>
      <w:lvlJc w:val="start"/>
      <w:pPr>
        <w:tabs>
          <w:tab w:val="num" w:pos="5940"/>
        </w:tabs>
        <w:ind w:start="5940" w:hanging="360"/>
      </w:pPr>
    </w:lvl>
    <w:lvl w:ilvl="8">
      <w:start w:val="1"/>
      <w:numFmt w:val="lowerRoman"/>
      <w:lvlText w:val="%9."/>
      <w:lvlJc w:val="end"/>
      <w:pPr>
        <w:tabs>
          <w:tab w:val="num" w:pos="6660"/>
        </w:tabs>
        <w:ind w:start="6660" w:hanging="180"/>
      </w:pPr>
    </w:lvl>
  </w:abstractNum>
  <w:abstractNum w:abstractNumId="4">
    <w:lvl w:ilvl="0">
      <w:start w:val="1"/>
      <w:numFmt w:val="decimal"/>
      <w:lvlText w:val="%1."/>
      <w:lvlJc w:val="start"/>
      <w:pPr>
        <w:tabs>
          <w:tab w:val="num" w:pos="720"/>
        </w:tabs>
        <w:ind w:start="720" w:hanging="720"/>
      </w:pPr>
      <w:rPr>
        <w:sz w:val="22"/>
        <w:szCs w:val="22"/>
        <w:rFonts w:ascii="Book Antiqua" w:hAnsi="Book Antiqua" w:cs="Book Antiqua"/>
      </w:rPr>
    </w:lvl>
  </w:abstractNum>
  <w:abstractNum w:abstractNumId="5">
    <w:lvl w:ilvl="0">
      <w:start w:val="1"/>
      <w:numFmt w:val="lowerLetter"/>
      <w:lvlText w:val="%1."/>
      <w:lvlJc w:val="start"/>
      <w:pPr>
        <w:tabs>
          <w:tab w:val="num" w:pos="1440"/>
        </w:tabs>
        <w:ind w:start="1440" w:hanging="720"/>
      </w:pPr>
      <w:rPr/>
    </w:lvl>
  </w:abstractNum>
  <w:abstractNum w:abstractNumId="6">
    <w:lvl w:ilvl="0">
      <w:start w:val="1"/>
      <w:numFmt w:val="lowerLetter"/>
      <w:lvlText w:val="%1."/>
      <w:lvlJc w:val="start"/>
      <w:pPr>
        <w:tabs>
          <w:tab w:val="num" w:pos="1440"/>
        </w:tabs>
        <w:ind w:start="1440" w:hanging="720"/>
      </w:pPr>
      <w:rPr/>
    </w:lvl>
  </w:abstractNum>
  <w:abstractNum w:abstractNumId="7">
    <w:lvl w:ilvl="0">
      <w:start w:val="1"/>
      <w:numFmt w:val="decimal"/>
      <w:lvlText w:val="%1."/>
      <w:lvlJc w:val="start"/>
      <w:pPr>
        <w:tabs>
          <w:tab w:val="num" w:pos="720"/>
        </w:tabs>
        <w:ind w:start="720" w:hanging="720"/>
      </w:pPr>
      <w:rPr/>
    </w:lvl>
  </w:abstractNum>
  <w:abstractNum w:abstractNumId="8">
    <w:lvl w:ilvl="0">
      <w:start w:val="1"/>
      <w:numFmt w:val="lowerRoman"/>
      <w:lvlText w:val="%1."/>
      <w:lvlJc w:val="start"/>
      <w:pPr>
        <w:tabs>
          <w:tab w:val="num" w:pos="2160"/>
        </w:tabs>
        <w:ind w:start="2160" w:hanging="720"/>
      </w:pPr>
      <w:rPr/>
    </w:lvl>
  </w:abstractNum>
  <w:abstractNum w:abstractNumId="9">
    <w:lvl w:ilvl="0">
      <w:start w:val="1"/>
      <w:numFmt w:val="decimal"/>
      <w:lvlText w:val="%1."/>
      <w:lvlJc w:val="start"/>
      <w:pPr>
        <w:tabs>
          <w:tab w:val="num" w:pos="720"/>
        </w:tabs>
        <w:ind w:start="720" w:hanging="720"/>
      </w:pPr>
      <w:rPr/>
    </w:lvl>
  </w:abstractNum>
  <w:abstractNum w:abstractNumId="10">
    <w:lvl w:ilvl="0">
      <w:start w:val="1"/>
      <w:numFmt w:val="lowerLetter"/>
      <w:lvlText w:val="%1."/>
      <w:lvlJc w:val="start"/>
      <w:pPr>
        <w:tabs>
          <w:tab w:val="num" w:pos="1440"/>
        </w:tabs>
        <w:ind w:start="1440" w:hanging="720"/>
      </w:pPr>
      <w:rPr/>
    </w:lvl>
  </w:abstractNum>
  <w:abstractNum w:abstractNumId="11">
    <w:lvl w:ilvl="0">
      <w:start w:val="1"/>
      <w:numFmt w:val="decimal"/>
      <w:lvlText w:val="%1."/>
      <w:lvlJc w:val="start"/>
      <w:pPr>
        <w:tabs>
          <w:tab w:val="num" w:pos="360"/>
        </w:tabs>
        <w:ind w:start="360" w:hanging="360"/>
      </w:pPr>
      <w:rPr>
        <w:sz w:val="24"/>
        <w:i w:val="false"/>
        <w:u w:val="none"/>
        <w:b w:val="false"/>
        <w:rFonts w:ascii="Arial" w:hAnsi="Arial" w:cs="Arial"/>
      </w:rPr>
    </w:lvl>
    <w:lvl w:ilvl="1">
      <w:start w:val="1"/>
      <w:numFmt w:val="lowerLetter"/>
      <w:lvlText w:val="%2."/>
      <w:lvlJc w:val="start"/>
      <w:pPr>
        <w:tabs>
          <w:tab w:val="num" w:pos="720"/>
        </w:tabs>
        <w:ind w:start="360" w:hanging="0"/>
      </w:pPr>
      <w:rPr>
        <w:sz w:val="23"/>
        <w:u w:val="none"/>
        <w:szCs w:val="23"/>
        <w:rFonts w:ascii="Book Antiqua" w:hAnsi="Book Antiqua" w:cs="Book Antiqua"/>
      </w:rPr>
    </w:lvl>
    <w:lvl w:ilvl="2">
      <w:start w:val="1"/>
      <w:numFmt w:val="lowerRoman"/>
      <w:lvlText w:val="%3."/>
      <w:lvlJc w:val="start"/>
      <w:pPr>
        <w:tabs>
          <w:tab w:val="num" w:pos="1440"/>
        </w:tabs>
        <w:ind w:start="360" w:firstLine="360"/>
      </w:pPr>
      <w:rPr>
        <w:sz w:val="24"/>
        <w:rFonts w:ascii="Arial" w:hAnsi="Arial" w:cs="Arial"/>
      </w:rPr>
    </w:lvl>
    <w:lvl w:ilvl="3">
      <w:start w:val="1"/>
      <w:numFmt w:val="none"/>
      <w:suff w:val="nothing"/>
      <w:lvlText w:val="%4"/>
      <w:lvlJc w:val="start"/>
      <w:pPr>
        <w:tabs>
          <w:tab w:val="num" w:pos="1440"/>
        </w:tabs>
        <w:ind w:start="360" w:firstLine="720"/>
      </w:pPr>
      <w:rPr>
        <w:sz w:val="24"/>
        <w:rFonts w:ascii="Arial" w:hAnsi="Arial" w:cs="Arial"/>
      </w:rPr>
    </w:lvl>
    <w:lvl w:ilvl="4">
      <w:start w:val="1"/>
      <w:numFmt w:val="none"/>
      <w:suff w:val="nothing"/>
      <w:lvlText w:val="%5)"/>
      <w:lvlJc w:val="start"/>
      <w:pPr>
        <w:tabs>
          <w:tab w:val="num" w:pos="1800"/>
        </w:tabs>
        <w:ind w:start="1800" w:hanging="360"/>
      </w:pPr>
      <w:rPr>
        <w:sz w:val="24"/>
        <w:rFonts w:ascii="Arial" w:hAnsi="Arial" w:cs="Arial"/>
      </w:rPr>
    </w:lvl>
    <w:lvl w:ilvl="5">
      <w:start w:val="1"/>
      <w:numFmt w:val="none"/>
      <w:suff w:val="nothing"/>
      <w:lvlText w:val="Ø"/>
      <w:lvlJc w:val="start"/>
      <w:pPr>
        <w:tabs>
          <w:tab w:val="num" w:pos="0"/>
        </w:tabs>
        <w:ind w:start="2160" w:hanging="360"/>
      </w:pPr>
    </w:lvl>
    <w:lvl w:ilvl="6">
      <w:start w:val="1"/>
      <w:numFmt w:val="none"/>
      <w:suff w:val="nothing"/>
      <w:lvlText w:val="§"/>
      <w:lvlJc w:val="start"/>
      <w:pPr>
        <w:tabs>
          <w:tab w:val="num" w:pos="0"/>
        </w:tabs>
        <w:ind w:start="2520" w:hanging="360"/>
      </w:pPr>
    </w:lvl>
    <w:lvl w:ilvl="7">
      <w:start w:val="1"/>
      <w:numFmt w:val="none"/>
      <w:suff w:val="nothing"/>
      <w:lvlText w:val="·"/>
      <w:lvlJc w:val="start"/>
      <w:pPr>
        <w:tabs>
          <w:tab w:val="num" w:pos="0"/>
        </w:tabs>
        <w:ind w:start="2880" w:hanging="360"/>
      </w:pPr>
    </w:lvl>
    <w:lvl w:ilvl="8">
      <w:start w:val="1"/>
      <w:numFmt w:val="lowerRoman"/>
      <w:lvlText w:val="%9"/>
      <w:lvlJc w:val="start"/>
      <w:pPr>
        <w:tabs>
          <w:tab w:val="num" w:pos="0"/>
        </w:tabs>
        <w:ind w:start="3240" w:hanging="360"/>
      </w:pPr>
    </w:lvl>
  </w:abstractNum>
  <w:abstractNum w:abstractNumId="12">
    <w:lvl w:ilvl="0">
      <w:start w:val="1"/>
      <w:numFmt w:val="decimal"/>
      <w:lvlText w:val="%1."/>
      <w:lvlJc w:val="start"/>
      <w:pPr>
        <w:tabs>
          <w:tab w:val="num" w:pos="0"/>
        </w:tabs>
        <w:ind w:start="720" w:hanging="360"/>
      </w:pPr>
      <w:rPr/>
    </w:lvl>
  </w:abstractNum>
  <w:abstractNum w:abstractNumId="13">
    <w:lvl w:ilvl="0">
      <w:start w:val="1"/>
      <w:numFmt w:val="lowerRoman"/>
      <w:lvlText w:val="%1."/>
      <w:lvlJc w:val="start"/>
      <w:pPr>
        <w:tabs>
          <w:tab w:val="num" w:pos="1440"/>
        </w:tabs>
        <w:ind w:start="360" w:firstLine="360"/>
      </w:pPr>
      <w:rPr>
        <w:sz w:val="23"/>
        <w:i w:val="false"/>
        <w:u w:val="none"/>
        <w:b w:val="false"/>
        <w:szCs w:val="23"/>
        <w:rFonts w:ascii="Book Antiqua" w:hAnsi="Book Antiqua" w:cs="Book Antiqua"/>
      </w:rPr>
    </w:lvl>
  </w:abstractNum>
  <w:abstractNum w:abstractNumId="14">
    <w:lvl w:ilvl="0">
      <w:start w:val="1"/>
      <w:numFmt w:val="lowerRoman"/>
      <w:lvlText w:val="%1."/>
      <w:lvlJc w:val="start"/>
      <w:pPr>
        <w:tabs>
          <w:tab w:val="num" w:pos="2160"/>
        </w:tabs>
        <w:ind w:start="2160" w:hanging="720"/>
      </w:pPr>
      <w:rPr/>
    </w:lvl>
  </w:abstractNum>
  <w:abstractNum w:abstractNumId="15">
    <w:lvl w:ilvl="0">
      <w:start w:val="1"/>
      <w:numFmt w:val="bullet"/>
      <w:lvlText w:val=""/>
      <w:lvlJc w:val="start"/>
      <w:pPr>
        <w:tabs>
          <w:tab w:val="num" w:pos="0"/>
        </w:tabs>
        <w:ind w:start="1080" w:hanging="360"/>
      </w:pPr>
      <w:rPr>
        <w:rFonts w:ascii="Symbol" w:hAnsi="Symbol" w:cs="Symbol" w:hint="default"/>
      </w:rPr>
    </w:lvl>
  </w:abstractNum>
  <w:abstractNum w:abstractNumId="16">
    <w:lvl w:ilvl="0">
      <w:start w:val="1"/>
      <w:numFmt w:val="decimal"/>
      <w:lvlText w:val="%1."/>
      <w:lvlJc w:val="start"/>
      <w:pPr>
        <w:tabs>
          <w:tab w:val="num" w:pos="720"/>
        </w:tabs>
        <w:ind w:start="720" w:hanging="720"/>
      </w:pPr>
      <w:rPr>
        <w:sz w:val="22"/>
        <w:szCs w:val="22"/>
        <w:rFonts w:ascii="Book Antiqua" w:hAnsi="Book Antiqua" w:cs="Book Antiqua"/>
      </w:rPr>
    </w:lvl>
  </w:abstractNum>
  <w:abstractNum w:abstractNumId="17">
    <w:lvl w:ilvl="0">
      <w:start w:val="1"/>
      <w:numFmt w:val="lowerLetter"/>
      <w:lvlText w:val="%1."/>
      <w:lvlJc w:val="start"/>
      <w:pPr>
        <w:tabs>
          <w:tab w:val="num" w:pos="1440"/>
        </w:tabs>
        <w:ind w:start="1440" w:hanging="720"/>
      </w:pPr>
      <w:rPr/>
    </w:lvl>
  </w:abstractNum>
  <w:abstractNum w:abstractNumId="18">
    <w:lvl w:ilvl="0">
      <w:start w:val="5"/>
      <w:numFmt w:val="decimal"/>
      <w:lvlText w:val="%1."/>
      <w:lvlJc w:val="start"/>
      <w:pPr>
        <w:tabs>
          <w:tab w:val="num" w:pos="900"/>
        </w:tabs>
        <w:ind w:start="900" w:hanging="360"/>
      </w:pPr>
      <w:rPr>
        <w:sz w:val="22"/>
        <w:i w:val="false"/>
        <w:b w:val="false"/>
        <w:szCs w:val="22"/>
        <w:rFonts w:ascii="Book Antiqua" w:hAnsi="Book Antiqua" w:cs="Book Antiqua"/>
      </w:rPr>
    </w:lvl>
    <w:lvl w:ilvl="1">
      <w:start w:val="1"/>
      <w:numFmt w:val="lowerLetter"/>
      <w:lvlText w:val="%2."/>
      <w:lvlJc w:val="start"/>
      <w:pPr>
        <w:tabs>
          <w:tab w:val="num" w:pos="1620"/>
        </w:tabs>
        <w:ind w:start="1620" w:hanging="360"/>
      </w:pPr>
    </w:lvl>
    <w:lvl w:ilvl="2">
      <w:start w:val="1"/>
      <w:numFmt w:val="lowerRoman"/>
      <w:lvlText w:val="%3."/>
      <w:lvlJc w:val="end"/>
      <w:pPr>
        <w:tabs>
          <w:tab w:val="num" w:pos="2340"/>
        </w:tabs>
        <w:ind w:start="2340" w:hanging="180"/>
      </w:pPr>
    </w:lvl>
    <w:lvl w:ilvl="3">
      <w:start w:val="1"/>
      <w:numFmt w:val="decimal"/>
      <w:lvlText w:val="%4."/>
      <w:lvlJc w:val="start"/>
      <w:pPr>
        <w:tabs>
          <w:tab w:val="num" w:pos="3060"/>
        </w:tabs>
        <w:ind w:start="3060" w:hanging="360"/>
      </w:pPr>
    </w:lvl>
    <w:lvl w:ilvl="4">
      <w:start w:val="1"/>
      <w:numFmt w:val="lowerLetter"/>
      <w:lvlText w:val="%5."/>
      <w:lvlJc w:val="start"/>
      <w:pPr>
        <w:tabs>
          <w:tab w:val="num" w:pos="3780"/>
        </w:tabs>
        <w:ind w:start="3780" w:hanging="360"/>
      </w:pPr>
    </w:lvl>
    <w:lvl w:ilvl="5">
      <w:start w:val="1"/>
      <w:numFmt w:val="lowerRoman"/>
      <w:lvlText w:val="%6."/>
      <w:lvlJc w:val="end"/>
      <w:pPr>
        <w:tabs>
          <w:tab w:val="num" w:pos="4500"/>
        </w:tabs>
        <w:ind w:start="4500" w:hanging="180"/>
      </w:pPr>
    </w:lvl>
    <w:lvl w:ilvl="6">
      <w:start w:val="1"/>
      <w:numFmt w:val="decimal"/>
      <w:lvlText w:val="%7."/>
      <w:lvlJc w:val="start"/>
      <w:pPr>
        <w:tabs>
          <w:tab w:val="num" w:pos="5220"/>
        </w:tabs>
        <w:ind w:start="5220" w:hanging="360"/>
      </w:pPr>
    </w:lvl>
    <w:lvl w:ilvl="7">
      <w:start w:val="1"/>
      <w:numFmt w:val="lowerLetter"/>
      <w:lvlText w:val="%8."/>
      <w:lvlJc w:val="start"/>
      <w:pPr>
        <w:tabs>
          <w:tab w:val="num" w:pos="5940"/>
        </w:tabs>
        <w:ind w:start="5940" w:hanging="360"/>
      </w:pPr>
    </w:lvl>
    <w:lvl w:ilvl="8">
      <w:start w:val="1"/>
      <w:numFmt w:val="lowerRoman"/>
      <w:lvlText w:val="%9."/>
      <w:lvlJc w:val="end"/>
      <w:pPr>
        <w:tabs>
          <w:tab w:val="num" w:pos="6660"/>
        </w:tabs>
        <w:ind w:start="6660" w:hanging="180"/>
      </w:pPr>
    </w:lvl>
  </w:abstractNum>
  <w:abstractNum w:abstractNumId="19">
    <w:lvl w:ilvl="0">
      <w:start w:val="4"/>
      <w:numFmt w:val="decimal"/>
      <w:lvlText w:val="%1."/>
      <w:lvlJc w:val="start"/>
      <w:pPr>
        <w:tabs>
          <w:tab w:val="num" w:pos="900"/>
        </w:tabs>
        <w:ind w:start="900" w:hanging="360"/>
      </w:pPr>
      <w:rPr>
        <w:sz w:val="24"/>
        <w:i w:val="false"/>
        <w:b w:val="false"/>
        <w:rFonts w:ascii="Arial" w:hAnsi="Arial" w:cs="Arial"/>
      </w:rPr>
    </w:lvl>
    <w:lvl w:ilvl="1">
      <w:start w:val="7"/>
      <w:numFmt w:val="lowerLetter"/>
      <w:lvlText w:val="%2."/>
      <w:lvlJc w:val="start"/>
      <w:pPr>
        <w:tabs>
          <w:tab w:val="num" w:pos="1080"/>
        </w:tabs>
        <w:ind w:start="720" w:hanging="0"/>
      </w:pPr>
    </w:lvl>
    <w:lvl w:ilvl="2">
      <w:start w:val="3"/>
      <w:numFmt w:val="lowerRoman"/>
      <w:lvlText w:val="%3."/>
      <w:lvlJc w:val="end"/>
      <w:pPr>
        <w:tabs>
          <w:tab w:val="num" w:pos="2340"/>
        </w:tabs>
        <w:ind w:start="2340" w:hanging="180"/>
      </w:pPr>
    </w:lvl>
    <w:lvl w:ilvl="3">
      <w:start w:val="1"/>
      <w:numFmt w:val="decimal"/>
      <w:lvlText w:val="%4."/>
      <w:lvlJc w:val="start"/>
      <w:pPr>
        <w:tabs>
          <w:tab w:val="num" w:pos="3060"/>
        </w:tabs>
        <w:ind w:start="3060" w:hanging="360"/>
      </w:pPr>
    </w:lvl>
    <w:lvl w:ilvl="4">
      <w:start w:val="1"/>
      <w:numFmt w:val="lowerLetter"/>
      <w:lvlText w:val="%5."/>
      <w:lvlJc w:val="start"/>
      <w:pPr>
        <w:tabs>
          <w:tab w:val="num" w:pos="3780"/>
        </w:tabs>
        <w:ind w:start="3780" w:hanging="360"/>
      </w:pPr>
    </w:lvl>
    <w:lvl w:ilvl="5">
      <w:start w:val="1"/>
      <w:numFmt w:val="lowerRoman"/>
      <w:lvlText w:val="%6."/>
      <w:lvlJc w:val="end"/>
      <w:pPr>
        <w:tabs>
          <w:tab w:val="num" w:pos="4500"/>
        </w:tabs>
        <w:ind w:start="4500" w:hanging="180"/>
      </w:pPr>
    </w:lvl>
    <w:lvl w:ilvl="6">
      <w:start w:val="1"/>
      <w:numFmt w:val="decimal"/>
      <w:lvlText w:val="%7."/>
      <w:lvlJc w:val="start"/>
      <w:pPr>
        <w:tabs>
          <w:tab w:val="num" w:pos="5220"/>
        </w:tabs>
        <w:ind w:start="5220" w:hanging="360"/>
      </w:pPr>
    </w:lvl>
    <w:lvl w:ilvl="7">
      <w:start w:val="1"/>
      <w:numFmt w:val="lowerLetter"/>
      <w:lvlText w:val="%8."/>
      <w:lvlJc w:val="start"/>
      <w:pPr>
        <w:tabs>
          <w:tab w:val="num" w:pos="5940"/>
        </w:tabs>
        <w:ind w:start="5940" w:hanging="360"/>
      </w:pPr>
    </w:lvl>
    <w:lvl w:ilvl="8">
      <w:start w:val="1"/>
      <w:numFmt w:val="lowerRoman"/>
      <w:lvlText w:val="%9."/>
      <w:lvlJc w:val="end"/>
      <w:pPr>
        <w:tabs>
          <w:tab w:val="num" w:pos="6660"/>
        </w:tabs>
        <w:ind w:start="6660" w:hanging="180"/>
      </w:pPr>
    </w:lvl>
  </w:abstractNum>
  <w:abstractNum w:abstractNumId="20">
    <w:lvl w:ilvl="0">
      <w:start w:val="1"/>
      <w:numFmt w:val="lowerLetter"/>
      <w:lvlText w:val="%1."/>
      <w:lvlJc w:val="start"/>
      <w:pPr>
        <w:tabs>
          <w:tab w:val="num" w:pos="1440"/>
        </w:tabs>
        <w:ind w:start="1440" w:hanging="720"/>
      </w:pPr>
      <w:rPr>
        <w:sz w:val="23"/>
        <w:szCs w:val="23"/>
      </w:rPr>
    </w:lvl>
  </w:abstractNum>
  <w:abstractNum w:abstractNumId="21">
    <w:lvl w:ilvl="0">
      <w:start w:val="1"/>
      <w:numFmt w:val="lowerRoman"/>
      <w:lvlText w:val="%1."/>
      <w:lvlJc w:val="start"/>
      <w:pPr>
        <w:tabs>
          <w:tab w:val="num" w:pos="2160"/>
        </w:tabs>
        <w:ind w:start="2160" w:hanging="720"/>
      </w:pPr>
      <w:rPr/>
    </w:lvl>
  </w:abstractNum>
  <w:abstractNum w:abstractNumId="22">
    <w:lvl w:ilvl="0">
      <w:start w:val="1"/>
      <w:numFmt w:val="lowerRoman"/>
      <w:lvlText w:val="%1."/>
      <w:lvlJc w:val="start"/>
      <w:pPr>
        <w:tabs>
          <w:tab w:val="num" w:pos="2160"/>
        </w:tabs>
        <w:ind w:start="2160" w:hanging="720"/>
      </w:pPr>
      <w:rPr/>
    </w:lvl>
  </w:abstractNum>
  <w:abstractNum w:abstractNumId="23">
    <w:lvl w:ilvl="0">
      <w:start w:val="2"/>
      <w:numFmt w:val="decimal"/>
      <w:lvlText w:val="%1."/>
      <w:lvlJc w:val="start"/>
      <w:pPr>
        <w:tabs>
          <w:tab w:val="num" w:pos="720"/>
        </w:tabs>
        <w:ind w:start="720" w:hanging="720"/>
      </w:pPr>
      <w:rPr>
        <w:u w:val="none"/>
      </w:rPr>
    </w:lvl>
    <w:lvl w:ilvl="1">
      <w:start w:val="1"/>
      <w:numFmt w:val="lowerLetter"/>
      <w:lvlText w:val="%2."/>
      <w:lvlJc w:val="start"/>
      <w:pPr>
        <w:tabs>
          <w:tab w:val="num" w:pos="1080"/>
        </w:tabs>
        <w:ind w:start="720" w:hanging="0"/>
      </w:pPr>
    </w:lvl>
    <w:lvl w:ilvl="2">
      <w:start w:val="1"/>
      <w:numFmt w:val="lowerRoman"/>
      <w:lvlText w:val="%3."/>
      <w:lvlJc w:val="start"/>
      <w:pPr>
        <w:tabs>
          <w:tab w:val="num" w:pos="1440"/>
        </w:tabs>
        <w:ind w:start="1080" w:hanging="360"/>
      </w:pPr>
      <w:rPr>
        <w:sz w:val="23"/>
        <w:i w:val="false"/>
        <w:b w:val="false"/>
        <w:szCs w:val="23"/>
        <w:rFonts w:ascii="Book Antiqua" w:hAnsi="Book Antiqua" w:cs="Book Antiqua"/>
      </w:rPr>
    </w:lvl>
    <w:lvl w:ilvl="3">
      <w:start w:val="1"/>
      <w:numFmt w:val="lowerRoman"/>
      <w:lvlText w:val="%4."/>
      <w:lvlJc w:val="start"/>
      <w:pPr>
        <w:tabs>
          <w:tab w:val="num" w:pos="1800"/>
        </w:tabs>
        <w:ind w:start="1440" w:hanging="360"/>
      </w:pPr>
    </w:lvl>
    <w:lvl w:ilvl="4">
      <w:start w:val="1"/>
      <w:numFmt w:val="none"/>
      <w:suff w:val="nothing"/>
      <w:lvlText w:val="(1)"/>
      <w:lvlJc w:val="start"/>
      <w:pPr>
        <w:tabs>
          <w:tab w:val="num" w:pos="1800"/>
        </w:tabs>
        <w:ind w:start="1800" w:hanging="360"/>
      </w:pPr>
    </w:lvl>
    <w:lvl w:ilvl="5">
      <w:start w:val="1"/>
      <w:numFmt w:val="lowerRoman"/>
      <w:lvlText w:val="(%6)"/>
      <w:lvlJc w:val="start"/>
      <w:pPr>
        <w:tabs>
          <w:tab w:val="num" w:pos="2160"/>
        </w:tabs>
        <w:ind w:start="2160" w:hanging="360"/>
      </w:pPr>
    </w:lvl>
    <w:lvl w:ilvl="6">
      <w:start w:val="1"/>
      <w:numFmt w:val="decimal"/>
      <w:lvlText w:val="%7."/>
      <w:lvlJc w:val="start"/>
      <w:pPr>
        <w:tabs>
          <w:tab w:val="num" w:pos="2520"/>
        </w:tabs>
        <w:ind w:start="2520" w:hanging="360"/>
      </w:pPr>
    </w:lvl>
    <w:lvl w:ilvl="7">
      <w:start w:val="1"/>
      <w:numFmt w:val="lowerLetter"/>
      <w:lvlText w:val="%8."/>
      <w:lvlJc w:val="start"/>
      <w:pPr>
        <w:tabs>
          <w:tab w:val="num" w:pos="2880"/>
        </w:tabs>
        <w:ind w:start="2880" w:hanging="360"/>
      </w:pPr>
    </w:lvl>
    <w:lvl w:ilvl="8">
      <w:start w:val="1"/>
      <w:numFmt w:val="lowerRoman"/>
      <w:lvlText w:val="%9."/>
      <w:lvlJc w:val="start"/>
      <w:pPr>
        <w:tabs>
          <w:tab w:val="num" w:pos="3240"/>
        </w:tabs>
        <w:ind w:start="3240" w:hanging="360"/>
      </w:pPr>
    </w:lvl>
  </w:abstractNum>
  <w:abstractNum w:abstractNumId="24">
    <w:lvl w:ilvl="0">
      <w:start w:val="1"/>
      <w:numFmt w:val="decimal"/>
      <w:lvlText w:val="%1."/>
      <w:lvlJc w:val="start"/>
      <w:pPr>
        <w:tabs>
          <w:tab w:val="num" w:pos="720"/>
        </w:tabs>
        <w:ind w:start="720" w:hanging="720"/>
      </w:pPr>
      <w:rPr>
        <w:sz w:val="24"/>
        <w:i w:val="false"/>
        <w:b w:val="false"/>
        <w:rFonts w:ascii="Arial" w:hAnsi="Arial" w:cs="Arial"/>
      </w:rPr>
    </w:lvl>
    <w:lvl w:ilvl="1">
      <w:start w:val="2"/>
      <w:numFmt w:val="lowerLetter"/>
      <w:lvlText w:val="%2."/>
      <w:lvlJc w:val="start"/>
      <w:pPr>
        <w:tabs>
          <w:tab w:val="num" w:pos="1080"/>
        </w:tabs>
        <w:ind w:start="720" w:hanging="0"/>
      </w:pPr>
      <w:rPr>
        <w:sz w:val="24"/>
        <w:rFonts w:ascii="Arial" w:hAnsi="Arial" w:cs="Arial"/>
      </w:rPr>
    </w:lvl>
    <w:lvl w:ilvl="2">
      <w:start w:val="2"/>
      <w:numFmt w:val="lowerRoman"/>
      <w:lvlText w:val="%3."/>
      <w:lvlJc w:val="start"/>
      <w:pPr>
        <w:tabs>
          <w:tab w:val="num" w:pos="2160"/>
        </w:tabs>
        <w:ind w:start="720" w:firstLine="720"/>
      </w:pPr>
      <w:rPr>
        <w:sz w:val="23"/>
        <w:szCs w:val="23"/>
        <w:rFonts w:ascii="Book Antiqua" w:hAnsi="Book Antiqua" w:cs="Book Antiqua"/>
      </w:rPr>
    </w:lvl>
    <w:lvl w:ilvl="3">
      <w:start w:val="1"/>
      <w:numFmt w:val="none"/>
      <w:suff w:val="nothing"/>
      <w:lvlText w:val="%4"/>
      <w:lvlJc w:val="start"/>
      <w:pPr>
        <w:tabs>
          <w:tab w:val="num" w:pos="1440"/>
        </w:tabs>
        <w:ind w:start="1440" w:hanging="360"/>
      </w:pPr>
    </w:lvl>
    <w:lvl w:ilvl="4">
      <w:start w:val="1"/>
      <w:numFmt w:val="lowerLetter"/>
      <w:lvlText w:val="%5)"/>
      <w:lvlJc w:val="start"/>
      <w:pPr>
        <w:tabs>
          <w:tab w:val="num" w:pos="0"/>
        </w:tabs>
        <w:ind w:start="1800" w:hanging="360"/>
      </w:pPr>
    </w:lvl>
    <w:lvl w:ilvl="5">
      <w:start w:val="1"/>
      <w:numFmt w:val="none"/>
      <w:suff w:val="nothing"/>
      <w:lvlText w:val="Ø"/>
      <w:lvlJc w:val="start"/>
      <w:pPr>
        <w:tabs>
          <w:tab w:val="num" w:pos="0"/>
        </w:tabs>
        <w:ind w:start="2160" w:hanging="360"/>
      </w:pPr>
    </w:lvl>
    <w:lvl w:ilvl="6">
      <w:start w:val="1"/>
      <w:numFmt w:val="none"/>
      <w:suff w:val="nothing"/>
      <w:lvlText w:val="§"/>
      <w:lvlJc w:val="start"/>
      <w:pPr>
        <w:tabs>
          <w:tab w:val="num" w:pos="0"/>
        </w:tabs>
        <w:ind w:start="2520" w:hanging="360"/>
      </w:pPr>
    </w:lvl>
    <w:lvl w:ilvl="7">
      <w:start w:val="1"/>
      <w:numFmt w:val="none"/>
      <w:suff w:val="nothing"/>
      <w:lvlText w:val="·"/>
      <w:lvlJc w:val="start"/>
      <w:pPr>
        <w:tabs>
          <w:tab w:val="num" w:pos="0"/>
        </w:tabs>
        <w:ind w:start="2880" w:hanging="360"/>
      </w:pPr>
    </w:lvl>
    <w:lvl w:ilvl="8">
      <w:start w:val="1"/>
      <w:numFmt w:val="lowerRoman"/>
      <w:lvlText w:val="%9"/>
      <w:lvlJc w:val="start"/>
      <w:pPr>
        <w:tabs>
          <w:tab w:val="num" w:pos="0"/>
        </w:tabs>
        <w:ind w:start="3240" w:hanging="360"/>
      </w:pPr>
    </w:lvl>
  </w:abstractNum>
  <w:abstractNum w:abstractNumId="25">
    <w:lvl w:ilvl="0">
      <w:start w:val="7"/>
      <w:numFmt w:val="decimal"/>
      <w:lvlText w:val="%1."/>
      <w:lvlJc w:val="start"/>
      <w:pPr>
        <w:tabs>
          <w:tab w:val="num" w:pos="360"/>
        </w:tabs>
        <w:ind w:start="0" w:hanging="0"/>
      </w:pPr>
      <w:rPr>
        <w:sz w:val="22"/>
        <w:i w:val="false"/>
        <w:u w:val="none"/>
        <w:b w:val="false"/>
        <w:szCs w:val="22"/>
        <w:rFonts w:ascii="Book Antiqua" w:hAnsi="Book Antiqua" w:cs="Book Antiqua"/>
      </w:rPr>
    </w:lvl>
    <w:lvl w:ilvl="1">
      <w:start w:val="3"/>
      <w:numFmt w:val="lowerLetter"/>
      <w:lvlText w:val="%2."/>
      <w:lvlJc w:val="start"/>
      <w:pPr>
        <w:tabs>
          <w:tab w:val="num" w:pos="720"/>
        </w:tabs>
        <w:ind w:start="360" w:hanging="0"/>
      </w:pPr>
      <w:rPr>
        <w:sz w:val="24"/>
        <w:i w:val="false"/>
        <w:u w:val="none"/>
        <w:b w:val="false"/>
        <w:rFonts w:ascii="Arial" w:hAnsi="Arial" w:cs="Arial"/>
      </w:rPr>
    </w:lvl>
    <w:lvl w:ilvl="2">
      <w:start w:val="1"/>
      <w:numFmt w:val="lowerRoman"/>
      <w:lvlText w:val="%3."/>
      <w:lvlJc w:val="start"/>
      <w:pPr>
        <w:tabs>
          <w:tab w:val="num" w:pos="1440"/>
        </w:tabs>
        <w:ind w:start="360" w:firstLine="360"/>
      </w:pPr>
      <w:rPr>
        <w:sz w:val="24"/>
        <w:rFonts w:ascii="Arial" w:hAnsi="Arial" w:cs="Arial"/>
      </w:rPr>
    </w:lvl>
    <w:lvl w:ilvl="3">
      <w:start w:val="1"/>
      <w:numFmt w:val="none"/>
      <w:suff w:val="nothing"/>
      <w:lvlText w:val="%4"/>
      <w:lvlJc w:val="start"/>
      <w:pPr>
        <w:tabs>
          <w:tab w:val="num" w:pos="1440"/>
        </w:tabs>
        <w:ind w:start="360" w:firstLine="720"/>
      </w:pPr>
      <w:rPr>
        <w:sz w:val="24"/>
        <w:rFonts w:ascii="Arial" w:hAnsi="Arial" w:cs="Arial"/>
      </w:rPr>
    </w:lvl>
    <w:lvl w:ilvl="4">
      <w:start w:val="1"/>
      <w:numFmt w:val="none"/>
      <w:suff w:val="nothing"/>
      <w:lvlText w:val="%5)"/>
      <w:lvlJc w:val="start"/>
      <w:pPr>
        <w:tabs>
          <w:tab w:val="num" w:pos="1800"/>
        </w:tabs>
        <w:ind w:start="1800" w:hanging="360"/>
      </w:pPr>
      <w:rPr>
        <w:sz w:val="24"/>
        <w:rFonts w:ascii="Arial" w:hAnsi="Arial" w:cs="Arial"/>
      </w:rPr>
    </w:lvl>
    <w:lvl w:ilvl="5">
      <w:start w:val="1"/>
      <w:numFmt w:val="none"/>
      <w:suff w:val="nothing"/>
      <w:lvlText w:val="Ø"/>
      <w:lvlJc w:val="start"/>
      <w:pPr>
        <w:tabs>
          <w:tab w:val="num" w:pos="0"/>
        </w:tabs>
        <w:ind w:start="2160" w:hanging="360"/>
      </w:pPr>
    </w:lvl>
    <w:lvl w:ilvl="6">
      <w:start w:val="1"/>
      <w:numFmt w:val="none"/>
      <w:suff w:val="nothing"/>
      <w:lvlText w:val="§"/>
      <w:lvlJc w:val="start"/>
      <w:pPr>
        <w:tabs>
          <w:tab w:val="num" w:pos="0"/>
        </w:tabs>
        <w:ind w:start="2520" w:hanging="360"/>
      </w:pPr>
    </w:lvl>
    <w:lvl w:ilvl="7">
      <w:start w:val="1"/>
      <w:numFmt w:val="none"/>
      <w:suff w:val="nothing"/>
      <w:lvlText w:val="·"/>
      <w:lvlJc w:val="start"/>
      <w:pPr>
        <w:tabs>
          <w:tab w:val="num" w:pos="0"/>
        </w:tabs>
        <w:ind w:start="2880" w:hanging="360"/>
      </w:pPr>
    </w:lvl>
    <w:lvl w:ilvl="8">
      <w:start w:val="1"/>
      <w:numFmt w:val="lowerRoman"/>
      <w:lvlText w:val="%9"/>
      <w:lvlJc w:val="start"/>
      <w:pPr>
        <w:tabs>
          <w:tab w:val="num" w:pos="0"/>
        </w:tabs>
        <w:ind w:start="3240" w:hanging="360"/>
      </w:pPr>
    </w:lvl>
  </w:abstractNum>
  <w:abstractNum w:abstractNumId="26">
    <w:lvl w:ilvl="0">
      <w:start w:val="1"/>
      <w:numFmt w:val="lowerLetter"/>
      <w:lvlText w:val="%1."/>
      <w:lvlJc w:val="start"/>
      <w:pPr>
        <w:tabs>
          <w:tab w:val="num" w:pos="1440"/>
        </w:tabs>
        <w:ind w:start="1440" w:hanging="720"/>
      </w:pPr>
      <w:rPr/>
    </w:lvl>
  </w:abstractNum>
  <w:abstractNum w:abstractNumId="27">
    <w:lvl w:ilvl="0">
      <w:start w:val="1"/>
      <w:numFmt w:val="decimal"/>
      <w:lvlText w:val="%1."/>
      <w:lvlJc w:val="start"/>
      <w:pPr>
        <w:tabs>
          <w:tab w:val="num" w:pos="720"/>
        </w:tabs>
        <w:ind w:start="720" w:hanging="720"/>
      </w:pPr>
      <w:rPr>
        <w:sz w:val="24"/>
        <w:i w:val="false"/>
        <w:b w:val="false"/>
        <w:rFonts w:ascii="Arial" w:hAnsi="Arial" w:cs="Arial"/>
      </w:rPr>
    </w:lvl>
    <w:lvl w:ilvl="1">
      <w:start w:val="9"/>
      <w:numFmt w:val="lowerLetter"/>
      <w:lvlText w:val="%2."/>
      <w:lvlJc w:val="start"/>
      <w:pPr>
        <w:tabs>
          <w:tab w:val="num" w:pos="1080"/>
        </w:tabs>
        <w:ind w:start="720" w:hanging="0"/>
      </w:pPr>
      <w:rPr>
        <w:sz w:val="24"/>
        <w:rFonts w:ascii="Arial" w:hAnsi="Arial" w:cs="Arial"/>
      </w:rPr>
    </w:lvl>
    <w:lvl w:ilvl="2">
      <w:start w:val="2"/>
      <w:numFmt w:val="lowerRoman"/>
      <w:lvlText w:val="%3."/>
      <w:lvlJc w:val="start"/>
      <w:pPr>
        <w:tabs>
          <w:tab w:val="num" w:pos="2160"/>
        </w:tabs>
        <w:ind w:start="720" w:firstLine="720"/>
      </w:pPr>
      <w:rPr>
        <w:sz w:val="23"/>
        <w:szCs w:val="23"/>
        <w:rFonts w:ascii="Book Antiqua" w:hAnsi="Book Antiqua" w:cs="Book Antiqua"/>
      </w:rPr>
    </w:lvl>
    <w:lvl w:ilvl="3">
      <w:start w:val="1"/>
      <w:numFmt w:val="none"/>
      <w:suff w:val="nothing"/>
      <w:lvlText w:val="%4"/>
      <w:lvlJc w:val="start"/>
      <w:pPr>
        <w:tabs>
          <w:tab w:val="num" w:pos="1440"/>
        </w:tabs>
        <w:ind w:start="1440" w:hanging="360"/>
      </w:pPr>
    </w:lvl>
    <w:lvl w:ilvl="4">
      <w:start w:val="1"/>
      <w:numFmt w:val="lowerLetter"/>
      <w:lvlText w:val="%5)"/>
      <w:lvlJc w:val="start"/>
      <w:pPr>
        <w:tabs>
          <w:tab w:val="num" w:pos="0"/>
        </w:tabs>
        <w:ind w:start="1800" w:hanging="360"/>
      </w:pPr>
    </w:lvl>
    <w:lvl w:ilvl="5">
      <w:start w:val="1"/>
      <w:numFmt w:val="none"/>
      <w:suff w:val="nothing"/>
      <w:lvlText w:val="Ø"/>
      <w:lvlJc w:val="start"/>
      <w:pPr>
        <w:tabs>
          <w:tab w:val="num" w:pos="0"/>
        </w:tabs>
        <w:ind w:start="2160" w:hanging="360"/>
      </w:pPr>
    </w:lvl>
    <w:lvl w:ilvl="6">
      <w:start w:val="1"/>
      <w:numFmt w:val="none"/>
      <w:suff w:val="nothing"/>
      <w:lvlText w:val="§"/>
      <w:lvlJc w:val="start"/>
      <w:pPr>
        <w:tabs>
          <w:tab w:val="num" w:pos="0"/>
        </w:tabs>
        <w:ind w:start="2520" w:hanging="360"/>
      </w:pPr>
    </w:lvl>
    <w:lvl w:ilvl="7">
      <w:start w:val="1"/>
      <w:numFmt w:val="none"/>
      <w:suff w:val="nothing"/>
      <w:lvlText w:val="·"/>
      <w:lvlJc w:val="start"/>
      <w:pPr>
        <w:tabs>
          <w:tab w:val="num" w:pos="0"/>
        </w:tabs>
        <w:ind w:start="2880" w:hanging="360"/>
      </w:pPr>
    </w:lvl>
    <w:lvl w:ilvl="8">
      <w:start w:val="1"/>
      <w:numFmt w:val="lowerRoman"/>
      <w:lvlText w:val="%9"/>
      <w:lvlJc w:val="start"/>
      <w:pPr>
        <w:tabs>
          <w:tab w:val="num" w:pos="0"/>
        </w:tabs>
        <w:ind w:start="3240" w:hanging="360"/>
      </w:pPr>
    </w:lvl>
  </w:abstractNum>
  <w:abstractNum w:abstractNumId="28">
    <w:lvl w:ilvl="0">
      <w:numFmt w:val="bullet"/>
      <w:lvlText w:val="·"/>
      <w:lvlJc w:val="start"/>
      <w:pPr>
        <w:tabs>
          <w:tab w:val="num" w:pos="720"/>
        </w:tabs>
        <w:ind w:start="720" w:hanging="720"/>
      </w:pPr>
      <w:rPr>
        <w:rFonts w:ascii="Courier New" w:hAnsi="Courier New" w:cs="Courier New" w:hint="default"/>
        <w:sz w:val="24"/>
      </w:rPr>
    </w:lvl>
  </w:abstractNum>
  <w:abstractNum w:abstractNumId="29">
    <w:lvl w:ilvl="0">
      <w:start w:val="1"/>
      <w:numFmt w:val="lowerRoman"/>
      <w:lvlText w:val="%1."/>
      <w:lvlJc w:val="start"/>
      <w:pPr>
        <w:tabs>
          <w:tab w:val="num" w:pos="1440"/>
        </w:tabs>
        <w:ind w:start="360" w:firstLine="360"/>
      </w:pPr>
      <w:rPr>
        <w:sz w:val="23"/>
        <w:i w:val="false"/>
        <w:u w:val="none"/>
        <w:b w:val="false"/>
        <w:szCs w:val="23"/>
        <w:rFonts w:ascii="Book Antiqua" w:hAnsi="Book Antiqua" w:cs="Book Antiqua"/>
      </w:rPr>
    </w:lvl>
  </w:abstractNum>
  <w:abstractNum w:abstractNumId="30">
    <w:lvl w:ilvl="0">
      <w:start w:val="1"/>
      <w:numFmt w:val="decimal"/>
      <w:lvlText w:val="%1."/>
      <w:lvlJc w:val="start"/>
      <w:pPr>
        <w:tabs>
          <w:tab w:val="num" w:pos="720"/>
        </w:tabs>
        <w:ind w:start="720" w:hanging="720"/>
      </w:pPr>
      <w:rPr/>
    </w:lvl>
  </w:abstractNum>
  <w:abstractNum w:abstractNumId="31">
    <w:lvl w:ilvl="0">
      <w:start w:val="1"/>
      <w:numFmt w:val="decimal"/>
      <w:lvlText w:val="%1."/>
      <w:lvlJc w:val="start"/>
      <w:pPr>
        <w:tabs>
          <w:tab w:val="num" w:pos="720"/>
        </w:tabs>
        <w:ind w:start="72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style>
  <w:style w:type="character" w:styleId="WW8Num5z0">
    <w:name w:val="WW8Num5z0"/>
    <w:qFormat/>
    <w:rPr>
      <w:rFonts w:ascii="Arial" w:hAnsi="Arial" w:cs="Arial"/>
      <w:b w:val="false"/>
      <w:i w:val="false"/>
      <w:sz w:val="24"/>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Book Antiqua" w:hAnsi="Book Antiqua" w:cs="Book Antiqua"/>
      <w:sz w:val="22"/>
      <w:szCs w:val="22"/>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Arial" w:hAnsi="Arial" w:cs="Arial"/>
      <w:b w:val="false"/>
      <w:i w:val="false"/>
      <w:sz w:val="24"/>
    </w:rPr>
  </w:style>
  <w:style w:type="character" w:styleId="WW8Num17z0">
    <w:name w:val="WW8Num17z0"/>
    <w:qFormat/>
    <w:rPr/>
  </w:style>
  <w:style w:type="character" w:styleId="WW8Num18z0">
    <w:name w:val="WW8Num18z0"/>
    <w:qFormat/>
    <w:rPr>
      <w:rFonts w:ascii="Book Antiqua" w:hAnsi="Book Antiqua" w:cs="Book Antiqua"/>
      <w:b w:val="false"/>
      <w:i w:val="false"/>
      <w:sz w:val="22"/>
      <w:szCs w:val="22"/>
    </w:rPr>
  </w:style>
  <w:style w:type="character" w:styleId="WW8Num19z0">
    <w:name w:val="WW8Num19z0"/>
    <w:qFormat/>
    <w:rPr/>
  </w:style>
  <w:style w:type="character" w:styleId="WW8Num20z0">
    <w:name w:val="WW8Num20z0"/>
    <w:qFormat/>
    <w:rPr>
      <w:rFonts w:ascii="Arial" w:hAnsi="Arial" w:cs="Arial"/>
      <w:b w:val="false"/>
      <w:i w:val="false"/>
      <w:sz w:val="24"/>
      <w:u w:val="none"/>
    </w:rPr>
  </w:style>
  <w:style w:type="character" w:styleId="WW8Num20z1">
    <w:name w:val="WW8Num20z1"/>
    <w:qFormat/>
    <w:rPr>
      <w:rFonts w:ascii="Book Antiqua" w:hAnsi="Book Antiqua" w:cs="Book Antiqua"/>
      <w:sz w:val="23"/>
      <w:szCs w:val="23"/>
      <w:u w:val="none"/>
    </w:rPr>
  </w:style>
  <w:style w:type="character" w:styleId="WW8Num20z2">
    <w:name w:val="WW8Num20z2"/>
    <w:qFormat/>
    <w:rPr>
      <w:rFonts w:ascii="Arial" w:hAnsi="Arial" w:cs="Arial"/>
      <w:sz w:val="24"/>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Book Antiqua" w:hAnsi="Book Antiqua" w:cs="Book Antiqua"/>
      <w:b w:val="false"/>
      <w:i w:val="false"/>
      <w:sz w:val="23"/>
      <w:szCs w:val="23"/>
      <w:u w:val="none"/>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Book Antiqua" w:hAnsi="Book Antiqua" w:cs="Book Antiqua"/>
      <w:sz w:val="22"/>
      <w:szCs w:val="22"/>
    </w:rPr>
  </w:style>
  <w:style w:type="character" w:styleId="WW8Num26z0">
    <w:name w:val="WW8Num26z0"/>
    <w:qFormat/>
    <w:rPr/>
  </w:style>
  <w:style w:type="character" w:styleId="WW8Num28z0">
    <w:name w:val="WW8Num28z0"/>
    <w:qFormat/>
    <w:rPr>
      <w:rFonts w:ascii="Book Antiqua" w:hAnsi="Book Antiqua" w:cs="Book Antiqua"/>
      <w:b w:val="false"/>
      <w:i w:val="false"/>
      <w:sz w:val="22"/>
      <w:szCs w:val="22"/>
    </w:rPr>
  </w:style>
  <w:style w:type="character" w:styleId="WW8Num29z0">
    <w:name w:val="WW8Num29z0"/>
    <w:qFormat/>
    <w:rPr>
      <w:rFonts w:ascii="Symbol" w:hAnsi="Symbol" w:cs="Symbol"/>
    </w:rPr>
  </w:style>
  <w:style w:type="character" w:styleId="WW8Num29z2">
    <w:name w:val="WW8Num29z2"/>
    <w:qFormat/>
    <w:rPr/>
  </w:style>
  <w:style w:type="character" w:styleId="WW8Num29z4">
    <w:name w:val="WW8Num29z4"/>
    <w:qFormat/>
    <w:rPr>
      <w:rFonts w:ascii="Courier New" w:hAnsi="Courier New" w:cs="Courier New"/>
    </w:rPr>
  </w:style>
  <w:style w:type="character" w:styleId="WW8Num29z5">
    <w:name w:val="WW8Num29z5"/>
    <w:qFormat/>
    <w:rPr>
      <w:rFonts w:ascii="Wingdings" w:hAnsi="Wingdings" w:cs="Wingdings"/>
    </w:rPr>
  </w:style>
  <w:style w:type="character" w:styleId="WW8Num30z0">
    <w:name w:val="WW8Num30z0"/>
    <w:qFormat/>
    <w:rPr/>
  </w:style>
  <w:style w:type="character" w:styleId="WW8Num31z0">
    <w:name w:val="WW8Num31z0"/>
    <w:qFormat/>
    <w:rPr>
      <w:sz w:val="24"/>
    </w:rPr>
  </w:style>
  <w:style w:type="character" w:styleId="WW8Num32z0">
    <w:name w:val="WW8Num32z0"/>
    <w:qFormat/>
    <w:rPr>
      <w:rFonts w:ascii="Arial" w:hAnsi="Arial" w:cs="Arial"/>
      <w:b w:val="false"/>
      <w:i w:val="false"/>
      <w:sz w:val="24"/>
    </w:rPr>
  </w:style>
  <w:style w:type="character" w:styleId="WW8Num33z0">
    <w:name w:val="WW8Num33z0"/>
    <w:qFormat/>
    <w:rPr>
      <w:sz w:val="23"/>
      <w:szCs w:val="23"/>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7z0">
    <w:name w:val="WW8Num37z0"/>
    <w:qFormat/>
    <w:rPr>
      <w:u w:val="none"/>
    </w:rPr>
  </w:style>
  <w:style w:type="character" w:styleId="WW8Num37z2">
    <w:name w:val="WW8Num37z2"/>
    <w:qFormat/>
    <w:rPr>
      <w:rFonts w:ascii="Book Antiqua" w:hAnsi="Book Antiqua" w:cs="Book Antiqua"/>
      <w:b w:val="false"/>
      <w:i w:val="false"/>
      <w:sz w:val="23"/>
      <w:szCs w:val="23"/>
    </w:rPr>
  </w:style>
  <w:style w:type="character" w:styleId="WW8Num38z0">
    <w:name w:val="WW8Num38z0"/>
    <w:qFormat/>
    <w:rPr>
      <w:rFonts w:ascii="Arial" w:hAnsi="Arial" w:cs="Arial"/>
      <w:b w:val="false"/>
      <w:i w:val="false"/>
      <w:sz w:val="24"/>
    </w:rPr>
  </w:style>
  <w:style w:type="character" w:styleId="WW8Num38z1">
    <w:name w:val="WW8Num38z1"/>
    <w:qFormat/>
    <w:rPr>
      <w:rFonts w:ascii="Arial" w:hAnsi="Arial" w:cs="Arial"/>
      <w:sz w:val="24"/>
    </w:rPr>
  </w:style>
  <w:style w:type="character" w:styleId="WW8Num38z2">
    <w:name w:val="WW8Num38z2"/>
    <w:qFormat/>
    <w:rPr>
      <w:rFonts w:ascii="Book Antiqua" w:hAnsi="Book Antiqua" w:cs="Book Antiqua"/>
      <w:sz w:val="23"/>
      <w:szCs w:val="23"/>
    </w:rPr>
  </w:style>
  <w:style w:type="character" w:styleId="WW8Num39z0">
    <w:name w:val="WW8Num39z0"/>
    <w:qFormat/>
    <w:rPr>
      <w:rFonts w:ascii="Book Antiqua" w:hAnsi="Book Antiqua" w:cs="Book Antiqua"/>
      <w:b w:val="false"/>
      <w:i w:val="false"/>
      <w:sz w:val="22"/>
      <w:szCs w:val="22"/>
      <w:u w:val="none"/>
    </w:rPr>
  </w:style>
  <w:style w:type="character" w:styleId="WW8Num39z1">
    <w:name w:val="WW8Num39z1"/>
    <w:qFormat/>
    <w:rPr>
      <w:rFonts w:ascii="Arial" w:hAnsi="Arial" w:cs="Arial"/>
      <w:b w:val="false"/>
      <w:i w:val="false"/>
      <w:sz w:val="24"/>
      <w:u w:val="none"/>
    </w:rPr>
  </w:style>
  <w:style w:type="character" w:styleId="WW8Num39z2">
    <w:name w:val="WW8Num39z2"/>
    <w:qFormat/>
    <w:rPr>
      <w:rFonts w:ascii="Arial" w:hAnsi="Arial" w:cs="Arial"/>
      <w:sz w:val="24"/>
    </w:rPr>
  </w:style>
  <w:style w:type="character" w:styleId="WW8Num40z0">
    <w:name w:val="WW8Num40z0"/>
    <w:qFormat/>
    <w:rPr/>
  </w:style>
  <w:style w:type="character" w:styleId="WW8Num41z0">
    <w:name w:val="WW8Num41z0"/>
    <w:qFormat/>
    <w:rPr/>
  </w:style>
  <w:style w:type="character" w:styleId="WW8Num42z0">
    <w:name w:val="WW8Num42z0"/>
    <w:qFormat/>
    <w:rPr>
      <w:rFonts w:ascii="Arial" w:hAnsi="Arial" w:cs="Arial"/>
      <w:b w:val="false"/>
      <w:i w:val="false"/>
      <w:sz w:val="24"/>
    </w:rPr>
  </w:style>
  <w:style w:type="character" w:styleId="WW8Num42z1">
    <w:name w:val="WW8Num42z1"/>
    <w:qFormat/>
    <w:rPr>
      <w:rFonts w:ascii="Arial" w:hAnsi="Arial" w:cs="Arial"/>
      <w:sz w:val="24"/>
    </w:rPr>
  </w:style>
  <w:style w:type="character" w:styleId="WW8Num42z2">
    <w:name w:val="WW8Num42z2"/>
    <w:qFormat/>
    <w:rPr>
      <w:rFonts w:ascii="Book Antiqua" w:hAnsi="Book Antiqua" w:cs="Book Antiqua"/>
      <w:sz w:val="23"/>
      <w:szCs w:val="23"/>
    </w:rPr>
  </w:style>
  <w:style w:type="character" w:styleId="WW8Num43z0">
    <w:name w:val="WW8Num43z0"/>
    <w:qFormat/>
    <w:rPr>
      <w:rFonts w:ascii="Courier New" w:hAnsi="Courier New" w:cs="Courier New"/>
      <w:sz w:val="24"/>
    </w:rPr>
  </w:style>
  <w:style w:type="character" w:styleId="WW8Num44z0">
    <w:name w:val="WW8Num44z0"/>
    <w:qFormat/>
    <w:rPr>
      <w:rFonts w:ascii="Book Antiqua" w:hAnsi="Book Antiqua" w:cs="Book Antiqua"/>
      <w:b w:val="false"/>
      <w:i w:val="false"/>
      <w:sz w:val="23"/>
      <w:szCs w:val="23"/>
      <w:u w:val="none"/>
    </w:rPr>
  </w:style>
  <w:style w:type="character" w:styleId="WW8Num45z0">
    <w:name w:val="WW8Num45z0"/>
    <w:qFormat/>
    <w:rPr/>
  </w:style>
  <w:style w:type="character" w:styleId="WW8Num46z0">
    <w:name w:val="WW8Num46z0"/>
    <w:qFormat/>
    <w:rPr/>
  </w:style>
  <w:style w:type="character" w:styleId="WW8Num47z0">
    <w:name w:val="WW8Num47z0"/>
    <w:qFormat/>
    <w:rPr>
      <w:b/>
    </w:rPr>
  </w:style>
  <w:style w:type="character" w:styleId="WW8Num48z0">
    <w:name w:val="WW8Num48z0"/>
    <w:qFormat/>
    <w:rPr/>
  </w:style>
  <w:style w:type="character" w:styleId="WW8Num49z0">
    <w:name w:val="WW8Num49z0"/>
    <w:qFormat/>
    <w:rPr>
      <w:rFonts w:ascii="Arial" w:hAnsi="Arial" w:cs="Arial"/>
      <w:b w:val="false"/>
      <w:i w:val="false"/>
      <w:sz w:val="24"/>
    </w:rPr>
  </w:style>
  <w:style w:type="character" w:styleId="WW8Num49z1">
    <w:name w:val="WW8Num49z1"/>
    <w:qFormat/>
    <w:rPr>
      <w:rFonts w:ascii="Arial" w:hAnsi="Arial" w:cs="Arial"/>
      <w:sz w:val="24"/>
    </w:rPr>
  </w:style>
  <w:style w:type="character" w:styleId="WW8Num50z0">
    <w:name w:val="WW8Num50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Style13">
    <w:name w:val="_"/>
    <w:basedOn w:val="Normal"/>
    <w:qFormat/>
    <w:pPr>
      <w:ind w:hanging="720" w:start="2880" w:end="0"/>
    </w:pPr>
    <w:rPr>
      <w:rFonts w:ascii="Arial" w:hAnsi="Arial" w:cs="Arial"/>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sD7GjXZsbQtS076TvDdEew==" TargetMode="External"/><Relationship Id="rId3" Type="http://schemas.openxmlformats.org/officeDocument/2006/relationships/hyperlink" Target="https://secure.compliance360.com/ext/MUSIUhHi0d3HVvsIwxScBw=="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2021-02-16T07:10:00Z</dcterms:created>
  <dc:creator>MAGGIE</dc:creator>
  <dc:description/>
  <cp:keywords/>
  <dc:language>en-US</dc:language>
  <cp:lastModifiedBy>Huynh, Fuong</cp:lastModifiedBy>
  <cp:lastPrinted>2018-02-27T19:11:00Z</cp:lastPrinted>
  <dcterms:modified xsi:type="dcterms:W3CDTF">2021-10-07T13:18:00Z</dcterms:modified>
  <cp:revision>8</cp:revision>
  <dc:subject/>
  <dc:title>IC 601.0 Management of Blood Borne Pathogen Exposure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0x01010003640D4A83109A47AECF136074F24248</vt:lpwstr>
  </property>
</Properties>
</file>