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Arial"/>
          <w:b/>
          <w:sz w:val="23"/>
          <w:szCs w:val="23"/>
        </w:rPr>
      </w:pPr>
      <w:r>
        <w:rPr>
          <w:rFonts w:cs="Arial" w:ascii="Book Antiqua" w:hAnsi="Book Antiqua"/>
          <w:b/>
          <w:sz w:val="23"/>
          <w:szCs w:val="23"/>
        </w:rPr>
        <w:t xml:space="preserve">PURPOSE: </w:t>
      </w:r>
    </w:p>
    <w:p>
      <w:pPr>
        <w:pStyle w:val="Normal"/>
        <w:rPr>
          <w:rFonts w:ascii="Book Antiqua" w:hAnsi="Book Antiqua" w:cs="Arial"/>
          <w:b/>
          <w:sz w:val="23"/>
          <w:szCs w:val="23"/>
        </w:rPr>
      </w:pPr>
      <w:r>
        <w:rPr>
          <w:rFonts w:cs="Arial" w:ascii="Book Antiqua" w:hAnsi="Book Antiqua"/>
          <w:b/>
          <w:sz w:val="23"/>
          <w:szCs w:val="23"/>
        </w:rPr>
      </w:r>
    </w:p>
    <w:p>
      <w:pPr>
        <w:pStyle w:val="Normal"/>
        <w:rPr>
          <w:rFonts w:ascii="Book Antiqua" w:hAnsi="Book Antiqua" w:cs="Arial"/>
          <w:sz w:val="23"/>
          <w:szCs w:val="23"/>
        </w:rPr>
      </w:pPr>
      <w:r>
        <w:rPr>
          <w:rFonts w:cs="Book Antiqua" w:ascii="Book Antiqua" w:hAnsi="Book Antiqua"/>
          <w:sz w:val="23"/>
          <w:szCs w:val="23"/>
        </w:rPr>
        <w:t xml:space="preserve">Because of close interaction between health personnel, patients, and visitors, hospitals may present many potential opportunities for transmission of infectious/communicable diseases. The goal of hospital-based employee health programs is to play a major role in diagnosing, treating and preventing infectious/communicable diseases in health care workers (HCWs). The purpose of the following policy is to establish guidelines for restricting employees and/or credentialed practitioners, contractors and volunteers from the work place when actively infected with, or have been exposed to certain communicable diseases/infections, in order to prevent the spread of disease or infection. </w:t>
      </w:r>
    </w:p>
    <w:p>
      <w:pPr>
        <w:pStyle w:val="Normal"/>
        <w:ind w:hanging="2160" w:start="2160" w:end="0"/>
        <w:rPr>
          <w:rFonts w:ascii="Book Antiqua" w:hAnsi="Book Antiqua" w:cs="Arial"/>
          <w:b/>
          <w:sz w:val="23"/>
          <w:szCs w:val="23"/>
        </w:rPr>
      </w:pPr>
      <w:r>
        <w:rPr>
          <w:rFonts w:cs="Arial" w:ascii="Book Antiqua" w:hAnsi="Book Antiqua"/>
          <w:b/>
          <w:sz w:val="23"/>
          <w:szCs w:val="23"/>
        </w:rPr>
      </w:r>
    </w:p>
    <w:p>
      <w:pPr>
        <w:pStyle w:val="Normal"/>
        <w:ind w:hanging="2160" w:start="2160" w:end="0"/>
        <w:rPr>
          <w:rFonts w:ascii="Book Antiqua" w:hAnsi="Book Antiqua" w:cs="Arial"/>
          <w:b/>
          <w:sz w:val="23"/>
          <w:szCs w:val="23"/>
        </w:rPr>
      </w:pPr>
      <w:r>
        <w:rPr>
          <w:rFonts w:cs="Arial" w:ascii="Book Antiqua" w:hAnsi="Book Antiqua"/>
          <w:b/>
          <w:sz w:val="23"/>
          <w:szCs w:val="23"/>
        </w:rPr>
        <w:t>Employee Communicable Diseases and Work Restrictions:</w:t>
        <w:tab/>
        <w:t xml:space="preserve"> </w:t>
      </w:r>
    </w:p>
    <w:p>
      <w:pPr>
        <w:pStyle w:val="Normal"/>
        <w:numPr>
          <w:ilvl w:val="0"/>
          <w:numId w:val="5"/>
        </w:numPr>
        <w:rPr>
          <w:rFonts w:ascii="Book Antiqua" w:hAnsi="Book Antiqua" w:cs="Arial"/>
          <w:sz w:val="23"/>
          <w:szCs w:val="23"/>
        </w:rPr>
      </w:pPr>
      <w:r>
        <w:rPr>
          <w:rFonts w:cs="Arial" w:ascii="Book Antiqua" w:hAnsi="Book Antiqua"/>
          <w:sz w:val="23"/>
          <w:szCs w:val="23"/>
        </w:rPr>
        <w:t xml:space="preserve">All CHLA work force as defined may need to be restricted from work place access if determined infectious or with a communicable disease that could be transmitted. </w:t>
      </w:r>
    </w:p>
    <w:p>
      <w:pPr>
        <w:pStyle w:val="Normal"/>
        <w:numPr>
          <w:ilvl w:val="1"/>
          <w:numId w:val="5"/>
        </w:numPr>
        <w:rPr>
          <w:rFonts w:ascii="Book Antiqua" w:hAnsi="Book Antiqua" w:cs="Arial"/>
          <w:sz w:val="23"/>
          <w:szCs w:val="23"/>
        </w:rPr>
      </w:pPr>
      <w:r>
        <w:rPr>
          <w:rFonts w:cs="Arial" w:ascii="Book Antiqua" w:hAnsi="Book Antiqua"/>
          <w:sz w:val="23"/>
          <w:szCs w:val="23"/>
        </w:rPr>
        <w:t>CHLA  work force is expected to report to their supervisor, any of the following:</w:t>
      </w:r>
    </w:p>
    <w:p>
      <w:pPr>
        <w:pStyle w:val="Normal"/>
        <w:numPr>
          <w:ilvl w:val="2"/>
          <w:numId w:val="5"/>
        </w:numPr>
        <w:rPr>
          <w:rFonts w:ascii="Book Antiqua" w:hAnsi="Book Antiqua" w:cs="Arial"/>
          <w:sz w:val="23"/>
          <w:szCs w:val="23"/>
        </w:rPr>
      </w:pPr>
      <w:r>
        <w:rPr>
          <w:rFonts w:cs="Arial" w:ascii="Book Antiqua" w:hAnsi="Book Antiqua"/>
          <w:sz w:val="23"/>
          <w:szCs w:val="23"/>
        </w:rPr>
        <w:t>infectious disease diagnosis or symptoms</w:t>
      </w:r>
    </w:p>
    <w:p>
      <w:pPr>
        <w:pStyle w:val="Normal"/>
        <w:numPr>
          <w:ilvl w:val="2"/>
          <w:numId w:val="5"/>
        </w:numPr>
        <w:rPr>
          <w:rFonts w:ascii="Book Antiqua" w:hAnsi="Book Antiqua" w:cs="Arial"/>
          <w:sz w:val="23"/>
          <w:szCs w:val="23"/>
        </w:rPr>
      </w:pPr>
      <w:r>
        <w:rPr>
          <w:rFonts w:cs="Arial" w:ascii="Book Antiqua" w:hAnsi="Book Antiqua"/>
          <w:sz w:val="23"/>
          <w:szCs w:val="23"/>
        </w:rPr>
        <w:t>exposure to a communicable disease for which there is no  current immunity or an unknown immune status, or</w:t>
      </w:r>
    </w:p>
    <w:p>
      <w:pPr>
        <w:pStyle w:val="Normal"/>
        <w:numPr>
          <w:ilvl w:val="2"/>
          <w:numId w:val="5"/>
        </w:numPr>
        <w:rPr>
          <w:rFonts w:ascii="Book Antiqua" w:hAnsi="Book Antiqua" w:cs="Arial"/>
          <w:sz w:val="23"/>
          <w:szCs w:val="23"/>
        </w:rPr>
      </w:pPr>
      <w:r>
        <w:rPr>
          <w:rFonts w:cs="Arial" w:ascii="Book Antiqua" w:hAnsi="Book Antiqua"/>
          <w:sz w:val="23"/>
          <w:szCs w:val="23"/>
        </w:rPr>
        <w:t xml:space="preserve">skin lesions </w:t>
      </w:r>
    </w:p>
    <w:p>
      <w:pPr>
        <w:pStyle w:val="Normal"/>
        <w:numPr>
          <w:ilvl w:val="1"/>
          <w:numId w:val="5"/>
        </w:numPr>
        <w:rPr>
          <w:rFonts w:ascii="Book Antiqua" w:hAnsi="Book Antiqua" w:cs="Arial"/>
          <w:sz w:val="23"/>
          <w:szCs w:val="23"/>
        </w:rPr>
      </w:pPr>
      <w:r>
        <w:rPr>
          <w:rFonts w:cs="Arial" w:ascii="Book Antiqua" w:hAnsi="Book Antiqua"/>
          <w:sz w:val="23"/>
          <w:szCs w:val="23"/>
        </w:rPr>
        <w:t>This requirement includes anyone diagnosed with serious and/or easily transmissible diseases (i.e. chicken pox, measles, tuberculosis, rashes, lice, and scabies)</w:t>
      </w:r>
    </w:p>
    <w:p>
      <w:pPr>
        <w:pStyle w:val="Normal"/>
        <w:numPr>
          <w:ilvl w:val="2"/>
          <w:numId w:val="5"/>
        </w:numPr>
        <w:rPr>
          <w:rFonts w:ascii="Book Antiqua" w:hAnsi="Book Antiqua" w:cs="Arial"/>
          <w:sz w:val="23"/>
          <w:szCs w:val="23"/>
        </w:rPr>
      </w:pPr>
      <w:r>
        <w:rPr>
          <w:rFonts w:cs="Arial" w:ascii="Book Antiqua" w:hAnsi="Book Antiqua"/>
          <w:sz w:val="23"/>
          <w:szCs w:val="23"/>
        </w:rPr>
        <w:t>Exception include mild common conditions (e.g. upper respiratory infections, sinusitis, or otitis media)</w:t>
      </w:r>
    </w:p>
    <w:p>
      <w:pPr>
        <w:pStyle w:val="Normal"/>
        <w:numPr>
          <w:ilvl w:val="2"/>
          <w:numId w:val="5"/>
        </w:numPr>
        <w:rPr>
          <w:rFonts w:ascii="Book Antiqua" w:hAnsi="Book Antiqua" w:cs="Arial"/>
          <w:sz w:val="23"/>
          <w:szCs w:val="23"/>
        </w:rPr>
      </w:pPr>
      <w:r>
        <w:rPr>
          <w:rFonts w:cs="Arial" w:ascii="Book Antiqua" w:hAnsi="Book Antiqua"/>
          <w:sz w:val="23"/>
          <w:szCs w:val="23"/>
        </w:rPr>
        <w:t>Required reporting should be directed to Employee Health Services (EHS).</w:t>
      </w:r>
    </w:p>
    <w:p>
      <w:pPr>
        <w:pStyle w:val="Normal"/>
        <w:ind w:hanging="738" w:start="2898" w:end="0"/>
        <w:rPr>
          <w:rFonts w:ascii="Book Antiqua" w:hAnsi="Book Antiqua" w:cs="Arial"/>
          <w:sz w:val="23"/>
          <w:szCs w:val="23"/>
        </w:rPr>
      </w:pPr>
      <w:r>
        <w:rPr>
          <w:rFonts w:cs="Arial" w:ascii="Book Antiqua" w:hAnsi="Book Antiqua"/>
          <w:sz w:val="23"/>
          <w:szCs w:val="23"/>
        </w:rPr>
      </w:r>
    </w:p>
    <w:p>
      <w:pPr>
        <w:pStyle w:val="Normal"/>
        <w:numPr>
          <w:ilvl w:val="0"/>
          <w:numId w:val="5"/>
        </w:numPr>
        <w:rPr>
          <w:rFonts w:ascii="Book Antiqua" w:hAnsi="Book Antiqua" w:cs="Arial"/>
          <w:sz w:val="23"/>
          <w:szCs w:val="23"/>
        </w:rPr>
      </w:pPr>
      <w:r>
        <w:rPr>
          <w:rFonts w:cs="Arial" w:ascii="Book Antiqua" w:hAnsi="Book Antiqua"/>
          <w:sz w:val="23"/>
          <w:szCs w:val="23"/>
        </w:rPr>
        <w:t xml:space="preserve">Managers should report to Employee Health Services (EHS) and Infection Prevention &amp; Control (IPC) any high incidence of cough, sore throat, diarrhea and/or vomiting, fever is identified in their work area or unit. Timely reporting of clusters of illness can help identify outbreaks early. </w:t>
      </w:r>
    </w:p>
    <w:p>
      <w:pPr>
        <w:pStyle w:val="Normal"/>
        <w:ind w:start="360" w:end="0"/>
        <w:rPr>
          <w:rFonts w:ascii="Book Antiqua" w:hAnsi="Book Antiqua" w:cs="Arial"/>
          <w:sz w:val="23"/>
          <w:szCs w:val="23"/>
        </w:rPr>
      </w:pPr>
      <w:r>
        <w:rPr>
          <w:rFonts w:cs="Arial" w:ascii="Book Antiqua" w:hAnsi="Book Antiqua"/>
          <w:sz w:val="23"/>
          <w:szCs w:val="23"/>
        </w:rPr>
      </w:r>
    </w:p>
    <w:p>
      <w:pPr>
        <w:pStyle w:val="Normal"/>
        <w:numPr>
          <w:ilvl w:val="0"/>
          <w:numId w:val="5"/>
        </w:numPr>
        <w:rPr>
          <w:rFonts w:ascii="Book Antiqua" w:hAnsi="Book Antiqua" w:cs="Arial"/>
          <w:sz w:val="23"/>
          <w:szCs w:val="23"/>
        </w:rPr>
      </w:pPr>
      <w:r>
        <w:rPr>
          <w:rFonts w:eastAsia="Book Antiqua" w:cs="Book Antiqua" w:ascii="Book Antiqua" w:hAnsi="Book Antiqua"/>
          <w:sz w:val="23"/>
          <w:szCs w:val="23"/>
        </w:rPr>
        <w:t xml:space="preserve"> </w:t>
      </w:r>
      <w:r>
        <w:rPr>
          <w:rFonts w:cs="Arial" w:ascii="Book Antiqua" w:hAnsi="Book Antiqua"/>
          <w:sz w:val="23"/>
          <w:szCs w:val="23"/>
        </w:rPr>
        <w:t>Work force returning to work after treatment for a serious infectious/communicable disease must be cleared by EHS, regardless of the length of time off work. See IC 602.1 for a detailed list of work restriction recommendations for select infectious diseases.</w:t>
      </w:r>
    </w:p>
    <w:p>
      <w:pPr>
        <w:pStyle w:val="Normal"/>
        <w:numPr>
          <w:ilvl w:val="1"/>
          <w:numId w:val="5"/>
        </w:numPr>
        <w:rPr>
          <w:rFonts w:ascii="Book Antiqua" w:hAnsi="Book Antiqua" w:cs="Arial"/>
          <w:sz w:val="23"/>
          <w:szCs w:val="23"/>
        </w:rPr>
      </w:pPr>
      <w:r>
        <w:rPr>
          <w:rFonts w:cs="Arial" w:ascii="Book Antiqua" w:hAnsi="Book Antiqua"/>
          <w:sz w:val="23"/>
          <w:szCs w:val="23"/>
        </w:rPr>
        <w:t>Employees or medical staff with diarrheal diseases will be restricted from work for 24 hours after the resolution of symptoms. Employees who handle food will be restricted from work for 48 hours after the resolution of symptoms.</w:t>
      </w:r>
    </w:p>
    <w:p>
      <w:pPr>
        <w:pStyle w:val="Normal"/>
        <w:widowControl/>
        <w:rPr>
          <w:rFonts w:ascii="Book Antiqua" w:hAnsi="Book Antiqua" w:cs="Arial"/>
          <w:sz w:val="23"/>
          <w:szCs w:val="23"/>
        </w:rPr>
      </w:pPr>
      <w:r>
        <w:rPr>
          <w:rFonts w:cs="Arial" w:ascii="Book Antiqua" w:hAnsi="Book Antiqua"/>
          <w:sz w:val="23"/>
          <w:szCs w:val="23"/>
        </w:rPr>
      </w:r>
    </w:p>
    <w:p>
      <w:pPr>
        <w:pStyle w:val="Normal"/>
        <w:numPr>
          <w:ilvl w:val="0"/>
          <w:numId w:val="5"/>
        </w:numPr>
        <w:rPr>
          <w:rFonts w:ascii="Book Antiqua" w:hAnsi="Book Antiqua" w:cs="Arial"/>
          <w:sz w:val="23"/>
          <w:szCs w:val="23"/>
        </w:rPr>
      </w:pPr>
      <w:r>
        <w:rPr>
          <w:rFonts w:cs="Arial" w:ascii="Book Antiqua" w:hAnsi="Book Antiqua"/>
          <w:sz w:val="23"/>
          <w:szCs w:val="23"/>
        </w:rPr>
        <w:t>EHS will notify the IPC team following work force exposure or diagnosis of a serious communicable disease when patient follow-up is necessary. In addition, EHS can seek assistance from the patient’s physician, the Medical Director of IPC or EHS medical director when appropriate.</w:t>
        <w:tab/>
      </w:r>
    </w:p>
    <w:p>
      <w:pPr>
        <w:pStyle w:val="Normal"/>
        <w:widowControl/>
        <w:rPr>
          <w:rFonts w:ascii="Book Antiqua" w:hAnsi="Book Antiqua" w:cs="Arial"/>
          <w:b/>
          <w:sz w:val="23"/>
          <w:szCs w:val="23"/>
        </w:rPr>
      </w:pPr>
      <w:r>
        <w:rPr>
          <w:rFonts w:cs="Arial" w:ascii="Book Antiqua" w:hAnsi="Book Antiqua"/>
          <w:b/>
          <w:sz w:val="23"/>
          <w:szCs w:val="23"/>
        </w:rPr>
      </w:r>
    </w:p>
    <w:p>
      <w:pPr>
        <w:pStyle w:val="Normal"/>
        <w:widowControl/>
        <w:rPr>
          <w:rFonts w:ascii="Book Antiqua" w:hAnsi="Book Antiqua" w:cs="Arial"/>
          <w:b/>
          <w:sz w:val="23"/>
          <w:szCs w:val="23"/>
        </w:rPr>
      </w:pPr>
      <w:r>
        <w:rPr>
          <w:rFonts w:cs="Arial" w:ascii="Book Antiqua" w:hAnsi="Book Antiqua"/>
          <w:b/>
          <w:sz w:val="23"/>
          <w:szCs w:val="23"/>
        </w:rPr>
        <w:t>Exposures at CHLA:</w:t>
      </w:r>
    </w:p>
    <w:p>
      <w:pPr>
        <w:pStyle w:val="Normal"/>
        <w:widowControl/>
        <w:numPr>
          <w:ilvl w:val="0"/>
          <w:numId w:val="4"/>
        </w:numPr>
        <w:rPr>
          <w:rFonts w:ascii="Book Antiqua" w:hAnsi="Book Antiqua" w:cs="Arial"/>
          <w:sz w:val="23"/>
          <w:szCs w:val="23"/>
        </w:rPr>
      </w:pPr>
      <w:r>
        <w:rPr>
          <w:rFonts w:cs="Arial" w:ascii="Book Antiqua" w:hAnsi="Book Antiqua"/>
          <w:sz w:val="23"/>
          <w:szCs w:val="23"/>
        </w:rPr>
        <w:t>IPC and/or EHS will identify that a communicable disease exposure has occurred and notify the manager(s) of the impacted work area immediately.</w:t>
      </w:r>
    </w:p>
    <w:p>
      <w:pPr>
        <w:pStyle w:val="Normal"/>
        <w:widowControl/>
        <w:numPr>
          <w:ilvl w:val="0"/>
          <w:numId w:val="4"/>
        </w:numPr>
        <w:rPr>
          <w:rFonts w:ascii="Book Antiqua" w:hAnsi="Book Antiqua" w:cs="Arial"/>
          <w:sz w:val="23"/>
          <w:szCs w:val="23"/>
        </w:rPr>
      </w:pPr>
      <w:r>
        <w:rPr>
          <w:rFonts w:cs="Arial" w:ascii="Book Antiqua" w:hAnsi="Book Antiqua"/>
          <w:sz w:val="23"/>
          <w:szCs w:val="23"/>
        </w:rPr>
        <w:t xml:space="preserve">The unit manager(s) will provide IPC with a list of all potentially exposed Staff. Potential exposure will be determined based on the mode of transmission and communicability of the particular disease, and the location and time of exposure.  </w:t>
      </w:r>
    </w:p>
    <w:p>
      <w:pPr>
        <w:pStyle w:val="Normal"/>
        <w:widowControl/>
        <w:numPr>
          <w:ilvl w:val="0"/>
          <w:numId w:val="4"/>
        </w:numPr>
        <w:rPr>
          <w:rFonts w:ascii="Book Antiqua" w:hAnsi="Book Antiqua" w:cs="Arial"/>
          <w:sz w:val="23"/>
          <w:szCs w:val="23"/>
        </w:rPr>
      </w:pPr>
      <w:r>
        <w:rPr>
          <w:rFonts w:cs="Arial" w:ascii="Book Antiqua" w:hAnsi="Book Antiqua"/>
          <w:sz w:val="23"/>
          <w:szCs w:val="23"/>
        </w:rPr>
        <w:t xml:space="preserve">IPC will notify all potentially exposed staff of the exposure, and refer those with doubtful or unknown immunity to EHS for further evaluation. </w:t>
      </w:r>
    </w:p>
    <w:p>
      <w:pPr>
        <w:pStyle w:val="Normal"/>
        <w:widowControl/>
        <w:numPr>
          <w:ilvl w:val="0"/>
          <w:numId w:val="4"/>
        </w:numPr>
        <w:rPr>
          <w:rFonts w:ascii="Book Antiqua" w:hAnsi="Book Antiqua" w:cs="Arial"/>
          <w:sz w:val="23"/>
          <w:szCs w:val="23"/>
        </w:rPr>
      </w:pPr>
      <w:r>
        <w:rPr>
          <w:rFonts w:cs="Arial" w:ascii="Book Antiqua" w:hAnsi="Book Antiqua"/>
          <w:sz w:val="23"/>
          <w:szCs w:val="23"/>
        </w:rPr>
        <w:t xml:space="preserve">Notified Staff will make an appointment to be seen in EHS for evaluation. </w:t>
      </w:r>
    </w:p>
    <w:p>
      <w:pPr>
        <w:pStyle w:val="Normal"/>
        <w:widowControl/>
        <w:numPr>
          <w:ilvl w:val="0"/>
          <w:numId w:val="4"/>
        </w:numPr>
        <w:rPr>
          <w:rFonts w:ascii="Book Antiqua" w:hAnsi="Book Antiqua" w:cs="Arial"/>
          <w:sz w:val="23"/>
          <w:szCs w:val="23"/>
        </w:rPr>
      </w:pPr>
      <w:r>
        <w:rPr>
          <w:rFonts w:cs="Arial" w:ascii="Book Antiqua" w:hAnsi="Book Antiqua"/>
          <w:sz w:val="23"/>
          <w:szCs w:val="23"/>
        </w:rPr>
        <w:t xml:space="preserve">EHS will perform appropriate screening, testing, education and counseling and notify unit manager or division head of non-immune Staff who are to be relieved from duty involving direct contact with patients during incubation period; </w:t>
      </w:r>
    </w:p>
    <w:p>
      <w:pPr>
        <w:pStyle w:val="Normal"/>
        <w:widowControl/>
        <w:numPr>
          <w:ilvl w:val="0"/>
          <w:numId w:val="4"/>
        </w:numPr>
        <w:rPr>
          <w:rFonts w:ascii="Book Antiqua" w:hAnsi="Book Antiqua" w:cs="Arial"/>
          <w:sz w:val="23"/>
          <w:szCs w:val="23"/>
        </w:rPr>
      </w:pPr>
      <w:r>
        <w:rPr>
          <w:rFonts w:cs="Arial" w:ascii="Book Antiqua" w:hAnsi="Book Antiqua"/>
          <w:sz w:val="23"/>
          <w:szCs w:val="23"/>
        </w:rPr>
        <w:t>If requested, IPC will provide county or state Public Health agency with list of exposed Work Force and indicate follow-up action taken.</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2"/>
        </w:numPr>
        <w:rPr>
          <w:rFonts w:ascii="Book Antiqua" w:hAnsi="Book Antiqua" w:cs="Book Antiqua"/>
          <w:sz w:val="23"/>
          <w:szCs w:val="23"/>
        </w:rPr>
      </w:pPr>
      <w:hyperlink r:id="rId2">
        <w:r>
          <w:rPr>
            <w:rStyle w:val="Hyperlink"/>
            <w:rFonts w:cs="Book Antiqua" w:ascii="Book Antiqua" w:hAnsi="Book Antiqua"/>
            <w:sz w:val="23"/>
            <w:szCs w:val="23"/>
          </w:rPr>
          <w:t>IC – 602.1 Summary of Suggested Work Restrictions</w:t>
        </w:r>
      </w:hyperlink>
      <w:r>
        <w:rPr>
          <w:rFonts w:cs="Book Antiqua" w:ascii="Book Antiqua" w:hAnsi="Book Antiqua"/>
          <w:b/>
          <w:sz w:val="23"/>
          <w:szCs w:val="23"/>
        </w:rPr>
        <w:t xml:space="preserve"> </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Arial"/>
          <w:b/>
          <w:sz w:val="23"/>
          <w:szCs w:val="23"/>
        </w:rPr>
      </w:pPr>
      <w:r>
        <w:rPr>
          <w:rFonts w:cs="Arial" w:ascii="Book Antiqua" w:hAnsi="Book Antiqua"/>
          <w:b/>
          <w:sz w:val="23"/>
          <w:szCs w:val="23"/>
        </w:rPr>
        <w:t>REFERENCES:</w:t>
      </w:r>
    </w:p>
    <w:p>
      <w:pPr>
        <w:pStyle w:val="Normal"/>
        <w:numPr>
          <w:ilvl w:val="0"/>
          <w:numId w:val="3"/>
        </w:numPr>
        <w:rPr>
          <w:rFonts w:ascii="Book Antiqua" w:hAnsi="Book Antiqua" w:cs="Book Antiqua"/>
          <w:b/>
          <w:sz w:val="23"/>
          <w:szCs w:val="23"/>
        </w:rPr>
      </w:pPr>
      <w:r>
        <w:rPr>
          <w:rFonts w:cs="Book Antiqua" w:ascii="Book Antiqua" w:hAnsi="Book Antiqua"/>
          <w:sz w:val="23"/>
          <w:szCs w:val="23"/>
        </w:rPr>
        <w:t>APIC Text of Infection Control and Epidemiology 4</w:t>
      </w:r>
      <w:r>
        <w:rPr>
          <w:rFonts w:cs="Book Antiqua" w:ascii="Book Antiqua" w:hAnsi="Book Antiqua"/>
          <w:sz w:val="23"/>
          <w:szCs w:val="23"/>
          <w:vertAlign w:val="superscript"/>
        </w:rPr>
        <w:t>th</w:t>
      </w:r>
      <w:r>
        <w:rPr>
          <w:rFonts w:cs="Book Antiqua" w:ascii="Book Antiqua" w:hAnsi="Book Antiqua"/>
          <w:sz w:val="23"/>
          <w:szCs w:val="23"/>
        </w:rPr>
        <w:t xml:space="preserve"> Edition, Ch. 100 Occupational Health,  2014</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sz w:val="23"/>
          <w:szCs w:val="23"/>
        </w:rPr>
      </w:pPr>
      <w:r>
        <w:rPr>
          <w:rFonts w:cs="Book Antiqua" w:ascii="Book Antiqua" w:hAnsi="Book Antiqua"/>
          <w:b/>
          <w:sz w:val="23"/>
          <w:szCs w:val="23"/>
        </w:rPr>
        <w:t>POLICY OWNER:</w:t>
      </w:r>
    </w:p>
    <w:p>
      <w:pPr>
        <w:pStyle w:val="Normal"/>
        <w:rPr>
          <w:rFonts w:ascii="Book Antiqua" w:hAnsi="Book Antiqua" w:cs="Book Antiqua"/>
          <w:bCs/>
          <w:i/>
          <w:i/>
          <w:iCs/>
          <w:sz w:val="23"/>
          <w:szCs w:val="23"/>
        </w:rPr>
      </w:pPr>
      <w:r>
        <w:rPr>
          <w:rFonts w:cs="Book Antiqua" w:ascii="Book Antiqua" w:hAnsi="Book Antiqua"/>
          <w:bCs/>
          <w:i/>
          <w:iCs/>
          <w:sz w:val="23"/>
          <w:szCs w:val="23"/>
        </w:rPr>
        <w:t>Director, Infection Prevention and Control</w:t>
      </w:r>
    </w:p>
    <w:p>
      <w:pPr>
        <w:pStyle w:val="Normal"/>
        <w:tabs>
          <w:tab w:val="clear" w:pos="720"/>
          <w:tab w:val="left" w:pos="4595" w:leader="none"/>
        </w:tabs>
        <w:rPr>
          <w:rFonts w:ascii="Book Antiqua" w:hAnsi="Book Antiqua" w:cs="Book Antiqua"/>
          <w:bCs/>
          <w:i/>
          <w:i/>
          <w:iCs/>
          <w:sz w:val="23"/>
          <w:szCs w:val="23"/>
        </w:rPr>
      </w:pPr>
      <w:r>
        <w:rPr>
          <w:rFonts w:cs="Book Antiqua" w:ascii="Book Antiqua" w:hAnsi="Book Antiqua"/>
          <w:bCs/>
          <w:i/>
          <w:iCs/>
          <w:sz w:val="23"/>
          <w:szCs w:val="23"/>
        </w:rPr>
        <w:tab/>
      </w:r>
    </w:p>
    <w:p>
      <w:pPr>
        <w:pStyle w:val="Normal"/>
        <w:rPr>
          <w:rFonts w:ascii="Book Antiqua" w:hAnsi="Book Antiqua" w:cs="Book Antiqua"/>
          <w:b/>
          <w:bCs/>
          <w:i/>
          <w:i/>
          <w:iCs/>
          <w:sz w:val="23"/>
          <w:szCs w:val="23"/>
        </w:rPr>
      </w:pPr>
      <w:r>
        <w:rPr>
          <w:rFonts w:cs="Book Antiqua" w:ascii="Book Antiqua" w:hAnsi="Book Antiqua"/>
          <w:b/>
          <w:bCs/>
          <w:i/>
          <w:iCs/>
          <w:sz w:val="23"/>
          <w:szCs w:val="23"/>
        </w:rPr>
      </w:r>
    </w:p>
    <w:p>
      <w:pPr>
        <w:pStyle w:val="Normal"/>
        <w:rPr>
          <w:rFonts w:ascii="Book Antiqua" w:hAnsi="Book Antiqua" w:cs="Book Antiqua"/>
          <w:b/>
          <w:sz w:val="23"/>
          <w:szCs w:val="23"/>
        </w:rPr>
      </w:pPr>
      <w:r>
        <w:rPr>
          <w:rFonts w:cs="Book Antiqua" w:ascii="Book Antiqua" w:hAnsi="Book Antiqua"/>
          <w:b/>
          <w:sz w:val="23"/>
          <w:szCs w:val="23"/>
        </w:rPr>
      </w:r>
    </w:p>
    <w:sectPr>
      <w:headerReference w:type="default" r:id="rId3"/>
      <w:footerReference w:type="default" r:id="rId4"/>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Employee Exposures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05/01/1998</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05/27/2021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602.0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540" w:leader="none"/>
      </w:tabs>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6z0">
    <w:name w:val="WW8Num16z0"/>
    <w:qFormat/>
    <w:rPr/>
  </w:style>
  <w:style w:type="character" w:styleId="WW8Num18z0">
    <w:name w:val="WW8Num18z0"/>
    <w:qFormat/>
    <w:rPr>
      <w:sz w:val="24"/>
    </w:rPr>
  </w:style>
  <w:style w:type="character" w:styleId="WW8Num21z0">
    <w:name w:val="WW8Num21z0"/>
    <w:qFormat/>
    <w:rPr/>
  </w:style>
  <w:style w:type="character" w:styleId="WW8Num23z0">
    <w:name w:val="WW8Num23z0"/>
    <w:qFormat/>
    <w:rPr/>
  </w:style>
  <w:style w:type="character" w:styleId="WW8Num24z0">
    <w:name w:val="WW8Num24z0"/>
    <w:qFormat/>
    <w:rPr>
      <w:b/>
    </w:rPr>
  </w:style>
  <w:style w:type="character" w:styleId="WW8Num25z0">
    <w:name w:val="WW8Num25z0"/>
    <w:qFormat/>
    <w:rPr>
      <w:rFonts w:ascii="Book Antiqua" w:hAnsi="Book Antiqua" w:eastAsia="Times New Roman" w:cs="Arial"/>
      <w:b w:val="false"/>
    </w:rPr>
  </w:style>
  <w:style w:type="character" w:styleId="WW8Num26z0">
    <w:name w:val="WW8Num26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CQWkgeFIAmFzBmlYeas3F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2018-07-02T15:33:00Z</dcterms:created>
  <dc:creator>MAGGIE</dc:creator>
  <dc:description/>
  <cp:keywords/>
  <dc:language>en-US</dc:language>
  <cp:lastModifiedBy>Huynh, Fuong</cp:lastModifiedBy>
  <cp:lastPrinted>2018-02-20T07:29:00Z</cp:lastPrinted>
  <dcterms:modified xsi:type="dcterms:W3CDTF">2021-10-07T13:21:00Z</dcterms:modified>
  <cp:revision>9</cp:revision>
  <dc:subject/>
  <dc:title>IC 602.0 Employee Exposures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ontentTypeId">
    <vt:lpwstr>0x0101000CF48A3D2D78F24EB242768DAC1886AE</vt:lpwstr>
  </property>
  <property fmtid="{D5CDD505-2E9C-101B-9397-08002B2CF9AE}" pid="6" name="Keywords">
    <vt:lpwstr/>
  </property>
  <property fmtid="{D5CDD505-2E9C-101B-9397-08002B2CF9AE}" pid="7" name="Subject">
    <vt:lpwstr/>
  </property>
  <property fmtid="{D5CDD505-2E9C-101B-9397-08002B2CF9AE}" pid="8" name="_Author">
    <vt:lpwstr>MAGGIE</vt:lpwstr>
  </property>
  <property fmtid="{D5CDD505-2E9C-101B-9397-08002B2CF9AE}" pid="9" name="_Category">
    <vt:lpwstr/>
  </property>
  <property fmtid="{D5CDD505-2E9C-101B-9397-08002B2CF9AE}" pid="10" name="_Comments">
    <vt:lpwstr/>
  </property>
</Properties>
</file>