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ook Antiqua;Cambria" w:hAnsi="Book Antiqua;Cambria" w:cs="Book Antiqua;Cambria"/>
          <w:b/>
          <w:bCs/>
          <w:sz w:val="24"/>
          <w:szCs w:val="24"/>
          <w:u w:val="single"/>
        </w:rPr>
      </w:pPr>
      <w:r>
        <w:rPr>
          <w:rFonts w:cs="Book Antiqua;Cambria" w:ascii="Book Antiqua;Cambria" w:hAnsi="Book Antiqua;Cambria"/>
          <w:b/>
          <w:bCs/>
          <w:sz w:val="24"/>
          <w:szCs w:val="24"/>
          <w:u w:val="single"/>
        </w:rPr>
        <w:t>IC-604.1  Appendix A</w:t>
      </w:r>
    </w:p>
    <w:p>
      <w:pPr>
        <w:pStyle w:val="Normal"/>
        <w:jc w:val="center"/>
        <w:rPr>
          <w:rFonts w:ascii="Book Antiqua;Cambria" w:hAnsi="Book Antiqua;Cambria" w:cs="Calibri"/>
          <w:sz w:val="24"/>
          <w:szCs w:val="24"/>
        </w:rPr>
      </w:pPr>
      <w:r>
        <w:rPr>
          <w:rFonts w:cs="Calibri" w:ascii="Book Antiqua;Cambria" w:hAnsi="Book Antiqua;Cambria"/>
          <w:sz w:val="24"/>
          <w:szCs w:val="24"/>
        </w:rPr>
        <w:t xml:space="preserve">Dosing guidance for </w:t>
      </w:r>
      <w:r>
        <w:rPr>
          <w:rFonts w:cs="Calibri" w:ascii="Book Antiqua;Cambria" w:hAnsi="Book Antiqua;Cambria"/>
          <w:i/>
          <w:iCs/>
          <w:sz w:val="24"/>
          <w:szCs w:val="24"/>
        </w:rPr>
        <w:t>Haemophilus influenzae</w:t>
      </w:r>
      <w:r>
        <w:rPr>
          <w:rFonts w:cs="Calibri" w:ascii="Book Antiqua;Cambria" w:hAnsi="Book Antiqua;Cambria"/>
          <w:sz w:val="24"/>
          <w:szCs w:val="24"/>
        </w:rPr>
        <w:t xml:space="preserve"> and/or </w:t>
      </w:r>
    </w:p>
    <w:p>
      <w:pPr>
        <w:pStyle w:val="Normal"/>
        <w:jc w:val="center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Calibri" w:ascii="Book Antiqua;Cambria" w:hAnsi="Book Antiqua;Cambria"/>
          <w:sz w:val="24"/>
          <w:szCs w:val="24"/>
        </w:rPr>
        <w:t>Meningococcal Post Exposure Prophylaxis</w:t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  <w:lang w:val="en-US" w:eastAsia="en-US"/>
        </w:rPr>
      </w:pPr>
      <w:r>
        <w:rPr>
          <w:rFonts w:cs="Book Antiqua;Cambria" w:ascii="Book Antiqua;Cambria" w:hAnsi="Book Antiqua;Cambria"/>
          <w:b/>
          <w:sz w:val="23"/>
          <w:szCs w:val="23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281940</wp:posOffset>
                </wp:positionH>
                <wp:positionV relativeFrom="paragraph">
                  <wp:posOffset>3175</wp:posOffset>
                </wp:positionV>
                <wp:extent cx="2235200" cy="310197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310197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jc w:val="center"/>
                              <w:rPr>
                                <w:rFonts w:ascii="Book Antiqua;Cambria" w:hAnsi="Book Antiqua;Cambria" w:cs="Book Antiqua;Cambria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b/>
                                <w:szCs w:val="24"/>
                                <w:u w:val="single"/>
                              </w:rPr>
                              <w:t>Meningococcus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/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b/>
                                <w:bCs/>
                                <w:szCs w:val="24"/>
                              </w:rPr>
                              <w:t>Rifampin</w:t>
                            </w: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>*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>
                                <w:rFonts w:ascii="Book Antiqua;Cambria" w:hAnsi="Book Antiqua;Cambria" w:cs="Arial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Book Antiqua;Cambria" w:cs="Book Antiqua;Cambria" w:ascii="Book Antiqua;Cambria" w:hAnsi="Book Antiqua;Cambr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 w:ascii="Book Antiqua;Cambria" w:hAnsi="Book Antiqua;Cambria"/>
                                <w:szCs w:val="24"/>
                              </w:rPr>
                              <w:t>Adults: 600mg/kg q12h x 2 days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>
                                <w:rFonts w:ascii="Book Antiqua;Cambria" w:hAnsi="Book Antiqua;Cambria" w:cs="Arial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Arial" w:ascii="Book Antiqua;Cambria" w:hAnsi="Book Antiqua;Cambria"/>
                                <w:szCs w:val="24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>
                                <w:rFonts w:ascii="Book Antiqua;Cambria" w:hAnsi="Book Antiqua;Cambria" w:cs="Book Antiqua;Cambria"/>
                                <w:szCs w:val="24"/>
                              </w:rPr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b/>
                                <w:bCs/>
                                <w:szCs w:val="24"/>
                              </w:rPr>
                              <w:t>Ceftriaxone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>
                                <w:rFonts w:ascii="Book Antiqua;Cambria" w:hAnsi="Book Antiqua;Cambria" w:cs="Book Antiqua;Cambria"/>
                                <w:szCs w:val="24"/>
                              </w:rPr>
                            </w:pPr>
                            <w:r>
                              <w:rPr>
                                <w:rFonts w:eastAsia="Book Antiqua;Cambria" w:cs="Book Antiqua;Cambria" w:ascii="Book Antiqua;Cambria" w:hAnsi="Book Antiqua;Cambria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>&gt;15 yrs:  250 mg IM x 1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>
                                <w:rFonts w:ascii="Book Antiqua;Cambria" w:hAnsi="Book Antiqua;Cambria" w:cs="Book Antiqua;Cambria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>
                                <w:rFonts w:ascii="Book Antiqua;Cambria" w:hAnsi="Book Antiqua;Cambria" w:cs="Book Antiqua;Cambria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b/>
                                <w:bCs/>
                                <w:szCs w:val="24"/>
                              </w:rPr>
                              <w:t>Ciprofloxacin***</w:t>
                            </w:r>
                          </w:p>
                          <w:p>
                            <w:pPr>
                              <w:pStyle w:val="Normal"/>
                              <w:spacing w:before="0" w:after="120"/>
                              <w:rPr/>
                            </w:pPr>
                            <w:r>
                              <w:rPr>
                                <w:rFonts w:eastAsia="Book Antiqua;Cambria" w:cs="Book Antiqua;Cambria" w:ascii="Book Antiqua;Cambria" w:hAnsi="Book Antiqua;Cambria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eastAsia="Symbol" w:cs="Symbol" w:ascii="Symbol" w:hAnsi="Symbol"/>
                                <w:szCs w:val="24"/>
                              </w:rPr>
                              <w:sym w:font="Symbol" w:char="f0b3"/>
                            </w: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>18yrs:  500mg PO x 1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szCs w:val="24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76pt;height:244.25pt;mso-wrap-distance-left:9.05pt;mso-wrap-distance-right:9.05pt;mso-wrap-distance-top:0pt;mso-wrap-distance-bottom:0pt;margin-top:0.25pt;mso-position-vertical-relative:text;margin-left:22.2pt;mso-position-horizontal-relative:text">
                <v:textbox>
                  <w:txbxContent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rFonts w:ascii="Arial" w:hAnsi="Arial" w:cs="Arial"/>
                          <w:b/>
                          <w:sz w:val="16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16"/>
                          <w:u w:val="single"/>
                        </w:rPr>
                      </w:r>
                    </w:p>
                    <w:p>
                      <w:pPr>
                        <w:pStyle w:val="Normal"/>
                        <w:spacing w:before="0" w:after="120"/>
                        <w:jc w:val="center"/>
                        <w:rPr>
                          <w:rFonts w:ascii="Book Antiqua;Cambria" w:hAnsi="Book Antiqua;Cambria" w:cs="Book Antiqua;Cambria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cs="Book Antiqua;Cambria" w:ascii="Book Antiqua;Cambria" w:hAnsi="Book Antiqua;Cambria"/>
                          <w:b/>
                          <w:szCs w:val="24"/>
                          <w:u w:val="single"/>
                        </w:rPr>
                        <w:t>Meningococcus</w:t>
                      </w:r>
                    </w:p>
                    <w:p>
                      <w:pPr>
                        <w:pStyle w:val="Normal"/>
                        <w:spacing w:before="0" w:after="120"/>
                        <w:rPr/>
                      </w:pPr>
                      <w:r>
                        <w:rPr>
                          <w:rFonts w:cs="Book Antiqua;Cambria" w:ascii="Book Antiqua;Cambria" w:hAnsi="Book Antiqua;Cambria"/>
                          <w:b/>
                          <w:bCs/>
                          <w:szCs w:val="24"/>
                        </w:rPr>
                        <w:t>Rifampin</w:t>
                      </w: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>*</w:t>
                      </w:r>
                    </w:p>
                    <w:p>
                      <w:pPr>
                        <w:pStyle w:val="Normal"/>
                        <w:spacing w:before="0" w:after="120"/>
                        <w:rPr>
                          <w:rFonts w:ascii="Book Antiqua;Cambria" w:hAnsi="Book Antiqua;Cambria" w:cs="Arial"/>
                          <w:szCs w:val="24"/>
                          <w:u w:val="single"/>
                        </w:rPr>
                      </w:pPr>
                      <w:r>
                        <w:rPr>
                          <w:rFonts w:eastAsia="Book Antiqua;Cambria" w:cs="Book Antiqua;Cambria" w:ascii="Book Antiqua;Cambria" w:hAnsi="Book Antiqua;Cambria"/>
                          <w:szCs w:val="24"/>
                        </w:rPr>
                        <w:t xml:space="preserve"> </w:t>
                      </w:r>
                      <w:r>
                        <w:rPr>
                          <w:rFonts w:cs="Arial" w:ascii="Book Antiqua;Cambria" w:hAnsi="Book Antiqua;Cambria"/>
                          <w:szCs w:val="24"/>
                        </w:rPr>
                        <w:t>Adults: 600mg/kg q12h x 2 days</w:t>
                      </w:r>
                    </w:p>
                    <w:p>
                      <w:pPr>
                        <w:pStyle w:val="Normal"/>
                        <w:spacing w:before="0" w:after="120"/>
                        <w:rPr>
                          <w:rFonts w:ascii="Book Antiqua;Cambria" w:hAnsi="Book Antiqua;Cambria" w:cs="Arial"/>
                          <w:szCs w:val="24"/>
                          <w:u w:val="single"/>
                        </w:rPr>
                      </w:pPr>
                      <w:r>
                        <w:rPr>
                          <w:rFonts w:cs="Arial" w:ascii="Book Antiqua;Cambria" w:hAnsi="Book Antiqua;Cambria"/>
                          <w:szCs w:val="24"/>
                          <w:u w:val="single"/>
                        </w:rPr>
                      </w:r>
                    </w:p>
                    <w:p>
                      <w:pPr>
                        <w:pStyle w:val="Normal"/>
                        <w:spacing w:before="0" w:after="120"/>
                        <w:rPr>
                          <w:rFonts w:ascii="Book Antiqua;Cambria" w:hAnsi="Book Antiqua;Cambria" w:cs="Book Antiqua;Cambria"/>
                          <w:szCs w:val="24"/>
                        </w:rPr>
                      </w:pPr>
                      <w:r>
                        <w:rPr>
                          <w:rFonts w:cs="Book Antiqua;Cambria" w:ascii="Book Antiqua;Cambria" w:hAnsi="Book Antiqua;Cambria"/>
                          <w:b/>
                          <w:bCs/>
                          <w:szCs w:val="24"/>
                        </w:rPr>
                        <w:t>Ceftriaxone</w:t>
                      </w:r>
                    </w:p>
                    <w:p>
                      <w:pPr>
                        <w:pStyle w:val="Normal"/>
                        <w:spacing w:before="0" w:after="120"/>
                        <w:rPr>
                          <w:rFonts w:ascii="Book Antiqua;Cambria" w:hAnsi="Book Antiqua;Cambria" w:cs="Book Antiqua;Cambria"/>
                          <w:szCs w:val="24"/>
                        </w:rPr>
                      </w:pPr>
                      <w:r>
                        <w:rPr>
                          <w:rFonts w:eastAsia="Book Antiqua;Cambria" w:cs="Book Antiqua;Cambria" w:ascii="Book Antiqua;Cambria" w:hAnsi="Book Antiqua;Cambria"/>
                          <w:szCs w:val="24"/>
                        </w:rPr>
                        <w:t xml:space="preserve">   </w:t>
                      </w: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>&gt;15 yrs:  250 mg IM x 1</w:t>
                      </w:r>
                    </w:p>
                    <w:p>
                      <w:pPr>
                        <w:pStyle w:val="Normal"/>
                        <w:spacing w:before="0" w:after="120"/>
                        <w:rPr>
                          <w:rFonts w:ascii="Book Antiqua;Cambria" w:hAnsi="Book Antiqua;Cambria" w:cs="Book Antiqua;Cambria"/>
                          <w:szCs w:val="24"/>
                          <w:u w:val="single"/>
                        </w:rPr>
                      </w:pPr>
                      <w:r>
                        <w:rPr>
                          <w:rFonts w:cs="Book Antiqua;Cambria" w:ascii="Book Antiqua;Cambria" w:hAnsi="Book Antiqua;Cambria"/>
                          <w:szCs w:val="24"/>
                          <w:u w:val="single"/>
                        </w:rPr>
                      </w:r>
                    </w:p>
                    <w:p>
                      <w:pPr>
                        <w:pStyle w:val="Normal"/>
                        <w:spacing w:before="0" w:after="120"/>
                        <w:rPr>
                          <w:rFonts w:ascii="Book Antiqua;Cambria" w:hAnsi="Book Antiqua;Cambria" w:cs="Book Antiqua;Cambria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cs="Book Antiqua;Cambria" w:ascii="Book Antiqua;Cambria" w:hAnsi="Book Antiqua;Cambria"/>
                          <w:b/>
                          <w:bCs/>
                          <w:szCs w:val="24"/>
                        </w:rPr>
                        <w:t>Ciprofloxacin***</w:t>
                      </w:r>
                    </w:p>
                    <w:p>
                      <w:pPr>
                        <w:pStyle w:val="Normal"/>
                        <w:spacing w:before="0" w:after="120"/>
                        <w:rPr/>
                      </w:pPr>
                      <w:r>
                        <w:rPr>
                          <w:rFonts w:eastAsia="Book Antiqua;Cambria" w:cs="Book Antiqua;Cambria" w:ascii="Book Antiqua;Cambria" w:hAnsi="Book Antiqua;Cambria"/>
                          <w:szCs w:val="24"/>
                        </w:rPr>
                        <w:t xml:space="preserve">   </w:t>
                      </w:r>
                      <w:r>
                        <w:rPr>
                          <w:rFonts w:eastAsia="Symbol" w:cs="Symbol" w:ascii="Symbol" w:hAnsi="Symbol"/>
                          <w:szCs w:val="24"/>
                        </w:rPr>
                        <w:sym w:font="Symbol" w:char="f0b3"/>
                      </w: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>18yrs:  500mg PO x 1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szCs w:val="24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szCs w:val="24"/>
                          <w:u w:val="single"/>
                        </w:rPr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u w:val="single"/>
                        </w:rPr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u w:val="single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3215640</wp:posOffset>
                </wp:positionH>
                <wp:positionV relativeFrom="paragraph">
                  <wp:posOffset>3175</wp:posOffset>
                </wp:positionV>
                <wp:extent cx="2410460" cy="310134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1013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16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b/>
                                <w:i/>
                                <w:iCs/>
                                <w:szCs w:val="24"/>
                                <w:u w:val="single"/>
                              </w:rPr>
                              <w:t>Haemophilus influenza</w:t>
                            </w:r>
                            <w:r>
                              <w:rPr>
                                <w:rFonts w:cs="Book Antiqua;Cambria" w:ascii="Book Antiqua;Cambria" w:hAnsi="Book Antiqua;Cambria"/>
                                <w:b/>
                                <w:szCs w:val="24"/>
                                <w:u w:val="single"/>
                              </w:rPr>
                              <w:t>e type B</w:t>
                            </w: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>**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b/>
                                <w:bCs/>
                                <w:szCs w:val="24"/>
                              </w:rPr>
                              <w:t>Rifampin</w:t>
                            </w: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>*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Book Antiqua;Cambria" w:cs="Book Antiqua;Cambria" w:ascii="Book Antiqua;Cambria" w:hAnsi="Book Antiqua;Cambria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eastAsia="Symbol" w:cs="Symbol" w:ascii="Symbol" w:hAnsi="Symbol"/>
                                <w:szCs w:val="24"/>
                              </w:rPr>
                              <w:sym w:font="Symbol" w:char="f0b3"/>
                            </w: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 xml:space="preserve">1 mo: 20 mg/kg per dose once 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Book Antiqua;Cambria" w:cs="Book Antiqua;Cambria" w:ascii="Book Antiqua;Cambria" w:hAnsi="Book Antiqua;Cambria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 xml:space="preserve">daily x 4 days (max daily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Book Antiqua;Cambria" w:hAnsi="Book Antiqua;Cambria" w:cs="Book Antiqua;Cambria"/>
                                <w:szCs w:val="24"/>
                              </w:rPr>
                            </w:pPr>
                            <w:r>
                              <w:rPr>
                                <w:rFonts w:eastAsia="Book Antiqua;Cambria" w:cs="Book Antiqua;Cambria" w:ascii="Book Antiqua;Cambria" w:hAnsi="Book Antiqua;Cambria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>dose 600 mg for adults)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Book Antiqua;Cambria" w:hAnsi="Book Antiqua;Cambria" w:cs="Book Antiqua;Cambria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-1440" w:leader="none"/>
                              </w:tabs>
                              <w:ind w:hanging="5018" w:start="5018" w:end="0"/>
                              <w:rPr>
                                <w:rFonts w:ascii="Book Antiqua;Cambria" w:hAnsi="Book Antiqua;Cambria" w:cs="Book Antiqua;Cambria"/>
                                <w:szCs w:val="24"/>
                              </w:rPr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>No alternate medication has been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20"/>
                                <w:tab w:val="left" w:pos="-1440" w:leader="none"/>
                              </w:tabs>
                              <w:ind w:hanging="5018" w:start="5018" w:end="0"/>
                              <w:rPr>
                                <w:rFonts w:ascii="Book Antiqua;Cambria" w:hAnsi="Book Antiqua;Cambria" w:cs="Book Antiqua;Cambria"/>
                                <w:szCs w:val="24"/>
                              </w:rPr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  <w:t>studied in pregnancy</w:t>
                              <w:tab/>
                            </w:r>
                          </w:p>
                          <w:p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Book Antiqua;Cambria" w:hAnsi="Book Antiqua;Cambria" w:cs="Book Antiqua;Cambria"/>
                                <w:szCs w:val="24"/>
                              </w:rPr>
                            </w:pPr>
                            <w:r>
                              <w:rPr>
                                <w:rFonts w:cs="Book Antiqua;Cambria" w:ascii="Book Antiqua;Cambria" w:hAnsi="Book Antiqua;Cambria"/>
                                <w:szCs w:val="24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9.8pt;height:244.2pt;mso-wrap-distance-left:9.05pt;mso-wrap-distance-right:9.05pt;mso-wrap-distance-top:0pt;mso-wrap-distance-bottom:0pt;margin-top:0.25pt;mso-position-vertical-relative:text;margin-left:253.2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sz w:val="16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16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Book Antiqua;Cambria" w:ascii="Book Antiqua;Cambria" w:hAnsi="Book Antiqua;Cambria"/>
                          <w:b/>
                          <w:i/>
                          <w:iCs/>
                          <w:szCs w:val="24"/>
                          <w:u w:val="single"/>
                        </w:rPr>
                        <w:t>Haemophilus influenza</w:t>
                      </w:r>
                      <w:r>
                        <w:rPr>
                          <w:rFonts w:cs="Book Antiqua;Cambria" w:ascii="Book Antiqua;Cambria" w:hAnsi="Book Antiqua;Cambria"/>
                          <w:b/>
                          <w:szCs w:val="24"/>
                          <w:u w:val="single"/>
                        </w:rPr>
                        <w:t>e type B</w:t>
                      </w: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>**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cs="Book Antiqua;Cambria" w:ascii="Book Antiqua;Cambria" w:hAnsi="Book Antiqua;Cambria"/>
                          <w:b/>
                          <w:bCs/>
                          <w:szCs w:val="24"/>
                        </w:rPr>
                        <w:t>Rifampin</w:t>
                      </w: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>*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Book Antiqua;Cambria" w:cs="Book Antiqua;Cambria" w:ascii="Book Antiqua;Cambria" w:hAnsi="Book Antiqua;Cambria"/>
                          <w:szCs w:val="24"/>
                        </w:rPr>
                        <w:t xml:space="preserve">   </w:t>
                      </w:r>
                      <w:r>
                        <w:rPr>
                          <w:rFonts w:eastAsia="Symbol" w:cs="Symbol" w:ascii="Symbol" w:hAnsi="Symbol"/>
                          <w:szCs w:val="24"/>
                        </w:rPr>
                        <w:sym w:font="Symbol" w:char="f0b3"/>
                      </w: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 xml:space="preserve">1 mo: 20 mg/kg per dose once 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Book Antiqua;Cambria" w:cs="Book Antiqua;Cambria" w:ascii="Book Antiqua;Cambria" w:hAnsi="Book Antiqua;Cambria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 xml:space="preserve">daily x 4 days (max daily </w:t>
                      </w:r>
                    </w:p>
                    <w:p>
                      <w:pPr>
                        <w:pStyle w:val="Normal"/>
                        <w:rPr>
                          <w:rFonts w:ascii="Book Antiqua;Cambria" w:hAnsi="Book Antiqua;Cambria" w:cs="Book Antiqua;Cambria"/>
                          <w:szCs w:val="24"/>
                        </w:rPr>
                      </w:pPr>
                      <w:r>
                        <w:rPr>
                          <w:rFonts w:eastAsia="Book Antiqua;Cambria" w:cs="Book Antiqua;Cambria" w:ascii="Book Antiqua;Cambria" w:hAnsi="Book Antiqua;Cambria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>dose 600 mg for adults)</w:t>
                      </w:r>
                    </w:p>
                    <w:p>
                      <w:pPr>
                        <w:pStyle w:val="Normal"/>
                        <w:rPr>
                          <w:rFonts w:ascii="Book Antiqua;Cambria" w:hAnsi="Book Antiqua;Cambria" w:cs="Book Antiqua;Cambria"/>
                          <w:szCs w:val="24"/>
                          <w:u w:val="single"/>
                        </w:rPr>
                      </w:pPr>
                      <w:r>
                        <w:rPr>
                          <w:rFonts w:cs="Book Antiqua;Cambria" w:ascii="Book Antiqua;Cambria" w:hAnsi="Book Antiqua;Cambria"/>
                          <w:szCs w:val="24"/>
                          <w:u w:val="single"/>
                        </w:rPr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-1440" w:leader="none"/>
                        </w:tabs>
                        <w:ind w:hanging="5018" w:start="5018" w:end="0"/>
                        <w:rPr>
                          <w:rFonts w:ascii="Book Antiqua;Cambria" w:hAnsi="Book Antiqua;Cambria" w:cs="Book Antiqua;Cambria"/>
                          <w:szCs w:val="24"/>
                        </w:rPr>
                      </w:pP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>No alternate medication has been</w:t>
                      </w:r>
                    </w:p>
                    <w:p>
                      <w:pPr>
                        <w:pStyle w:val="Normal"/>
                        <w:tabs>
                          <w:tab w:val="clear" w:pos="720"/>
                          <w:tab w:val="left" w:pos="-1440" w:leader="none"/>
                        </w:tabs>
                        <w:ind w:hanging="5018" w:start="5018" w:end="0"/>
                        <w:rPr>
                          <w:rFonts w:ascii="Book Antiqua;Cambria" w:hAnsi="Book Antiqua;Cambria" w:cs="Book Antiqua;Cambria"/>
                          <w:szCs w:val="24"/>
                        </w:rPr>
                      </w:pP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  <w:t>studied in pregnancy</w:t>
                        <w:tab/>
                      </w:r>
                    </w:p>
                    <w:p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Book Antiqua;Cambria" w:hAnsi="Book Antiqua;Cambria" w:cs="Book Antiqua;Cambria"/>
                          <w:szCs w:val="24"/>
                        </w:rPr>
                      </w:pPr>
                      <w:r>
                        <w:rPr>
                          <w:rFonts w:cs="Book Antiqua;Cambria" w:ascii="Book Antiqua;Cambria" w:hAnsi="Book Antiqua;Cambria"/>
                          <w:szCs w:val="2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b/>
          <w:sz w:val="23"/>
          <w:szCs w:val="23"/>
        </w:rPr>
      </w:pPr>
      <w:r>
        <w:rPr>
          <w:rFonts w:cs="Book Antiqua;Cambria" w:ascii="Book Antiqua;Cambria" w:hAnsi="Book Antiqua;Cambria"/>
          <w:b/>
          <w:sz w:val="23"/>
          <w:szCs w:val="23"/>
        </w:rPr>
      </w:r>
    </w:p>
    <w:p>
      <w:pPr>
        <w:pStyle w:val="Normal"/>
        <w:rPr/>
      </w:pPr>
      <w:r>
        <w:rPr>
          <w:rFonts w:cs="Book Antiqua;Cambria" w:ascii="Book Antiqua;Cambria" w:hAnsi="Book Antiqua;Cambria"/>
          <w:sz w:val="23"/>
          <w:szCs w:val="23"/>
        </w:rPr>
        <w:t>*Rifampin stains contact lenses and turns urine orange-red.  Rifampin is contraindicated during  pregnancy.</w:t>
      </w:r>
    </w:p>
    <w:p>
      <w:pPr>
        <w:pStyle w:val="Normal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</w:r>
    </w:p>
    <w:p>
      <w:pPr>
        <w:pStyle w:val="Normal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>**In households where one or more contact is &lt;4 y.o. and not fully vaccinated against Hib, is &lt;12 mo, or is an immunocompromised child, prophylaxis is recommended for all members, regardless of age.</w:t>
      </w:r>
    </w:p>
    <w:p>
      <w:pPr>
        <w:pStyle w:val="Normal"/>
        <w:rPr>
          <w:rFonts w:ascii="Book Antiqua;Cambria" w:hAnsi="Book Antiqua;Cambria" w:cs="Book Antiqua;Cambria"/>
          <w:sz w:val="23"/>
          <w:szCs w:val="23"/>
        </w:rPr>
      </w:pPr>
      <w:r>
        <w:rPr>
          <w:rFonts w:cs="Book Antiqua;Cambria" w:ascii="Book Antiqua;Cambria" w:hAnsi="Book Antiqua;Cambria"/>
          <w:sz w:val="23"/>
          <w:szCs w:val="23"/>
        </w:rPr>
        <w:t>-  Prophylaxis is not recommended for pregnant women.</w:t>
      </w:r>
    </w:p>
    <w:p>
      <w:pPr>
        <w:pStyle w:val="Normal"/>
        <w:widowControl/>
        <w:bidi w:val="0"/>
        <w:spacing w:lineRule="auto" w:line="276" w:before="0" w:after="200"/>
        <w:rPr/>
      </w:pPr>
      <w:r>
        <w:rPr>
          <w:rFonts w:cs="Book Antiqua;Cambria" w:ascii="Book Antiqua;Cambria" w:hAnsi="Book Antiqua;Cambria"/>
          <w:sz w:val="23"/>
          <w:szCs w:val="23"/>
        </w:rPr>
        <w:t xml:space="preserve">***not licensed for people </w:t>
      </w:r>
      <w:r>
        <w:rPr>
          <w:rFonts w:eastAsia="Symbol" w:cs="Symbol" w:ascii="Symbol" w:hAnsi="Symbol"/>
          <w:sz w:val="23"/>
          <w:szCs w:val="23"/>
        </w:rPr>
        <w:sym w:font="Symbol" w:char="f03c"/>
      </w:r>
      <w:r>
        <w:rPr>
          <w:rFonts w:cs="Book Antiqua;Cambria" w:ascii="Book Antiqua;Cambria" w:hAnsi="Book Antiqua;Cambria"/>
          <w:sz w:val="23"/>
          <w:szCs w:val="23"/>
        </w:rPr>
        <w:t>18 y of age.</w:t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altName w:val="Cambria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rFonts w:ascii="Book Antiqua;Cambria" w:hAnsi="Book Antiqua;Cambria" w:cs="Book Antiqua;Cambria"/>
        <w:b/>
        <w:sz w:val="23"/>
        <w:szCs w:val="23"/>
      </w:rPr>
    </w:pPr>
    <w:r>
      <w:rPr>
        <w:rFonts w:cs="Book Antiqua;Cambria" w:ascii="Book Antiqua;Cambria" w:hAnsi="Book Antiqua;Cambria"/>
        <w:b/>
        <w:sz w:val="23"/>
        <w:szCs w:val="23"/>
      </w:rPr>
      <w:t>REFERENCES:</w:t>
    </w:r>
  </w:p>
  <w:p>
    <w:pPr>
      <w:pStyle w:val="ListParagraph"/>
      <w:numPr>
        <w:ilvl w:val="0"/>
        <w:numId w:val="1"/>
      </w:numPr>
      <w:jc w:val="both"/>
      <w:rPr>
        <w:rFonts w:ascii="Book Antiqua;Cambria" w:hAnsi="Book Antiqua;Cambria" w:cs="Book Antiqua;Cambria"/>
        <w:sz w:val="23"/>
        <w:szCs w:val="23"/>
      </w:rPr>
    </w:pPr>
    <w:r>
      <w:rPr>
        <w:rFonts w:cs="Book Antiqua;Cambria" w:ascii="Book Antiqua;Cambria" w:hAnsi="Book Antiqua;Cambria"/>
        <w:sz w:val="23"/>
        <w:szCs w:val="23"/>
      </w:rPr>
      <w:t>Am. Academy of Pediatrics "Report of the Committee on Infectious Diseases - The Red Book,"  2018-2021</w:t>
    </w:r>
  </w:p>
  <w:p>
    <w:pPr>
      <w:pStyle w:val="Footer"/>
      <w:rPr>
        <w:rFonts w:ascii="Book Antiqua;Cambria" w:hAnsi="Book Antiqua;Cambria" w:cs="Book Antiqua;Cambria"/>
        <w:sz w:val="23"/>
        <w:szCs w:val="23"/>
      </w:rPr>
    </w:pPr>
    <w:r>
      <w:rPr>
        <w:rFonts w:cs="Book Antiqua;Cambria" w:ascii="Book Antiqua;Cambria" w:hAnsi="Book Antiqua;Cambria"/>
        <w:sz w:val="23"/>
        <w:szCs w:val="23"/>
      </w:rPr>
    </w:r>
  </w:p>
  <w:p>
    <w:pPr>
      <w:pStyle w:val="Normal"/>
      <w:spacing w:before="0" w:after="200"/>
      <w:ind w:start="720" w:end="0"/>
      <w:jc w:val="center"/>
      <w:rPr/>
    </w:pPr>
    <w:r>
      <w:rPr>
        <w:rFonts w:cs="Book Antiqua;Cambria" w:ascii="Book Antiqua;Cambria" w:hAnsi="Book Antiqua;Cambri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0"/>
    </w:rPr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widowControl w:val="false"/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</w:rPr>
  </w:style>
  <w:style w:type="paragraph" w:styleId="ListParagraph">
    <w:name w:val="List Paragraph"/>
    <w:basedOn w:val="Normal"/>
    <w:qFormat/>
    <w:pPr>
      <w:widowControl w:val="false"/>
      <w:spacing w:lineRule="auto" w:line="240" w:before="0" w:after="0"/>
      <w:ind w:hanging="0" w:start="720" w:end="0"/>
    </w:pPr>
    <w:rPr>
      <w:rFonts w:ascii="Times New Roman" w:hAnsi="Times New Roman" w:eastAsia="Times New Roman" w:cs="Times New Roman"/>
      <w:sz w:val="24"/>
      <w:szCs w:val="20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2021-03-24T09:59:00Z</dcterms:created>
  <dc:creator>Mangahis, Marvin</dc:creator>
  <dc:description/>
  <cp:keywords/>
  <dc:language>en-US</dc:language>
  <cp:lastModifiedBy>Huynh, Fuong</cp:lastModifiedBy>
  <dcterms:modified xsi:type="dcterms:W3CDTF">2021-06-28T06:07:00Z</dcterms:modified>
  <cp:revision>7</cp:revision>
  <dc:subject/>
  <dc:title>IC-604.1  Appendix A Dosing Guidance for Haemophilus Influenzae and or Meningococcal Post Exposure Prophylaxis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P7DPTVDAPRN7-27-6488</vt:lpwstr>
  </property>
  <property fmtid="{D5CDD505-2E9C-101B-9397-08002B2CF9AE}" pid="3" name="_dlc_DocIdItemGuid">
    <vt:lpwstr>8b2ffe44-0225-479a-801f-54d905e5f7db</vt:lpwstr>
  </property>
  <property fmtid="{D5CDD505-2E9C-101B-9397-08002B2CF9AE}" pid="4" name="_dlc_DocIdPersistId">
    <vt:lpwstr/>
  </property>
  <property fmtid="{D5CDD505-2E9C-101B-9397-08002B2CF9AE}" pid="5" name="_dlc_DocIdUrl">
    <vt:lpwstr>https://sharepoint.chla.usc.edu/depts/medstaff/QIC/_layouts/15/DocIdRedir.aspx?ID=P7DPTVDAPRN7-27-6488, P7DPTVDAPRN7-27-6488</vt:lpwstr>
  </property>
</Properties>
</file>