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ind w:start="360" w:end="0"/>
        <w:rPr>
          <w:rFonts w:ascii="Book Antiqua" w:hAnsi="Book Antiqua" w:cs="Book Antiqua"/>
          <w:sz w:val="23"/>
          <w:szCs w:val="23"/>
        </w:rPr>
      </w:pPr>
      <w:r>
        <w:rPr>
          <w:rFonts w:cs="Book Antiqua" w:ascii="Book Antiqua" w:hAnsi="Book Antiqua"/>
          <w:sz w:val="23"/>
          <w:szCs w:val="23"/>
        </w:rPr>
        <w:t>The purpose of the following policy is to identify transmission sources of infectious diseases of concern to the pregnant HCW and to establish guidelines to determine necessity for work reassignment or restriction.</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 xml:space="preserve">PROCEDURES: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ind w:start="360" w:end="0"/>
        <w:rPr>
          <w:rFonts w:ascii="Book Antiqua" w:hAnsi="Book Antiqua" w:cs="Book Antiqua"/>
          <w:sz w:val="23"/>
          <w:szCs w:val="23"/>
        </w:rPr>
      </w:pPr>
      <w:r>
        <w:rPr>
          <w:rFonts w:cs="Book Antiqua" w:ascii="Book Antiqua" w:hAnsi="Book Antiqua"/>
          <w:sz w:val="23"/>
          <w:szCs w:val="23"/>
        </w:rPr>
        <w:t>Pregnant employees must comply with Standard Precautions and Transmission-based Precautions (refer to Policy IC – 220</w:t>
      </w:r>
      <w:r>
        <w:rPr>
          <w:rStyle w:val="Hyperlink"/>
          <w:rFonts w:cs="Book Antiqua" w:ascii="Book Antiqua" w:hAnsi="Book Antiqua"/>
          <w:color w:val="000000"/>
          <w:sz w:val="23"/>
          <w:szCs w:val="23"/>
          <w:u w:val="none"/>
        </w:rPr>
        <w:t>.0</w:t>
      </w:r>
      <w:r>
        <w:rPr>
          <w:rFonts w:cs="Book Antiqua" w:ascii="Book Antiqua" w:hAnsi="Book Antiqua"/>
          <w:sz w:val="23"/>
          <w:szCs w:val="23"/>
        </w:rPr>
        <w:t xml:space="preserve"> and Policy IC – 301</w:t>
      </w:r>
      <w:r>
        <w:rPr>
          <w:rStyle w:val="Hyperlink"/>
          <w:rFonts w:cs="Book Antiqua" w:ascii="Book Antiqua" w:hAnsi="Book Antiqua"/>
          <w:color w:val="000000"/>
          <w:sz w:val="23"/>
          <w:szCs w:val="23"/>
          <w:u w:val="none"/>
        </w:rPr>
        <w:t>.0</w:t>
      </w:r>
      <w:r>
        <w:rPr>
          <w:rFonts w:cs="Book Antiqua" w:ascii="Book Antiqua" w:hAnsi="Book Antiqua"/>
          <w:sz w:val="23"/>
          <w:szCs w:val="23"/>
        </w:rPr>
        <w:t>). Consistent adherence to these precautions provides pregnant HCWs protection from exposure to infections.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ind w:start="360" w:end="0"/>
        <w:rPr>
          <w:rFonts w:ascii="Book Antiqua" w:hAnsi="Book Antiqua" w:cs="Book Antiqua"/>
          <w:sz w:val="23"/>
          <w:szCs w:val="23"/>
        </w:rPr>
      </w:pPr>
      <w:r>
        <w:rPr>
          <w:rFonts w:cs="Book Antiqua" w:ascii="Book Antiqua" w:hAnsi="Book Antiqua"/>
          <w:sz w:val="23"/>
          <w:szCs w:val="23"/>
        </w:rPr>
        <w:t xml:space="preserve">All CHLA employees with questions or concerns related to work restriction or reassignment should refer to the attached table.  </w:t>
      </w:r>
    </w:p>
    <w:p>
      <w:pPr>
        <w:pStyle w:val="Normal"/>
        <w:ind w:start="360" w:end="0"/>
        <w:rPr>
          <w:rFonts w:ascii="Book Antiqua" w:hAnsi="Book Antiqua" w:cs="Book Antiqua"/>
          <w:sz w:val="23"/>
          <w:szCs w:val="23"/>
        </w:rPr>
      </w:pPr>
      <w:r>
        <w:rPr>
          <w:rFonts w:cs="Book Antiqua" w:ascii="Book Antiqua" w:hAnsi="Book Antiqua"/>
          <w:sz w:val="23"/>
          <w:szCs w:val="23"/>
        </w:rPr>
      </w:r>
    </w:p>
    <w:p>
      <w:pPr>
        <w:pStyle w:val="Normal"/>
        <w:ind w:start="360" w:end="0"/>
        <w:rPr>
          <w:rFonts w:ascii="Book Antiqua" w:hAnsi="Book Antiqua" w:cs="Book Antiqua"/>
          <w:sz w:val="23"/>
          <w:szCs w:val="23"/>
        </w:rPr>
      </w:pPr>
      <w:r>
        <w:rPr>
          <w:rFonts w:cs="Book Antiqua" w:ascii="Book Antiqua" w:hAnsi="Book Antiqua"/>
          <w:sz w:val="23"/>
          <w:szCs w:val="23"/>
        </w:rPr>
        <w:t>Individual consideration or request for accommodation should be addressed through the Unit/ Divisional/Department Managers and submitted to Human Resources via the Leader Resource Center.</w:t>
      </w:r>
    </w:p>
    <w:p>
      <w:pPr>
        <w:pStyle w:val="Normal"/>
        <w:jc w:val="both"/>
        <w:rPr>
          <w:rFonts w:ascii="Book Antiqua" w:hAnsi="Book Antiqua" w:cs="Book Antiqua"/>
          <w:sz w:val="23"/>
          <w:szCs w:val="23"/>
        </w:rPr>
      </w:pPr>
      <w:r>
        <w:rPr>
          <w:rFonts w:cs="Book Antiqua" w:ascii="Book Antiqua" w:hAnsi="Book Antiqua"/>
          <w:sz w:val="23"/>
          <w:szCs w:val="23"/>
        </w:rPr>
      </w:r>
    </w:p>
    <w:tbl>
      <w:tblPr>
        <w:tblpPr w:vertAnchor="text" w:horzAnchor="margin" w:tblpXSpec="center" w:leftFromText="180" w:rightFromText="180" w:tblpY="56"/>
        <w:tblW w:w="5000" w:type="pct"/>
        <w:jc w:val="start"/>
        <w:tblInd w:w="108" w:type="dxa"/>
        <w:tblLayout w:type="fixed"/>
        <w:tblCellMar>
          <w:top w:w="0" w:type="dxa"/>
          <w:start w:w="108" w:type="dxa"/>
          <w:bottom w:w="0" w:type="dxa"/>
          <w:end w:w="108" w:type="dxa"/>
        </w:tblCellMar>
      </w:tblPr>
      <w:tblGrid>
        <w:gridCol w:w="2320"/>
        <w:gridCol w:w="2980"/>
        <w:gridCol w:w="5158"/>
      </w:tblGrid>
      <w:tr>
        <w:trPr>
          <w:trHeight w:val="315" w:hRule="atLeast"/>
        </w:trPr>
        <w:tc>
          <w:tcPr>
            <w:tcW w:w="2320" w:type="dxa"/>
            <w:tcBorders>
              <w:top w:val="single" w:sz="4" w:space="0" w:color="000000"/>
              <w:start w:val="single" w:sz="4" w:space="0" w:color="000000"/>
              <w:bottom w:val="single" w:sz="4" w:space="0" w:color="000000"/>
              <w:end w:val="single" w:sz="4" w:space="0" w:color="000000"/>
            </w:tcBorders>
            <w:vAlign w:val="bottom"/>
          </w:tcPr>
          <w:p>
            <w:pPr>
              <w:pStyle w:val="Normal"/>
              <w:jc w:val="both"/>
              <w:rPr>
                <w:rFonts w:ascii="Book Antiqua" w:hAnsi="Book Antiqua" w:cs="Book Antiqua"/>
                <w:b/>
                <w:bCs/>
                <w:sz w:val="23"/>
                <w:szCs w:val="23"/>
              </w:rPr>
            </w:pPr>
            <w:r>
              <w:rPr>
                <w:rFonts w:cs="Book Antiqua" w:ascii="Book Antiqua" w:hAnsi="Book Antiqua"/>
                <w:b/>
                <w:bCs/>
                <w:sz w:val="23"/>
                <w:szCs w:val="23"/>
              </w:rPr>
              <w:t>Disease</w:t>
            </w:r>
          </w:p>
        </w:tc>
        <w:tc>
          <w:tcPr>
            <w:tcW w:w="2980" w:type="dxa"/>
            <w:tcBorders>
              <w:top w:val="single" w:sz="4" w:space="0" w:color="000000"/>
              <w:bottom w:val="single" w:sz="4" w:space="0" w:color="000000"/>
              <w:end w:val="single" w:sz="4" w:space="0" w:color="000000"/>
            </w:tcBorders>
            <w:vAlign w:val="bottom"/>
          </w:tcPr>
          <w:p>
            <w:pPr>
              <w:pStyle w:val="Normal"/>
              <w:jc w:val="both"/>
              <w:rPr>
                <w:rFonts w:ascii="Book Antiqua" w:hAnsi="Book Antiqua" w:cs="Book Antiqua"/>
                <w:b/>
                <w:bCs/>
                <w:sz w:val="23"/>
                <w:szCs w:val="23"/>
              </w:rPr>
            </w:pPr>
            <w:r>
              <w:rPr>
                <w:rFonts w:cs="Book Antiqua" w:ascii="Book Antiqua" w:hAnsi="Book Antiqua"/>
                <w:b/>
                <w:bCs/>
                <w:sz w:val="23"/>
                <w:szCs w:val="23"/>
              </w:rPr>
              <w:t>Restrictions</w:t>
            </w:r>
          </w:p>
        </w:tc>
        <w:tc>
          <w:tcPr>
            <w:tcW w:w="5158" w:type="dxa"/>
            <w:tcBorders>
              <w:top w:val="single" w:sz="4" w:space="0" w:color="000000"/>
              <w:bottom w:val="single" w:sz="4" w:space="0" w:color="000000"/>
              <w:end w:val="single" w:sz="4" w:space="0" w:color="000000"/>
            </w:tcBorders>
            <w:vAlign w:val="bottom"/>
          </w:tcPr>
          <w:p>
            <w:pPr>
              <w:pStyle w:val="Normal"/>
              <w:jc w:val="both"/>
              <w:rPr>
                <w:rFonts w:ascii="Book Antiqua" w:hAnsi="Book Antiqua" w:cs="Book Antiqua"/>
                <w:b/>
                <w:bCs/>
                <w:sz w:val="23"/>
                <w:szCs w:val="23"/>
              </w:rPr>
            </w:pPr>
            <w:r>
              <w:rPr>
                <w:rFonts w:cs="Book Antiqua" w:ascii="Book Antiqua" w:hAnsi="Book Antiqua"/>
                <w:b/>
                <w:bCs/>
                <w:sz w:val="23"/>
                <w:szCs w:val="23"/>
              </w:rPr>
              <w:t>Comments</w:t>
            </w:r>
          </w:p>
        </w:tc>
      </w:tr>
      <w:tr>
        <w:trPr>
          <w:trHeight w:val="18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AIDS, ARC, Asymptomatic HIV Infection</w:t>
            </w:r>
          </w:p>
        </w:tc>
        <w:tc>
          <w:tcPr>
            <w:tcW w:w="2980" w:type="dxa"/>
            <w:tcBorders>
              <w:bottom w:val="single" w:sz="4" w:space="0" w:color="000000"/>
              <w:end w:val="single" w:sz="4" w:space="0" w:color="000000"/>
            </w:tcBorders>
          </w:tcPr>
          <w:p>
            <w:pPr>
              <w:pStyle w:val="Normal"/>
              <w:rPr/>
            </w:pPr>
            <w:r>
              <w:rPr>
                <w:rFonts w:cs="Book Antiqua" w:ascii="Book Antiqua" w:hAnsi="Book Antiqua"/>
                <w:b/>
                <w:bCs/>
                <w:sz w:val="23"/>
                <w:szCs w:val="23"/>
              </w:rPr>
              <w:t>No Restrictions</w:t>
            </w:r>
          </w:p>
          <w:p>
            <w:pPr>
              <w:pStyle w:val="Normal"/>
              <w:rPr>
                <w:rFonts w:ascii="Book Antiqua" w:hAnsi="Book Antiqua" w:cs="Book Antiqua"/>
                <w:sz w:val="23"/>
                <w:szCs w:val="23"/>
              </w:rPr>
            </w:pPr>
            <w:r>
              <w:rPr>
                <w:rFonts w:cs="Book Antiqua" w:ascii="Book Antiqua" w:hAnsi="Book Antiqua"/>
                <w:b/>
                <w:bCs/>
                <w:sz w:val="23"/>
                <w:szCs w:val="23"/>
              </w:rPr>
              <w:t xml:space="preserve">or re-assignment </w:t>
            </w:r>
            <w:r>
              <w:rPr>
                <w:rFonts w:cs="Book Antiqua" w:ascii="Book Antiqua" w:hAnsi="Book Antiqua"/>
                <w:sz w:val="23"/>
                <w:szCs w:val="23"/>
              </w:rPr>
              <w:t xml:space="preserve">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Does not occur via casual contact. HIV is either transmitted via sexual contact; blood transfusion or shared blood, contaminated needles; or from infected mother to her unborn child. In the health care setting, most transmission occurs through injury by contaminated sharps</w:t>
            </w:r>
          </w:p>
        </w:tc>
      </w:tr>
      <w:tr>
        <w:trPr>
          <w:trHeight w:val="44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SARS-CoV2</w:t>
            </w:r>
          </w:p>
          <w:p>
            <w:pPr>
              <w:pStyle w:val="Normal"/>
              <w:rPr>
                <w:rFonts w:ascii="Book Antiqua" w:hAnsi="Book Antiqua" w:cs="Book Antiqua"/>
                <w:b/>
                <w:bCs/>
                <w:sz w:val="23"/>
                <w:szCs w:val="23"/>
              </w:rPr>
            </w:pPr>
            <w:r>
              <w:rPr>
                <w:rFonts w:cs="Book Antiqua" w:ascii="Book Antiqua" w:hAnsi="Book Antiqua"/>
                <w:b/>
                <w:bCs/>
                <w:sz w:val="23"/>
                <w:szCs w:val="23"/>
              </w:rPr>
              <w:t>(COVID-19)</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No Restrictions or re-assignment necessary for pregnant employees.</w:t>
            </w:r>
          </w:p>
          <w:p>
            <w:pPr>
              <w:pStyle w:val="Normal"/>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Combined-Eyewear Precautions</w:t>
            </w:r>
          </w:p>
        </w:tc>
        <w:tc>
          <w:tcPr>
            <w:tcW w:w="5158"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 xml:space="preserve">Transmission: Please see </w:t>
            </w:r>
            <w:hyperlink r:id="rId2">
              <w:r>
                <w:rPr>
                  <w:rStyle w:val="Hyperlink"/>
                  <w:rFonts w:cs="Book Antiqua" w:ascii="Book Antiqua" w:hAnsi="Book Antiqua"/>
                  <w:sz w:val="23"/>
                  <w:szCs w:val="23"/>
                </w:rPr>
                <w:t>https://www.cdc.gov/coronavirus/2019-ncov/prevent-getting-sick/how-covid-spreads.html</w:t>
              </w:r>
            </w:hyperlink>
            <w:r>
              <w:rPr>
                <w:rFonts w:cs="Book Antiqua" w:ascii="Book Antiqua" w:hAnsi="Book Antiqua"/>
                <w:sz w:val="23"/>
                <w:szCs w:val="23"/>
              </w:rPr>
              <w:t xml:space="preserve"> for most updated evidence to the spread of COVID-19.</w:t>
            </w:r>
          </w:p>
          <w:p>
            <w:pPr>
              <w:pStyle w:val="Normal"/>
              <w:rPr>
                <w:rFonts w:ascii="Book Antiqua" w:hAnsi="Book Antiqua" w:cs="Book Antiqua"/>
                <w:sz w:val="23"/>
                <w:szCs w:val="23"/>
              </w:rPr>
            </w:pPr>
            <w:r>
              <w:rPr>
                <w:rFonts w:cs="Book Antiqua" w:ascii="Book Antiqua" w:hAnsi="Book Antiqua"/>
                <w:sz w:val="23"/>
                <w:szCs w:val="23"/>
              </w:rPr>
            </w:r>
          </w:p>
        </w:tc>
      </w:tr>
      <w:tr>
        <w:trPr>
          <w:trHeight w:val="24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Cytomegalovirus (CMV)</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No Restrictions</w:t>
            </w:r>
          </w:p>
          <w:p>
            <w:pPr>
              <w:pStyle w:val="Normal"/>
              <w:rPr>
                <w:rFonts w:ascii="Book Antiqua" w:hAnsi="Book Antiqua" w:cs="Book Antiqua"/>
                <w:sz w:val="23"/>
                <w:szCs w:val="23"/>
              </w:rPr>
            </w:pPr>
            <w:r>
              <w:rPr>
                <w:rFonts w:cs="Book Antiqua" w:ascii="Book Antiqua" w:hAnsi="Book Antiqua"/>
                <w:b/>
                <w:bCs/>
                <w:sz w:val="23"/>
                <w:szCs w:val="23"/>
              </w:rPr>
              <w:t xml:space="preserve">or re-assignment </w:t>
            </w:r>
            <w:r>
              <w:rPr>
                <w:rFonts w:cs="Book Antiqua" w:ascii="Book Antiqua" w:hAnsi="Book Antiqua"/>
                <w:sz w:val="23"/>
                <w:szCs w:val="23"/>
              </w:rPr>
              <w:t>necessary for pregnant employees. Employee should be counseled on appropriate application of</w:t>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Transmission: Person to person via sexual contact or by direct contact with infected urine, saliva, semen, vaginal secretions, or breast milk. CMV is ubiquitous, usually asymptomatic. Studies of HCW have not shown transmission of CMV from patients to personnel. No vaccine is available for CMV and consistent adherence to Standard Precautions is recommended.</w:t>
            </w:r>
          </w:p>
        </w:tc>
      </w:tr>
      <w:tr>
        <w:trPr>
          <w:trHeight w:val="36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Hepatitis B Infection (HBV)</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No Restrictions </w:t>
            </w:r>
          </w:p>
          <w:p>
            <w:pPr>
              <w:pStyle w:val="Normal"/>
              <w:rPr>
                <w:rFonts w:ascii="Book Antiqua" w:hAnsi="Book Antiqua" w:cs="Book Antiqua"/>
                <w:sz w:val="23"/>
                <w:szCs w:val="23"/>
              </w:rPr>
            </w:pPr>
            <w:r>
              <w:rPr>
                <w:rFonts w:cs="Book Antiqua" w:ascii="Book Antiqua" w:hAnsi="Book Antiqua"/>
                <w:b/>
                <w:bCs/>
                <w:sz w:val="23"/>
                <w:szCs w:val="23"/>
              </w:rPr>
              <w:t>or re-assignment</w:t>
            </w:r>
            <w:r>
              <w:rPr>
                <w:rFonts w:cs="Book Antiqua" w:ascii="Book Antiqua" w:hAnsi="Book Antiqua"/>
                <w:sz w:val="23"/>
                <w:szCs w:val="23"/>
              </w:rPr>
              <w:t xml:space="preserve"> necessary for pregnant employees. However, employees who are regularly in contact with blood/body fluids or contaminated needles are strongly encouraged to receive hepatitis B vaccine which is offered at no cost through EHS.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Does not occur via casual contact. HBV is either transmitted via sexual contact; blood transfusion or shared blood, contaminated needles; or from infected mother to her unborn child. In the health care setting, the greatest risk of transmission is through injury related to contaminated sharps.</w:t>
            </w:r>
          </w:p>
        </w:tc>
      </w:tr>
      <w:tr>
        <w:trPr>
          <w:trHeight w:val="42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Hepatitis C </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No Restrictions</w:t>
            </w:r>
          </w:p>
          <w:p>
            <w:pPr>
              <w:pStyle w:val="Normal"/>
              <w:rPr>
                <w:rFonts w:ascii="Book Antiqua" w:hAnsi="Book Antiqua" w:cs="Book Antiqua"/>
                <w:sz w:val="23"/>
                <w:szCs w:val="23"/>
              </w:rPr>
            </w:pPr>
            <w:r>
              <w:rPr>
                <w:rFonts w:cs="Book Antiqua" w:ascii="Book Antiqua" w:hAnsi="Book Antiqua"/>
                <w:b/>
                <w:bCs/>
                <w:sz w:val="23"/>
                <w:szCs w:val="23"/>
              </w:rPr>
              <w:t>or re-assignment</w:t>
            </w:r>
            <w:r>
              <w:rPr>
                <w:rFonts w:cs="Book Antiqua" w:ascii="Book Antiqua" w:hAnsi="Book Antiqua"/>
                <w:sz w:val="23"/>
                <w:szCs w:val="23"/>
              </w:rPr>
              <w:t xml:space="preserve"> 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 xml:space="preserve">Transmission: Does not occur via casual contact. According to the CDC, People can become infected with the Hepatitis C virus during such activities as </w:t>
              <w:br/>
              <w:t>•Sharing needles, syringes, or other equipment to inject drugs</w:t>
              <w:br/>
              <w:t xml:space="preserve">•Needlestick injuries in health care settings </w:t>
              <w:br/>
              <w:t>•Being born to a mother who has Hepatitis C</w:t>
              <w:br/>
              <w:t xml:space="preserve">Less commonly, a person can also get Hepatitis C virus infection through </w:t>
              <w:br/>
              <w:t xml:space="preserve">•Sharing personal care items that may have come in contact with another person’s blood, such as razors or toothbrushes </w:t>
              <w:br/>
              <w:t>•Having sexual contact with a person infected with the Hepatitis C virus</w:t>
            </w:r>
          </w:p>
        </w:tc>
      </w:tr>
      <w:tr>
        <w:trPr>
          <w:trHeight w:val="15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Influenza</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No Restrictions </w:t>
            </w:r>
          </w:p>
          <w:p>
            <w:pPr>
              <w:pStyle w:val="Normal"/>
              <w:rPr>
                <w:rFonts w:ascii="Book Antiqua" w:hAnsi="Book Antiqua" w:cs="Book Antiqua"/>
                <w:sz w:val="23"/>
                <w:szCs w:val="23"/>
              </w:rPr>
            </w:pPr>
            <w:r>
              <w:rPr>
                <w:rFonts w:cs="Book Antiqua" w:ascii="Book Antiqua" w:hAnsi="Book Antiqua"/>
                <w:b/>
                <w:bCs/>
                <w:sz w:val="23"/>
                <w:szCs w:val="23"/>
              </w:rPr>
              <w:t xml:space="preserve">or re-assignment </w:t>
            </w:r>
            <w:r>
              <w:rPr>
                <w:rFonts w:cs="Book Antiqua" w:ascii="Book Antiqua" w:hAnsi="Book Antiqua"/>
                <w:sz w:val="23"/>
                <w:szCs w:val="23"/>
              </w:rPr>
              <w:t xml:space="preserve">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Combined-Droplet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All pregnant HCWs are recommended to be immunized with the annual influenza vaccine (safe during pregnancy)</w:t>
            </w:r>
          </w:p>
        </w:tc>
      </w:tr>
      <w:tr>
        <w:trPr>
          <w:trHeight w:val="15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Monkeypox</w:t>
            </w:r>
          </w:p>
        </w:tc>
        <w:tc>
          <w:tcPr>
            <w:tcW w:w="2980" w:type="dxa"/>
            <w:tcBorders>
              <w:bottom w:val="single" w:sz="4" w:space="0" w:color="000000"/>
              <w:end w:val="single" w:sz="4" w:space="0" w:color="000000"/>
            </w:tcBorders>
          </w:tcPr>
          <w:p>
            <w:pPr>
              <w:pStyle w:val="Normal"/>
              <w:rPr/>
            </w:pPr>
            <w:r>
              <w:rPr>
                <w:rFonts w:cs="Book Antiqua" w:ascii="Book Antiqua" w:hAnsi="Book Antiqua"/>
                <w:b/>
                <w:bCs/>
                <w:sz w:val="23"/>
                <w:szCs w:val="23"/>
              </w:rPr>
              <w:t>Restrictions:</w:t>
            </w:r>
          </w:p>
          <w:p>
            <w:pPr>
              <w:pStyle w:val="Normal"/>
              <w:rPr>
                <w:rFonts w:ascii="Book Antiqua" w:hAnsi="Book Antiqua" w:cs="Book Antiqua"/>
                <w:sz w:val="23"/>
                <w:szCs w:val="23"/>
              </w:rPr>
            </w:pPr>
            <w:r>
              <w:rPr>
                <w:rFonts w:cs="Book Antiqua" w:ascii="Book Antiqua" w:hAnsi="Book Antiqua"/>
                <w:sz w:val="23"/>
                <w:szCs w:val="23"/>
              </w:rPr>
              <w:t>Pregnant employees should not care for Monkeypox PUIs or confirmed cases.</w:t>
            </w:r>
          </w:p>
          <w:p>
            <w:pPr>
              <w:pStyle w:val="Normal"/>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SP-Eyewear Precautions</w:t>
            </w:r>
          </w:p>
        </w:tc>
        <w:tc>
          <w:tcPr>
            <w:tcW w:w="5158" w:type="dxa"/>
            <w:tcBorders>
              <w:bottom w:val="single" w:sz="4" w:space="0" w:color="000000"/>
              <w:end w:val="single" w:sz="4" w:space="0" w:color="000000"/>
            </w:tcBorders>
          </w:tcPr>
          <w:p>
            <w:pPr>
              <w:pStyle w:val="Normal"/>
              <w:rPr>
                <w:rFonts w:ascii="Book Antiqua" w:hAnsi="Book Antiqua" w:cs="Book Antiqua"/>
                <w:szCs w:val="24"/>
              </w:rPr>
            </w:pPr>
            <w:r>
              <w:rPr>
                <w:rFonts w:cs="Book Antiqua" w:ascii="Book Antiqua" w:hAnsi="Book Antiqua"/>
                <w:szCs w:val="24"/>
              </w:rPr>
              <w:t xml:space="preserve">Transmission: </w:t>
            </w:r>
            <w:r>
              <w:rPr>
                <w:rFonts w:eastAsia="Calibri" w:cs="Book Antiqua" w:ascii="Book Antiqua" w:hAnsi="Book Antiqua"/>
                <w:color w:val="000000"/>
                <w:kern w:val="2"/>
                <w:szCs w:val="24"/>
              </w:rPr>
              <w:t xml:space="preserve"> Because of evidence that the disease c</w:t>
            </w:r>
            <w:r>
              <w:rPr>
                <w:rFonts w:cs="Book Antiqua" w:ascii="Book Antiqua" w:hAnsi="Book Antiqua"/>
                <w:szCs w:val="24"/>
              </w:rPr>
              <w:t>an be transmitted vertically through the placenta and may cause complications in pregnancy, pregnant personnel should be restricted from clinical care of Monkeypox PUIs and confirmed cases.</w:t>
            </w:r>
          </w:p>
          <w:p>
            <w:pPr>
              <w:pStyle w:val="Normal"/>
              <w:rPr>
                <w:rFonts w:ascii="Book Antiqua" w:hAnsi="Book Antiqua" w:cs="Book Antiqua"/>
                <w:szCs w:val="24"/>
              </w:rPr>
            </w:pPr>
            <w:r>
              <w:rPr>
                <w:rFonts w:cs="Book Antiqua" w:ascii="Book Antiqua" w:hAnsi="Book Antiqua"/>
                <w:szCs w:val="24"/>
              </w:rPr>
            </w:r>
          </w:p>
          <w:p>
            <w:pPr>
              <w:pStyle w:val="Normal"/>
              <w:rPr>
                <w:rFonts w:ascii="Book Antiqua" w:hAnsi="Book Antiqua" w:cs="Book Antiqua"/>
                <w:szCs w:val="24"/>
              </w:rPr>
            </w:pPr>
            <w:r>
              <w:rPr>
                <w:rStyle w:val="normaltextrun"/>
                <w:rFonts w:cs="Segoe UI" w:ascii="Book Antiqua" w:hAnsi="Book Antiqua"/>
                <w:shd w:fill="FFFFFF" w:val="clear"/>
              </w:rPr>
              <w:t> </w:t>
            </w:r>
            <w:r>
              <w:rPr>
                <w:rStyle w:val="normaltextrun"/>
                <w:rFonts w:cs="Segoe UI" w:ascii="Book Antiqua" w:hAnsi="Book Antiqua"/>
                <w:shd w:fill="FFFFFF" w:val="clear"/>
              </w:rPr>
              <w:t xml:space="preserve">Please see </w:t>
            </w:r>
            <w:hyperlink r:id="rId3" w:tgtFrame="_blank">
              <w:r>
                <w:rPr>
                  <w:rStyle w:val="Hyperlink"/>
                  <w:rFonts w:cs="Segoe UI" w:ascii="Book Antiqua" w:hAnsi="Book Antiqua"/>
                  <w:color w:val="000000"/>
                  <w:u w:val="single"/>
                  <w:shd w:fill="E1E3E6" w:val="clear"/>
                </w:rPr>
                <w:t>www.cdc.gov/poxvirus/monkeypox/clinicians/pregnancy.html</w:t>
              </w:r>
            </w:hyperlink>
            <w:r>
              <w:rPr>
                <w:rStyle w:val="normaltextrun"/>
                <w:rFonts w:cs="Segoe UI" w:ascii="Book Antiqua" w:hAnsi="Book Antiqua"/>
                <w:shd w:fill="FFFFFF" w:val="clear"/>
              </w:rPr>
              <w:t xml:space="preserve"> for most updated guidance regarding clinical considerations for Monkeypox in people who are pregnant.</w:t>
            </w:r>
          </w:p>
        </w:tc>
      </w:tr>
      <w:tr>
        <w:trPr>
          <w:trHeight w:val="15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Parvovirus B 19 (Erythema Infectiosum, Fifth's disease)</w:t>
            </w:r>
          </w:p>
        </w:tc>
        <w:tc>
          <w:tcPr>
            <w:tcW w:w="2980"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b/>
                <w:bCs/>
                <w:sz w:val="23"/>
                <w:szCs w:val="23"/>
              </w:rPr>
              <w:t>Restrictions</w:t>
            </w:r>
            <w:r>
              <w:rPr>
                <w:rFonts w:cs="Book Antiqua" w:ascii="Book Antiqua" w:hAnsi="Book Antiqua"/>
                <w:sz w:val="23"/>
                <w:szCs w:val="23"/>
              </w:rPr>
              <w:t xml:space="preserve">. </w:t>
            </w:r>
          </w:p>
          <w:p>
            <w:pPr>
              <w:pStyle w:val="Normal"/>
              <w:rPr/>
            </w:pPr>
            <w:r>
              <w:rPr>
                <w:rFonts w:cs="Book Antiqua" w:ascii="Book Antiqua" w:hAnsi="Book Antiqua"/>
                <w:sz w:val="23"/>
                <w:szCs w:val="23"/>
              </w:rPr>
              <w:t>Pregnant employees should not care for parvovirus patients with aplastic anemia crisis. They also should not take care of immunocompromised patients with chronic parvovirus infection.</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Combined-Droplet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Through direct or droplet contact from nasopharyngeal secretions; primary sites of replication are red blood cell precursors found in bone marrow</w:t>
            </w:r>
          </w:p>
        </w:tc>
      </w:tr>
      <w:tr>
        <w:trPr>
          <w:trHeight w:val="18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Respiratory syncytial virus (RSV)</w:t>
            </w:r>
          </w:p>
        </w:tc>
        <w:tc>
          <w:tcPr>
            <w:tcW w:w="2980" w:type="dxa"/>
            <w:tcBorders>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 xml:space="preserve">Limited Restrictions. </w:t>
            </w:r>
          </w:p>
          <w:p>
            <w:pPr>
              <w:pStyle w:val="Normal"/>
              <w:rPr/>
            </w:pPr>
            <w:r>
              <w:rPr>
                <w:rFonts w:cs="Book Antiqua" w:ascii="Book Antiqua" w:hAnsi="Book Antiqua"/>
                <w:b/>
                <w:sz w:val="23"/>
                <w:szCs w:val="23"/>
              </w:rPr>
              <w:t>No Restrictions</w:t>
            </w:r>
          </w:p>
          <w:p>
            <w:pPr>
              <w:pStyle w:val="Normal"/>
              <w:rPr>
                <w:rFonts w:ascii="Book Antiqua" w:hAnsi="Book Antiqua" w:cs="Book Antiqua"/>
                <w:sz w:val="23"/>
                <w:szCs w:val="23"/>
              </w:rPr>
            </w:pPr>
            <w:r>
              <w:rPr>
                <w:rFonts w:cs="Book Antiqua" w:ascii="Book Antiqua" w:hAnsi="Book Antiqua"/>
                <w:b/>
                <w:sz w:val="23"/>
                <w:szCs w:val="23"/>
              </w:rPr>
              <w:t>or re-assignment</w:t>
            </w:r>
            <w:r>
              <w:rPr>
                <w:rFonts w:cs="Book Antiqua" w:ascii="Book Antiqua" w:hAnsi="Book Antiqua"/>
                <w:bCs/>
                <w:sz w:val="23"/>
                <w:szCs w:val="23"/>
              </w:rPr>
              <w:t xml:space="preserve"> </w:t>
            </w:r>
            <w:r>
              <w:rPr>
                <w:rFonts w:cs="Book Antiqua" w:ascii="Book Antiqua" w:hAnsi="Book Antiqua"/>
                <w:sz w:val="23"/>
                <w:szCs w:val="23"/>
              </w:rPr>
              <w:t xml:space="preserve">necessary for most RSV patients. However, Pregnant employees should be restricted from caring for patients who are receiving Ribavirin treatment.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Combined-Droplet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 xml:space="preserve">Transmission: direct or droplet contact from nasopharyngeal secretions; probable self-inoculation of mucous membranes of eyes, nose and mouth from hands contaminated with virus. </w:t>
            </w:r>
          </w:p>
        </w:tc>
      </w:tr>
      <w:tr>
        <w:trPr>
          <w:trHeight w:val="36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Rubella </w:t>
            </w:r>
          </w:p>
          <w:p>
            <w:pPr>
              <w:pStyle w:val="Normal"/>
              <w:rPr/>
            </w:pPr>
            <w:r>
              <w:rPr>
                <w:rFonts w:cs="Book Antiqua" w:ascii="Book Antiqua" w:hAnsi="Book Antiqua"/>
                <w:b/>
                <w:bCs/>
                <w:sz w:val="23"/>
                <w:szCs w:val="23"/>
              </w:rPr>
              <w:t>(German Measles)</w:t>
            </w:r>
          </w:p>
        </w:tc>
        <w:tc>
          <w:tcPr>
            <w:tcW w:w="2980"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b/>
                <w:bCs/>
                <w:sz w:val="23"/>
                <w:szCs w:val="23"/>
              </w:rPr>
              <w:t>Restrictions.</w:t>
            </w:r>
            <w:r>
              <w:rPr>
                <w:rFonts w:cs="Book Antiqua" w:ascii="Book Antiqua" w:hAnsi="Book Antiqua"/>
                <w:sz w:val="23"/>
                <w:szCs w:val="23"/>
              </w:rPr>
              <w:t xml:space="preserve"> </w:t>
            </w:r>
          </w:p>
          <w:p>
            <w:pPr>
              <w:pStyle w:val="Normal"/>
              <w:rPr>
                <w:rFonts w:ascii="Book Antiqua" w:hAnsi="Book Antiqua" w:cs="Book Antiqua"/>
                <w:sz w:val="23"/>
                <w:szCs w:val="23"/>
              </w:rPr>
            </w:pPr>
            <w:r>
              <w:rPr>
                <w:rFonts w:cs="Book Antiqua" w:ascii="Book Antiqua" w:hAnsi="Book Antiqua"/>
                <w:sz w:val="23"/>
                <w:szCs w:val="23"/>
              </w:rPr>
              <w:t xml:space="preserve">All employees who are susceptible are required to receive vaccine (unless pregnant or contraindicated) prior to employment. Non-immune employees (pregnant or not pregnant) are restricted from direct patient care of known or suspected rubella or congenital rubella.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Combined-Droplet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direct contact or droplets from nasopharyngeal secretions. History of disease is sufficient evidence of immunity to rubella.</w:t>
            </w:r>
          </w:p>
        </w:tc>
      </w:tr>
      <w:tr>
        <w:trPr>
          <w:trHeight w:val="36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Rubeola </w:t>
            </w:r>
          </w:p>
          <w:p>
            <w:pPr>
              <w:pStyle w:val="Normal"/>
              <w:rPr>
                <w:rFonts w:ascii="Book Antiqua" w:hAnsi="Book Antiqua" w:cs="Book Antiqua"/>
                <w:b/>
                <w:bCs/>
                <w:sz w:val="23"/>
                <w:szCs w:val="23"/>
              </w:rPr>
            </w:pPr>
            <w:r>
              <w:rPr>
                <w:rFonts w:cs="Book Antiqua" w:ascii="Book Antiqua" w:hAnsi="Book Antiqua"/>
                <w:b/>
                <w:bCs/>
                <w:sz w:val="23"/>
                <w:szCs w:val="23"/>
              </w:rPr>
              <w:t>(Red Measles)</w:t>
            </w:r>
          </w:p>
        </w:tc>
        <w:tc>
          <w:tcPr>
            <w:tcW w:w="2980"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b/>
                <w:bCs/>
                <w:sz w:val="23"/>
                <w:szCs w:val="23"/>
              </w:rPr>
              <w:t>Restrictions.</w:t>
            </w:r>
            <w:r>
              <w:rPr>
                <w:rFonts w:cs="Book Antiqua" w:ascii="Book Antiqua" w:hAnsi="Book Antiqua"/>
                <w:sz w:val="23"/>
                <w:szCs w:val="23"/>
              </w:rPr>
              <w:t xml:space="preserve"> </w:t>
            </w:r>
          </w:p>
          <w:p>
            <w:pPr>
              <w:pStyle w:val="Normal"/>
              <w:rPr>
                <w:rFonts w:ascii="Book Antiqua" w:hAnsi="Book Antiqua" w:cs="Book Antiqua"/>
                <w:sz w:val="23"/>
                <w:szCs w:val="23"/>
              </w:rPr>
            </w:pPr>
            <w:r>
              <w:rPr>
                <w:rFonts w:cs="Book Antiqua" w:ascii="Book Antiqua" w:hAnsi="Book Antiqua"/>
                <w:sz w:val="23"/>
                <w:szCs w:val="23"/>
              </w:rPr>
              <w:t xml:space="preserve">All employees born after 1957 who are susceptible are required to receive vaccine (unless pregnant or contraindicated prior to employment). Non-immune employees (pregnant or not pregnant) are restricted from direct patient care of known or suspected rubeola cases.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Combined-Airborne Precautions</w:t>
            </w:r>
          </w:p>
        </w:tc>
        <w:tc>
          <w:tcPr>
            <w:tcW w:w="5158"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 xml:space="preserve">Transmission: Airborne by aerosolized respiratory secretions. </w:t>
            </w:r>
          </w:p>
        </w:tc>
      </w:tr>
      <w:tr>
        <w:trPr>
          <w:trHeight w:val="15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Syphilis</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No Restriction </w:t>
            </w:r>
          </w:p>
          <w:p>
            <w:pPr>
              <w:pStyle w:val="Normal"/>
              <w:rPr>
                <w:rFonts w:ascii="Book Antiqua" w:hAnsi="Book Antiqua" w:cs="Book Antiqua"/>
                <w:sz w:val="23"/>
                <w:szCs w:val="23"/>
              </w:rPr>
            </w:pPr>
            <w:r>
              <w:rPr>
                <w:rFonts w:cs="Book Antiqua" w:ascii="Book Antiqua" w:hAnsi="Book Antiqua"/>
                <w:b/>
                <w:bCs/>
                <w:sz w:val="23"/>
                <w:szCs w:val="23"/>
              </w:rPr>
              <w:t>or re-assignment</w:t>
            </w:r>
            <w:r>
              <w:rPr>
                <w:rFonts w:cs="Book Antiqua" w:ascii="Book Antiqua" w:hAnsi="Book Antiqua"/>
                <w:sz w:val="23"/>
                <w:szCs w:val="23"/>
              </w:rPr>
              <w:t xml:space="preserve"> 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Occurs through sexual contact with an active (primary stage) case; moist secretions of early congenital syphilis are highly contagious and open lesions of primary to secondary stage syphilis are also highly contagious; no risk via casual contact.</w:t>
            </w:r>
          </w:p>
        </w:tc>
      </w:tr>
      <w:tr>
        <w:trPr>
          <w:trHeight w:val="12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Toxoplasmosis</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No Restriction </w:t>
            </w:r>
          </w:p>
          <w:p>
            <w:pPr>
              <w:pStyle w:val="Normal"/>
              <w:rPr>
                <w:rFonts w:ascii="Book Antiqua" w:hAnsi="Book Antiqua" w:cs="Book Antiqua"/>
                <w:sz w:val="23"/>
                <w:szCs w:val="23"/>
              </w:rPr>
            </w:pPr>
            <w:r>
              <w:rPr>
                <w:rFonts w:cs="Book Antiqua" w:ascii="Book Antiqua" w:hAnsi="Book Antiqua"/>
                <w:b/>
                <w:bCs/>
                <w:sz w:val="23"/>
                <w:szCs w:val="23"/>
              </w:rPr>
              <w:t xml:space="preserve">or re-assignment </w:t>
            </w:r>
            <w:r>
              <w:rPr>
                <w:rFonts w:cs="Book Antiqua" w:ascii="Book Antiqua" w:hAnsi="Book Antiqua"/>
                <w:sz w:val="23"/>
                <w:szCs w:val="23"/>
              </w:rPr>
              <w:t xml:space="preserve">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Standard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Transmission: person to person transmission does not occur, the greatest risk is from cat feces (i.e. litter box maintenance without proper handwashing) or from insufficiently cooked meat.</w:t>
            </w:r>
          </w:p>
        </w:tc>
      </w:tr>
      <w:tr>
        <w:trPr>
          <w:trHeight w:val="1500"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Tuberculosis (TB)</w:t>
            </w:r>
          </w:p>
        </w:tc>
        <w:tc>
          <w:tcPr>
            <w:tcW w:w="2980" w:type="dxa"/>
            <w:tcBorders>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 xml:space="preserve">No Restriction </w:t>
            </w:r>
          </w:p>
          <w:p>
            <w:pPr>
              <w:pStyle w:val="Normal"/>
              <w:rPr>
                <w:rFonts w:ascii="Book Antiqua" w:hAnsi="Book Antiqua" w:cs="Book Antiqua"/>
                <w:sz w:val="23"/>
                <w:szCs w:val="23"/>
              </w:rPr>
            </w:pPr>
            <w:r>
              <w:rPr>
                <w:rFonts w:cs="Book Antiqua" w:ascii="Book Antiqua" w:hAnsi="Book Antiqua"/>
                <w:b/>
                <w:bCs/>
                <w:sz w:val="23"/>
                <w:szCs w:val="23"/>
              </w:rPr>
              <w:t xml:space="preserve">or re-assignment </w:t>
            </w:r>
            <w:r>
              <w:rPr>
                <w:rFonts w:cs="Book Antiqua" w:ascii="Book Antiqua" w:hAnsi="Book Antiqua"/>
                <w:sz w:val="23"/>
                <w:szCs w:val="23"/>
              </w:rPr>
              <w:t xml:space="preserve">necessary for pregnant employees.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Combined-Airborne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 xml:space="preserve">Transmission: Unprotected contact with respiratory secretions, airborne. Pregnant individuals are not at increased risk for TB. In addition, PPD tests are repeated 8-10 weeks after known exposure. </w:t>
            </w:r>
          </w:p>
        </w:tc>
      </w:tr>
      <w:tr>
        <w:trPr>
          <w:trHeight w:val="4583" w:hRule="atLeast"/>
        </w:trPr>
        <w:tc>
          <w:tcPr>
            <w:tcW w:w="2320" w:type="dxa"/>
            <w:tcBorders>
              <w:start w:val="single" w:sz="4" w:space="0" w:color="000000"/>
              <w:bottom w:val="single" w:sz="4" w:space="0" w:color="000000"/>
              <w:end w:val="single" w:sz="4" w:space="0" w:color="000000"/>
            </w:tcBorders>
          </w:tcPr>
          <w:p>
            <w:pPr>
              <w:pStyle w:val="Normal"/>
              <w:rPr>
                <w:rFonts w:ascii="Book Antiqua" w:hAnsi="Book Antiqua" w:cs="Book Antiqua"/>
                <w:b/>
                <w:bCs/>
                <w:sz w:val="23"/>
                <w:szCs w:val="23"/>
              </w:rPr>
            </w:pPr>
            <w:r>
              <w:rPr>
                <w:rFonts w:cs="Book Antiqua" w:ascii="Book Antiqua" w:hAnsi="Book Antiqua"/>
                <w:b/>
                <w:bCs/>
                <w:sz w:val="23"/>
                <w:szCs w:val="23"/>
              </w:rPr>
              <w:t>Varicella (Chickenpox or Herpes Zoster)</w:t>
            </w:r>
          </w:p>
        </w:tc>
        <w:tc>
          <w:tcPr>
            <w:tcW w:w="2980" w:type="dxa"/>
            <w:tcBorders>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b/>
                <w:bCs/>
                <w:sz w:val="23"/>
                <w:szCs w:val="23"/>
              </w:rPr>
              <w:t>Restrictions</w:t>
            </w:r>
            <w:r>
              <w:rPr>
                <w:rFonts w:cs="Book Antiqua" w:ascii="Book Antiqua" w:hAnsi="Book Antiqua"/>
                <w:sz w:val="23"/>
                <w:szCs w:val="23"/>
              </w:rPr>
              <w:t xml:space="preserve">, </w:t>
            </w:r>
          </w:p>
          <w:p>
            <w:pPr>
              <w:pStyle w:val="Normal"/>
              <w:rPr>
                <w:rFonts w:ascii="Book Antiqua" w:hAnsi="Book Antiqua" w:cs="Book Antiqua"/>
                <w:sz w:val="23"/>
                <w:szCs w:val="23"/>
              </w:rPr>
            </w:pPr>
            <w:r>
              <w:rPr>
                <w:rFonts w:cs="Book Antiqua" w:ascii="Book Antiqua" w:hAnsi="Book Antiqua"/>
                <w:sz w:val="23"/>
                <w:szCs w:val="23"/>
              </w:rPr>
              <w:t xml:space="preserve">staff who are not vaccinated or have not had chickenpox or are unsure of their status, should not have contact with patients who have, or have been exposed to chickenpox or have shingles. Susceptible employees are restricted from direct patient care of patients with these diagnoses. Serological testing and vaccination are performed at EHS. </w:t>
            </w:r>
          </w:p>
          <w:p>
            <w:pPr>
              <w:pStyle w:val="Normal"/>
              <w:rPr>
                <w:rFonts w:ascii="Book Antiqua" w:hAnsi="Book Antiqua" w:cs="Book Antiqua"/>
                <w:sz w:val="23"/>
                <w:szCs w:val="23"/>
              </w:rPr>
            </w:pPr>
            <w:r>
              <w:rPr>
                <w:rFonts w:cs="Book Antiqua" w:ascii="Book Antiqua" w:hAnsi="Book Antiqua"/>
                <w:sz w:val="23"/>
                <w:szCs w:val="23"/>
              </w:rPr>
            </w:r>
          </w:p>
          <w:p>
            <w:pPr>
              <w:pStyle w:val="Normal"/>
              <w:rPr/>
            </w:pPr>
            <w:r>
              <w:rPr>
                <w:rFonts w:cs="Book Antiqua" w:ascii="Book Antiqua" w:hAnsi="Book Antiqua"/>
                <w:b/>
                <w:bCs/>
                <w:sz w:val="23"/>
                <w:szCs w:val="23"/>
              </w:rPr>
              <w:t>Combined-Airborne Precautions</w:t>
            </w:r>
          </w:p>
        </w:tc>
        <w:tc>
          <w:tcPr>
            <w:tcW w:w="5158" w:type="dxa"/>
            <w:tcBorders>
              <w:bottom w:val="single" w:sz="4" w:space="0" w:color="000000"/>
              <w:end w:val="single" w:sz="4" w:space="0" w:color="000000"/>
            </w:tcBorders>
          </w:tcPr>
          <w:p>
            <w:pPr>
              <w:pStyle w:val="Normal"/>
              <w:rPr/>
            </w:pPr>
            <w:r>
              <w:rPr>
                <w:rFonts w:cs="Book Antiqua" w:ascii="Book Antiqua" w:hAnsi="Book Antiqua"/>
                <w:sz w:val="23"/>
                <w:szCs w:val="23"/>
              </w:rPr>
              <w:t xml:space="preserve">Transmission: Through direct contact with fluids from vesicles or through airborne transmission of aerosolized nasopharyngeal secretions. </w:t>
            </w:r>
          </w:p>
        </w:tc>
      </w:tr>
    </w:tbl>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 xml:space="preserve">Infection Control and Hospital Epidemiology 1998;19:407-63  </w:t>
      </w:r>
    </w:p>
    <w:p>
      <w:pPr>
        <w:pStyle w:val="Normal"/>
        <w:numPr>
          <w:ilvl w:val="0"/>
          <w:numId w:val="2"/>
        </w:numPr>
        <w:jc w:val="both"/>
        <w:rPr>
          <w:rFonts w:ascii="Book Antiqua" w:hAnsi="Book Antiqua" w:cs="Book Antiqua"/>
          <w:sz w:val="23"/>
          <w:szCs w:val="23"/>
        </w:rPr>
      </w:pPr>
      <w:r>
        <w:rPr>
          <w:rFonts w:cs="Book Antiqua" w:ascii="Book Antiqua" w:hAnsi="Book Antiqua"/>
          <w:sz w:val="23"/>
          <w:szCs w:val="23"/>
        </w:rPr>
        <w:t>Pregnant Healthcare Personnel, Chap. 104 , APIC Text of Infection Control and</w:t>
      </w:r>
    </w:p>
    <w:p>
      <w:pPr>
        <w:pStyle w:val="Normal"/>
        <w:ind w:start="360" w:end="0"/>
        <w:jc w:val="both"/>
        <w:rPr>
          <w:rFonts w:ascii="Book Antiqua" w:hAnsi="Book Antiqua" w:cs="Book Antiqua"/>
          <w:sz w:val="23"/>
          <w:szCs w:val="23"/>
        </w:rPr>
      </w:pPr>
      <w:r>
        <w:rPr>
          <w:rFonts w:cs="Book Antiqua" w:ascii="Book Antiqua" w:hAnsi="Book Antiqua"/>
          <w:sz w:val="23"/>
          <w:szCs w:val="23"/>
        </w:rPr>
        <w:t>Epidemiology, 4</w:t>
      </w:r>
      <w:r>
        <w:rPr>
          <w:rFonts w:cs="Book Antiqua" w:ascii="Book Antiqua" w:hAnsi="Book Antiqua"/>
          <w:sz w:val="23"/>
          <w:szCs w:val="23"/>
          <w:vertAlign w:val="superscript"/>
        </w:rPr>
        <w:t>th</w:t>
      </w:r>
      <w:r>
        <w:rPr>
          <w:rFonts w:cs="Book Antiqua" w:ascii="Book Antiqua" w:hAnsi="Book Antiqua"/>
          <w:sz w:val="23"/>
          <w:szCs w:val="23"/>
        </w:rPr>
        <w:t xml:space="preserve"> edition, 2014</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 xml:space="preserve">CHLA Policy: </w:t>
      </w:r>
      <w:hyperlink r:id="rId4">
        <w:r>
          <w:rPr>
            <w:rStyle w:val="Hyperlink"/>
            <w:rFonts w:cs="Book Antiqua" w:ascii="Book Antiqua" w:hAnsi="Book Antiqua"/>
            <w:sz w:val="23"/>
            <w:szCs w:val="23"/>
          </w:rPr>
          <w:t>IC – 220.0 Standard Precautions</w:t>
        </w:r>
      </w:hyperlink>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 xml:space="preserve">CHLA Policy: </w:t>
      </w:r>
      <w:hyperlink r:id="rId5">
        <w:r>
          <w:rPr>
            <w:rStyle w:val="Hyperlink"/>
            <w:rFonts w:cs="Book Antiqua" w:ascii="Book Antiqua" w:hAnsi="Book Antiqua"/>
            <w:sz w:val="23"/>
            <w:szCs w:val="23"/>
          </w:rPr>
          <w:t>IC – 301.0 Isolation Precautions</w:t>
        </w:r>
      </w:hyperlink>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pPr>
      <w:r>
        <w:rPr>
          <w:i/>
          <w:iCs/>
        </w:rPr>
        <w:t xml:space="preserve">Executive Director, Accreditation &amp; Licensing, Infection Prevention, </w:t>
      </w:r>
      <w:r>
        <w:rPr>
          <w:rFonts w:cs="Book Antiqua" w:ascii="Book Antiqua" w:hAnsi="Book Antiqua"/>
          <w:i/>
          <w:iCs/>
        </w:rPr>
        <w:t>and</w:t>
      </w:r>
      <w:r>
        <w:rPr>
          <w:i/>
          <w:iCs/>
        </w:rPr>
        <w:t xml:space="preserve"> Emergency Management</w:t>
      </w:r>
    </w:p>
    <w:sectPr>
      <w:headerReference w:type="default" r:id="rId6"/>
      <w:footerReference w:type="default" r:id="rId7"/>
      <w:type w:val="nextPage"/>
      <w:pgSz w:w="12240" w:h="15840"/>
      <w:pgMar w:left="720" w:right="720" w:gutter="0" w:header="432" w:top="795"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Pregnant Healthcare Worker</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11/01/1991</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09/09/2022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 xml:space="preserve">APPROVED BY: Emergency Pandemic Leadership </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09/02/2022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607.0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6</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6</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360" w:hanging="36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10z0">
    <w:name w:val="WW8Num10z0"/>
    <w:qFormat/>
    <w:rPr>
      <w:rFonts w:ascii="Symbol" w:hAnsi="Symbol" w:cs="Symbol"/>
    </w:rPr>
  </w:style>
  <w:style w:type="character" w:styleId="WW8Num10z2">
    <w:name w:val="WW8Num10z2"/>
    <w:qFormat/>
    <w:rPr/>
  </w:style>
  <w:style w:type="character" w:styleId="WW8Num10z4">
    <w:name w:val="WW8Num10z4"/>
    <w:qFormat/>
    <w:rPr>
      <w:rFonts w:ascii="Courier New" w:hAnsi="Courier New" w:cs="Courier New"/>
    </w:rPr>
  </w:style>
  <w:style w:type="character" w:styleId="WW8Num10z5">
    <w:name w:val="WW8Num10z5"/>
    <w:qFormat/>
    <w:rPr>
      <w:rFonts w:ascii="Wingdings" w:hAnsi="Wingdings" w:cs="Wingdings"/>
    </w:rPr>
  </w:style>
  <w:style w:type="character" w:styleId="WW8Num11z0">
    <w:name w:val="WW8Num11z0"/>
    <w:qFormat/>
    <w:rPr>
      <w:rFonts w:ascii="Book Antiqua" w:hAnsi="Book Antiqua" w:cs="Book Antiqua"/>
      <w:sz w:val="23"/>
      <w:szCs w:val="23"/>
    </w:rPr>
  </w:style>
  <w:style w:type="character" w:styleId="WW8Num12z0">
    <w:name w:val="WW8Num12z0"/>
    <w:qFormat/>
    <w:rPr/>
  </w:style>
  <w:style w:type="character" w:styleId="WW8Num13z0">
    <w:name w:val="WW8Num13z0"/>
    <w:qFormat/>
    <w:rPr>
      <w:sz w:val="24"/>
    </w:rPr>
  </w:style>
  <w:style w:type="character" w:styleId="WW8Num15z0">
    <w:name w:val="WW8Num15z0"/>
    <w:qFormat/>
    <w:rPr/>
  </w:style>
  <w:style w:type="character" w:styleId="WW8Num16z0">
    <w:name w:val="WW8Num16z0"/>
    <w:qFormat/>
    <w:rPr/>
  </w:style>
  <w:style w:type="character" w:styleId="WW8Num17z0">
    <w:name w:val="WW8Num17z0"/>
    <w:qFormat/>
    <w:rPr>
      <w:b/>
    </w:rPr>
  </w:style>
  <w:style w:type="character" w:styleId="WW8Num19z0">
    <w:name w:val="WW8Num19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normaltextrun">
    <w:name w:val="normaltextru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dc.gov/coronavirus/2019-ncov/prevent-getting-sick/how-covid-spreads.html" TargetMode="External"/><Relationship Id="rId3" Type="http://schemas.openxmlformats.org/officeDocument/2006/relationships/hyperlink" Target="http://www.cdc.gov/poxvirus/monkeypox/clinicians/pregnancy.html" TargetMode="External"/><Relationship Id="rId4" Type="http://schemas.openxmlformats.org/officeDocument/2006/relationships/hyperlink" Target="https://secure.compliance360.com/ext/X3KDa6v-hs9dKHU_HZRYVA==" TargetMode="External"/><Relationship Id="rId5" Type="http://schemas.openxmlformats.org/officeDocument/2006/relationships/hyperlink" Target="https://secure.compliance360.com/ext/mm6tHCeTkBJnrTC5o9DuWQ=="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2022-09-09T14:46:00Z</dcterms:created>
  <dc:creator>MAGGIE</dc:creator>
  <dc:description/>
  <cp:keywords/>
  <dc:language>en-US</dc:language>
  <cp:lastModifiedBy>Huynh, Fuong</cp:lastModifiedBy>
  <cp:lastPrinted>2018-02-27T19:27:00Z</cp:lastPrinted>
  <dcterms:modified xsi:type="dcterms:W3CDTF">2022-09-09T14:46:00Z</dcterms:modified>
  <cp:revision>2</cp:revision>
  <dc:subject/>
  <dc:title>IC - 607.0 Pregnant Healthcare Workers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P7DPTVDAPRN7-27-6489</vt:lpwstr>
  </property>
  <property fmtid="{D5CDD505-2E9C-101B-9397-08002B2CF9AE}" pid="4" name="_dlc_DocIdItemGuid">
    <vt:lpwstr>ad188496-2349-423e-9040-2efee06e95b3</vt:lpwstr>
  </property>
  <property fmtid="{D5CDD505-2E9C-101B-9397-08002B2CF9AE}" pid="5" name="_dlc_DocIdPersistId">
    <vt:lpwstr/>
  </property>
  <property fmtid="{D5CDD505-2E9C-101B-9397-08002B2CF9AE}" pid="6" name="_dlc_DocIdUrl">
    <vt:lpwstr>https://sharepoint.chla.usc.edu/depts/medstaff/QIC/_layouts/15/DocIdRedir.aspx?ID=P7DPTVDAPRN7-27-6489, P7DPTVDAPRN7-27-6489</vt:lpwstr>
  </property>
</Properties>
</file>