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PURPOSE: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Because varicella/zoster virus (VZV) can cause serious, potentially devastating disease, particularly in immunocompromised children and susceptible adults, it is the policy of CHLA to protect susceptible children and staff from VZV.</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bCs/>
          <w:sz w:val="23"/>
          <w:szCs w:val="23"/>
        </w:rPr>
      </w:pPr>
      <w:r>
        <w:rPr>
          <w:rFonts w:cs="Book Antiqua" w:ascii="Book Antiqua" w:hAnsi="Book Antiqua"/>
          <w:b/>
          <w:bCs/>
          <w:sz w:val="23"/>
          <w:szCs w:val="23"/>
        </w:rPr>
        <w:t xml:space="preserve">SCOPE: </w:t>
      </w:r>
    </w:p>
    <w:p>
      <w:pPr>
        <w:pStyle w:val="Normal"/>
        <w:jc w:val="both"/>
        <w:rPr>
          <w:rFonts w:ascii="Book Antiqua" w:hAnsi="Book Antiqua" w:cs="Book Antiqua"/>
          <w:b/>
          <w:bCs/>
          <w:sz w:val="23"/>
          <w:szCs w:val="23"/>
        </w:rPr>
      </w:pPr>
      <w:r>
        <w:rPr>
          <w:rFonts w:cs="Book Antiqua" w:ascii="Book Antiqua" w:hAnsi="Book Antiqua"/>
          <w:b/>
          <w:bCs/>
          <w:sz w:val="23"/>
          <w:szCs w:val="23"/>
        </w:rPr>
      </w:r>
    </w:p>
    <w:p>
      <w:pPr>
        <w:pStyle w:val="Normal"/>
        <w:jc w:val="both"/>
        <w:rPr>
          <w:rFonts w:ascii="Book Antiqua" w:hAnsi="Book Antiqua" w:cs="Book Antiqua"/>
          <w:sz w:val="23"/>
          <w:szCs w:val="23"/>
        </w:rPr>
      </w:pPr>
      <w:r>
        <w:rPr>
          <w:rFonts w:cs="Book Antiqua" w:ascii="Book Antiqua" w:hAnsi="Book Antiqua"/>
          <w:sz w:val="23"/>
          <w:szCs w:val="23"/>
        </w:rPr>
        <w:t>The policy is applicable to CHLA workforce members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 xml:space="preserve">PROCEDURE: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bCs/>
          <w:sz w:val="23"/>
          <w:szCs w:val="23"/>
        </w:rPr>
      </w:pPr>
      <w:r>
        <w:rPr>
          <w:rFonts w:cs="Book Antiqua" w:ascii="Book Antiqua" w:hAnsi="Book Antiqua"/>
          <w:b/>
          <w:bCs/>
          <w:sz w:val="23"/>
          <w:szCs w:val="23"/>
        </w:rPr>
        <w:t>Documentation of Status</w:t>
      </w:r>
    </w:p>
    <w:p>
      <w:pPr>
        <w:pStyle w:val="Normal"/>
        <w:jc w:val="both"/>
        <w:rPr>
          <w:rFonts w:ascii="Book Antiqua" w:hAnsi="Book Antiqua" w:cs="Book Antiqua"/>
          <w:sz w:val="23"/>
          <w:szCs w:val="23"/>
        </w:rPr>
      </w:pPr>
      <w:r>
        <w:rPr>
          <w:rFonts w:cs="Book Antiqua" w:ascii="Book Antiqua" w:hAnsi="Book Antiqua"/>
          <w:sz w:val="23"/>
          <w:szCs w:val="23"/>
        </w:rPr>
        <w:t xml:space="preserve">Employee Health will obtain written proof of previous  varicella disease by a physician,  or proof of immunization, or proof of protective titers,   at the time of the Pre-placement Health Screening. If status is unknown, varicella immunization will be offered. </w:t>
      </w:r>
    </w:p>
    <w:p>
      <w:pPr>
        <w:pStyle w:val="Normal"/>
        <w:jc w:val="both"/>
        <w:rPr>
          <w:rFonts w:ascii="Book Antiqua" w:hAnsi="Book Antiqua" w:cs="Book Antiqua"/>
          <w:sz w:val="23"/>
          <w:szCs w:val="23"/>
          <w:u w:val="single"/>
        </w:rPr>
      </w:pPr>
      <w:r>
        <w:rPr>
          <w:rFonts w:cs="Book Antiqua" w:ascii="Book Antiqua" w:hAnsi="Book Antiqua"/>
          <w:sz w:val="23"/>
          <w:szCs w:val="23"/>
          <w:u w:val="single"/>
        </w:rPr>
      </w:r>
    </w:p>
    <w:p>
      <w:pPr>
        <w:pStyle w:val="Normal"/>
        <w:jc w:val="both"/>
        <w:rPr>
          <w:rFonts w:ascii="Book Antiqua" w:hAnsi="Book Antiqua" w:cs="Book Antiqua"/>
          <w:b/>
          <w:bCs/>
          <w:sz w:val="23"/>
          <w:szCs w:val="23"/>
        </w:rPr>
      </w:pPr>
      <w:r>
        <w:rPr>
          <w:rFonts w:cs="Book Antiqua" w:ascii="Book Antiqua" w:hAnsi="Book Antiqua"/>
          <w:b/>
          <w:bCs/>
          <w:sz w:val="23"/>
          <w:szCs w:val="23"/>
        </w:rPr>
        <w:t>Varicella Vaccination</w:t>
      </w:r>
    </w:p>
    <w:p>
      <w:pPr>
        <w:pStyle w:val="Normal"/>
        <w:jc w:val="both"/>
        <w:rPr/>
      </w:pPr>
      <w:r>
        <w:rPr>
          <w:rFonts w:cs="Book Antiqua" w:ascii="Book Antiqua" w:hAnsi="Book Antiqua"/>
          <w:sz w:val="23"/>
          <w:szCs w:val="23"/>
        </w:rPr>
        <w:t xml:space="preserve">Varicella vaccination will be offered to all susceptible CHLA employees. The employee may elect to refuse vaccination and will sign a statement of declination. The employee may at any future date elect to have the vaccine. </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The varicella vaccine is administered in two doses, at a 4 to 8-week interval. CHLA Employees, who have received 2 doses of the vaccine, will be considered immune.</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In the event the employee develops a post-vaccination rash, the employee is furloughed with regular pay until the lesions are fully dried and crusted.</w:t>
      </w:r>
    </w:p>
    <w:p>
      <w:pPr>
        <w:pStyle w:val="Normal"/>
        <w:jc w:val="both"/>
        <w:rPr>
          <w:rFonts w:ascii="Book Antiqua" w:hAnsi="Book Antiqua" w:cs="Book Antiqua"/>
          <w:sz w:val="23"/>
          <w:szCs w:val="23"/>
        </w:rPr>
      </w:pPr>
      <w:r>
        <w:rPr>
          <w:rFonts w:cs="Book Antiqua" w:ascii="Book Antiqua" w:hAnsi="Book Antiqua"/>
          <w:sz w:val="23"/>
          <w:szCs w:val="23"/>
        </w:rPr>
      </w:r>
    </w:p>
    <w:p>
      <w:pPr>
        <w:pStyle w:val="Default"/>
        <w:jc w:val="both"/>
        <w:rPr>
          <w:rFonts w:ascii="Book Antiqua" w:hAnsi="Book Antiqua" w:cs="Book Antiqua"/>
          <w:b/>
          <w:bCs/>
          <w:sz w:val="23"/>
          <w:szCs w:val="23"/>
        </w:rPr>
      </w:pPr>
      <w:r>
        <w:rPr>
          <w:rFonts w:cs="Book Antiqua" w:ascii="Book Antiqua" w:hAnsi="Book Antiqua"/>
          <w:b/>
          <w:bCs/>
          <w:sz w:val="23"/>
          <w:szCs w:val="23"/>
        </w:rPr>
        <w:t xml:space="preserve">Reporting an Exposure </w:t>
      </w:r>
    </w:p>
    <w:p>
      <w:pPr>
        <w:pStyle w:val="Default"/>
        <w:jc w:val="both"/>
        <w:rPr>
          <w:rFonts w:ascii="Book Antiqua" w:hAnsi="Book Antiqua" w:cs="Book Antiqua"/>
          <w:sz w:val="23"/>
          <w:szCs w:val="23"/>
        </w:rPr>
      </w:pPr>
      <w:r>
        <w:rPr>
          <w:rFonts w:cs="Book Antiqua" w:ascii="Book Antiqua" w:hAnsi="Book Antiqua"/>
          <w:sz w:val="23"/>
          <w:szCs w:val="23"/>
        </w:rPr>
        <w:t>Varicella exposure is defined as direct contact with or aerosolization of lesion material, or through respiratory aerosols from an infectious person.</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CHLA Employees must report any significant exposure either in the workplace or outside the workplace to Employee Health and their supervisor. Refer to CHLA policy IC - 303 Communicable Disease Exposure and IC - 303B Varicella for more details.</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 xml:space="preserve">If there is a medical contraindication for a susceptible employee to receive the vaccine and furlough becomes necessary, they will receive regular pay. Susceptible CHLA employees will be furloughed from the 8th through the 21st day after exposure (or up to 28 days if given immune globulin). </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 xml:space="preserve">Those employees who signed a declination for vaccination need to use PTO time to be paid. Employees exposed outside of the work environment are not eligible for compensation. </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CHLA Employees who develop varicella must remain off duty until all lesions have crusted. As with other serious contagious illness, CHLA employees must clear through Employee Health with a physician’s note. See CHLA policy IC - 602 CHLA Workforce Communicable Disease Exposures for more details.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Default"/>
        <w:numPr>
          <w:ilvl w:val="0"/>
          <w:numId w:val="3"/>
        </w:numPr>
        <w:jc w:val="both"/>
        <w:rPr>
          <w:rFonts w:ascii="Book Antiqua" w:hAnsi="Book Antiqua" w:cs="Book Antiqua"/>
          <w:sz w:val="23"/>
          <w:szCs w:val="23"/>
        </w:rPr>
      </w:pPr>
      <w:r>
        <w:rPr>
          <w:rFonts w:cs="Book Antiqua" w:ascii="Book Antiqua" w:hAnsi="Book Antiqua"/>
          <w:sz w:val="23"/>
          <w:szCs w:val="23"/>
        </w:rPr>
        <w:t xml:space="preserve">Control of Communicable Diseases Manual. 17th Edition. Chin J. editor. APHA. 2000.. </w:t>
      </w:r>
    </w:p>
    <w:p>
      <w:pPr>
        <w:pStyle w:val="Default"/>
        <w:numPr>
          <w:ilvl w:val="0"/>
          <w:numId w:val="3"/>
        </w:numPr>
        <w:jc w:val="both"/>
        <w:rPr>
          <w:rFonts w:ascii="Book Antiqua" w:hAnsi="Book Antiqua" w:cs="Book Antiqua"/>
          <w:sz w:val="23"/>
          <w:szCs w:val="23"/>
        </w:rPr>
      </w:pPr>
      <w:r>
        <w:rPr>
          <w:rFonts w:cs="Book Antiqua" w:ascii="Book Antiqua" w:hAnsi="Book Antiqua"/>
          <w:sz w:val="23"/>
          <w:szCs w:val="23"/>
        </w:rPr>
        <w:t xml:space="preserve">American Academy of Pediatrics. Report of the Committee of Infectious Diseases (Red Book). 2018. </w:t>
      </w:r>
    </w:p>
    <w:p>
      <w:pPr>
        <w:pStyle w:val="Default"/>
        <w:numPr>
          <w:ilvl w:val="0"/>
          <w:numId w:val="3"/>
        </w:numPr>
        <w:jc w:val="both"/>
        <w:rPr>
          <w:rFonts w:ascii="Book Antiqua" w:hAnsi="Book Antiqua" w:cs="Book Antiqua"/>
          <w:sz w:val="23"/>
          <w:szCs w:val="23"/>
        </w:rPr>
      </w:pPr>
      <w:r>
        <w:rPr>
          <w:rFonts w:cs="Book Antiqua" w:ascii="Book Antiqua" w:hAnsi="Book Antiqua"/>
          <w:sz w:val="23"/>
          <w:szCs w:val="23"/>
        </w:rPr>
        <w:t>Hospital Employee Health. Hospitals weigh costs and benefits of varicella vaccination programs. October 1997,   Volume 16.</w:t>
      </w:r>
    </w:p>
    <w:p>
      <w:pPr>
        <w:pStyle w:val="Default"/>
        <w:numPr>
          <w:ilvl w:val="0"/>
          <w:numId w:val="3"/>
        </w:numPr>
        <w:jc w:val="both"/>
        <w:rPr>
          <w:rFonts w:ascii="Book Antiqua" w:hAnsi="Book Antiqua" w:cs="Book Antiqua"/>
          <w:sz w:val="23"/>
          <w:szCs w:val="23"/>
        </w:rPr>
      </w:pPr>
      <w:r>
        <w:rPr>
          <w:rFonts w:cs="Book Antiqua" w:ascii="Book Antiqua" w:hAnsi="Book Antiqua"/>
          <w:sz w:val="23"/>
          <w:szCs w:val="23"/>
        </w:rPr>
        <w:t>CHLA Policies</w:t>
      </w:r>
    </w:p>
    <w:p>
      <w:pPr>
        <w:pStyle w:val="Default"/>
        <w:numPr>
          <w:ilvl w:val="1"/>
          <w:numId w:val="3"/>
        </w:numPr>
        <w:jc w:val="both"/>
        <w:rPr>
          <w:rFonts w:ascii="Book Antiqua" w:hAnsi="Book Antiqua" w:cs="Book Antiqua"/>
          <w:sz w:val="23"/>
          <w:szCs w:val="23"/>
        </w:rPr>
      </w:pPr>
      <w:hyperlink r:id="rId2">
        <w:r>
          <w:rPr>
            <w:rStyle w:val="Hyperlink"/>
            <w:rFonts w:cs="Book Antiqua" w:ascii="Book Antiqua" w:hAnsi="Book Antiqua"/>
            <w:sz w:val="23"/>
            <w:szCs w:val="23"/>
          </w:rPr>
          <w:t>IC – 303.0 Communicable Disease Exposure</w:t>
        </w:r>
      </w:hyperlink>
    </w:p>
    <w:p>
      <w:pPr>
        <w:pStyle w:val="Default"/>
        <w:numPr>
          <w:ilvl w:val="1"/>
          <w:numId w:val="3"/>
        </w:numPr>
        <w:jc w:val="both"/>
        <w:rPr>
          <w:rFonts w:ascii="Book Antiqua" w:hAnsi="Book Antiqua" w:cs="Book Antiqua"/>
          <w:sz w:val="23"/>
          <w:szCs w:val="23"/>
        </w:rPr>
      </w:pPr>
      <w:hyperlink r:id="rId3">
        <w:r>
          <w:rPr>
            <w:rStyle w:val="Hyperlink"/>
            <w:rFonts w:cs="Book Antiqua" w:ascii="Book Antiqua" w:hAnsi="Book Antiqua"/>
            <w:sz w:val="23"/>
            <w:szCs w:val="23"/>
          </w:rPr>
          <w:t>IC – 303.2 Varicella</w:t>
        </w:r>
      </w:hyperlink>
    </w:p>
    <w:p>
      <w:pPr>
        <w:pStyle w:val="Default"/>
        <w:numPr>
          <w:ilvl w:val="1"/>
          <w:numId w:val="3"/>
        </w:numPr>
        <w:jc w:val="both"/>
        <w:rPr>
          <w:rFonts w:ascii="Book Antiqua" w:hAnsi="Book Antiqua" w:cs="Book Antiqua"/>
          <w:sz w:val="23"/>
          <w:szCs w:val="23"/>
        </w:rPr>
      </w:pPr>
      <w:hyperlink r:id="rId4">
        <w:r>
          <w:rPr>
            <w:rStyle w:val="Hyperlink"/>
            <w:rFonts w:cs="Book Antiqua" w:ascii="Book Antiqua" w:hAnsi="Book Antiqua"/>
            <w:sz w:val="23"/>
            <w:szCs w:val="23"/>
          </w:rPr>
          <w:t>IC – 602.0 CHLA Workforce Communicable Disease Exposures</w:t>
        </w:r>
      </w:hyperlink>
    </w:p>
    <w:p>
      <w:pPr>
        <w:pStyle w:val="Default"/>
        <w:numPr>
          <w:ilvl w:val="1"/>
          <w:numId w:val="3"/>
        </w:numPr>
        <w:jc w:val="both"/>
        <w:rPr>
          <w:rFonts w:ascii="Book Antiqua" w:hAnsi="Book Antiqua" w:cs="Book Antiqua"/>
          <w:sz w:val="23"/>
          <w:szCs w:val="23"/>
        </w:rPr>
      </w:pPr>
      <w:hyperlink r:id="rId5">
        <w:r>
          <w:rPr>
            <w:rStyle w:val="Hyperlink"/>
            <w:rFonts w:cs="Book Antiqua" w:ascii="Book Antiqua" w:hAnsi="Book Antiqua"/>
            <w:sz w:val="23"/>
            <w:szCs w:val="23"/>
          </w:rPr>
          <w:t>HR – 062.0 Influenza Vaccination</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 xml:space="preserve">POLICY OWNER: </w:t>
      </w:r>
    </w:p>
    <w:p>
      <w:pPr>
        <w:pStyle w:val="Normal"/>
        <w:jc w:val="both"/>
        <w:rPr>
          <w:rFonts w:ascii="Book Antiqua" w:hAnsi="Book Antiqua" w:cs="Book Antiqua"/>
          <w:i/>
          <w:i/>
          <w:iCs/>
          <w:sz w:val="23"/>
          <w:szCs w:val="23"/>
        </w:rPr>
      </w:pPr>
      <w:r>
        <w:rPr>
          <w:rFonts w:cs="Book Antiqua" w:ascii="Book Antiqua" w:hAnsi="Book Antiqua"/>
          <w:i/>
          <w:iCs/>
          <w:sz w:val="23"/>
          <w:szCs w:val="23"/>
        </w:rPr>
        <w:t>Director, Accreditation &amp; Licensing, Infection Prevention, and Emergency Management</w:t>
      </w:r>
    </w:p>
    <w:p>
      <w:pPr>
        <w:pStyle w:val="Normal"/>
        <w:jc w:val="both"/>
        <w:rPr>
          <w:rFonts w:ascii="Book Antiqua" w:hAnsi="Book Antiqua" w:cs="Book Antiqua"/>
          <w:i/>
          <w:i/>
          <w:iCs/>
          <w:sz w:val="23"/>
          <w:szCs w:val="23"/>
        </w:rPr>
      </w:pPr>
      <w:r>
        <w:rPr>
          <w:rFonts w:cs="Book Antiqua" w:ascii="Book Antiqua" w:hAnsi="Book Antiqua"/>
          <w:i/>
          <w:iCs/>
          <w:sz w:val="23"/>
          <w:szCs w:val="23"/>
        </w:rPr>
      </w:r>
    </w:p>
    <w:p>
      <w:pPr>
        <w:pStyle w:val="Normal"/>
        <w:jc w:val="both"/>
        <w:rPr>
          <w:rFonts w:ascii="Book Antiqua" w:hAnsi="Book Antiqua" w:cs="Book Antiqua"/>
          <w:sz w:val="23"/>
          <w:szCs w:val="23"/>
        </w:rPr>
      </w:pPr>
      <w:r>
        <w:rPr>
          <w:rFonts w:cs="Book Antiqua" w:ascii="Book Antiqua" w:hAnsi="Book Antiqua"/>
          <w:sz w:val="23"/>
          <w:szCs w:val="23"/>
        </w:rPr>
      </w:r>
    </w:p>
    <w:sectPr>
      <w:headerReference w:type="default" r:id="rId6"/>
      <w:footerReference w:type="default" r:id="rId7"/>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Varicella Immunization and Exposure</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01/01/1998</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05/28/2021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609.0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ENETERPRISE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Normal"/>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rPr/>
    </w:lvl>
  </w:abstractNum>
  <w:abstractNum w:abstractNumId="3">
    <w:lvl w:ilvl="0">
      <w:start w:val="1"/>
      <w:numFmt w:val="decimal"/>
      <w:lvlText w:val="%1."/>
      <w:lvlJc w:val="start"/>
      <w:pPr>
        <w:tabs>
          <w:tab w:val="num" w:pos="0"/>
        </w:tabs>
        <w:ind w:start="720" w:hanging="360"/>
      </w:pPr>
      <w:rPr/>
    </w:lvl>
    <w:lvl w:ilvl="1">
      <w:start w:val="1"/>
      <w:numFmt w:val="bullet"/>
      <w:lvlText w:val=""/>
      <w:lvlJc w:val="start"/>
      <w:pPr>
        <w:tabs>
          <w:tab w:val="num" w:pos="0"/>
        </w:tabs>
        <w:ind w:start="1440" w:hanging="360"/>
      </w:pPr>
      <w:rPr>
        <w:rFonts w:ascii="Symbol" w:hAnsi="Symbol" w:cs="Symbol" w:hint="default"/>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4">
    <w:lvl w:ilvl="0">
      <w:start w:val="1"/>
      <w:numFmt w:val="decimal"/>
      <w:lvlText w:val="%1."/>
      <w:lvlJc w:val="start"/>
      <w:pPr>
        <w:tabs>
          <w:tab w:val="num" w:pos="0"/>
        </w:tabs>
        <w:ind w:start="72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2z0">
    <w:name w:val="WW8Num2z0"/>
    <w:qFormat/>
    <w:rPr/>
  </w:style>
  <w:style w:type="character" w:styleId="WW8Num3z0">
    <w:name w:val="WW8Num3z0"/>
    <w:qFormat/>
    <w:rPr>
      <w:b/>
    </w:rPr>
  </w:style>
  <w:style w:type="character" w:styleId="WW8Num3z1">
    <w:name w:val="WW8Num3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2">
    <w:name w:val="WW8Num8z2"/>
    <w:qFormat/>
    <w:rPr/>
  </w:style>
  <w:style w:type="character" w:styleId="WW8Num8z4">
    <w:name w:val="WW8Num8z4"/>
    <w:qFormat/>
    <w:rPr>
      <w:rFonts w:ascii="Courier New" w:hAnsi="Courier New" w:cs="Courier New"/>
    </w:rPr>
  </w:style>
  <w:style w:type="character" w:styleId="WW8Num8z5">
    <w:name w:val="WW8Num8z5"/>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0z1">
    <w:name w:val="WW8Num10z1"/>
    <w:qFormat/>
    <w:rPr>
      <w:rFonts w:ascii="Symbol" w:hAnsi="Symbol" w:cs="Symbol"/>
    </w:rPr>
  </w:style>
  <w:style w:type="character" w:styleId="WW8Num12z0">
    <w:name w:val="WW8Num12z0"/>
    <w:qFormat/>
    <w:rPr>
      <w:b/>
    </w:rPr>
  </w:style>
  <w:style w:type="character" w:styleId="WW8Num13z0">
    <w:name w:val="WW8Num13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FollowedHyperlink">
    <w:name w:val="FollowedHyperlink"/>
    <w:rPr>
      <w:color w:val="954F72"/>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v13jZTRwqgefEWHPSfXwbw==" TargetMode="External"/><Relationship Id="rId3" Type="http://schemas.openxmlformats.org/officeDocument/2006/relationships/hyperlink" Target="https://secure.compliance360.com/ext/62Ug7VDhqu2ixxNRfvQPMQ==" TargetMode="External"/><Relationship Id="rId4" Type="http://schemas.openxmlformats.org/officeDocument/2006/relationships/hyperlink" Target="https://secure.compliance360.com/ext/gc8lXGjBmyTG3RnT-aFRlA==" TargetMode="External"/><Relationship Id="rId5" Type="http://schemas.openxmlformats.org/officeDocument/2006/relationships/hyperlink" Target="https://secure.compliance360.com/ext/yVKQHLYbmZCH21ZBSSCnXQ=="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2021-03-19T07:06:00Z</dcterms:created>
  <dc:creator>MAGGIE</dc:creator>
  <dc:description/>
  <cp:keywords/>
  <dc:language>en-US</dc:language>
  <cp:lastModifiedBy>Huynh, Fuong</cp:lastModifiedBy>
  <cp:lastPrinted>2018-04-26T10:54:00Z</cp:lastPrinted>
  <dcterms:modified xsi:type="dcterms:W3CDTF">2021-10-07T13:26:00Z</dcterms:modified>
  <cp:revision>13</cp:revision>
  <dc:subject/>
  <dc:title>IC 609.0 Varicella Immunization and Exposure</dc:title>
</cp:coreProperties>
</file>