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Book Antiqua" w:ascii="Book Antiqua" w:hAnsi="Book Antiqua"/>
          <w:sz w:val="22"/>
          <w:szCs w:val="22"/>
        </w:rPr>
        <w:t>IC – 704.1 Attachment A</w:t>
      </w:r>
    </w:p>
    <w:p>
      <w:pPr>
        <w:pStyle w:val="Normal"/>
        <w:jc w:val="center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Aerosol Transmissible Pathogens</w:t>
      </w:r>
    </w:p>
    <w:p>
      <w:pPr>
        <w:pStyle w:val="Normal"/>
        <w:jc w:val="center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b/>
          <w:sz w:val="22"/>
          <w:szCs w:val="22"/>
          <w:lang w:val="en-US" w:eastAsia="en-US"/>
        </w:rPr>
      </w:pPr>
      <w:r>
        <w:rPr>
          <w:rFonts w:cs="Book Antiqua" w:ascii="Book Antiqua" w:hAnsi="Book Antiqua"/>
          <w:b/>
          <w:sz w:val="22"/>
          <w:szCs w:val="22"/>
          <w:lang w:val="en-US" w:eastAsia="en-US"/>
        </w:rPr>
        <w:t>Diseases/Pathogens Requiring Airborne Infection Isolation</w:t>
      </w:r>
    </w:p>
    <w:p>
      <w:pPr>
        <w:pStyle w:val="Normal"/>
        <w:numPr>
          <w:ilvl w:val="0"/>
          <w:numId w:val="1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Aerosolizable spore-containing powder or other substance that is capable of causing serious human disease</w:t>
      </w:r>
    </w:p>
    <w:p>
      <w:pPr>
        <w:pStyle w:val="Normal"/>
        <w:numPr>
          <w:ilvl w:val="0"/>
          <w:numId w:val="1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Anthrax/</w:t>
      </w:r>
      <w:r>
        <w:rPr>
          <w:rFonts w:cs="Book Antiqua" w:ascii="Book Antiqua" w:hAnsi="Book Antiqua"/>
          <w:i/>
          <w:sz w:val="22"/>
          <w:szCs w:val="22"/>
          <w:lang w:val="en-US" w:eastAsia="en-US"/>
        </w:rPr>
        <w:t>Bacillus anthracis</w:t>
      </w:r>
    </w:p>
    <w:p>
      <w:pPr>
        <w:pStyle w:val="Normal"/>
        <w:numPr>
          <w:ilvl w:val="0"/>
          <w:numId w:val="1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Avian influenza/Avian influenza A viruses (strains capable of causing serious disease in humans)</w:t>
      </w:r>
    </w:p>
    <w:p>
      <w:pPr>
        <w:pStyle w:val="Normal"/>
        <w:numPr>
          <w:ilvl w:val="0"/>
          <w:numId w:val="1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 xml:space="preserve">Varicella disease (chickenpox, shingles) / Varicella zoster and Herpes zoster viruses, disseminated disease in any patient. Localized disease in immunocompromised patient until disseminated infection ruled out. </w:t>
      </w:r>
    </w:p>
    <w:p>
      <w:pPr>
        <w:pStyle w:val="Normal"/>
        <w:numPr>
          <w:ilvl w:val="0"/>
          <w:numId w:val="1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Measles (rubeola)/Measles virus</w:t>
      </w:r>
    </w:p>
    <w:p>
      <w:pPr>
        <w:pStyle w:val="Normal"/>
        <w:numPr>
          <w:ilvl w:val="0"/>
          <w:numId w:val="1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Rubella virus infection (German measles)/ Ruebella virus</w:t>
      </w:r>
    </w:p>
    <w:p>
      <w:pPr>
        <w:pStyle w:val="Normal"/>
        <w:numPr>
          <w:ilvl w:val="0"/>
          <w:numId w:val="1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Monkeypox/Monkeypox virus</w:t>
      </w:r>
    </w:p>
    <w:p>
      <w:pPr>
        <w:pStyle w:val="Normal"/>
        <w:numPr>
          <w:ilvl w:val="0"/>
          <w:numId w:val="1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Severe acute respiratory syndrome (SARS)</w:t>
      </w:r>
    </w:p>
    <w:p>
      <w:pPr>
        <w:pStyle w:val="Normal"/>
        <w:numPr>
          <w:ilvl w:val="0"/>
          <w:numId w:val="1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Novel or unknown pathogens</w:t>
      </w:r>
    </w:p>
    <w:p>
      <w:pPr>
        <w:pStyle w:val="Normal"/>
        <w:numPr>
          <w:ilvl w:val="0"/>
          <w:numId w:val="1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Smallpox (variola)/ Variola virus</w:t>
      </w:r>
    </w:p>
    <w:p>
      <w:pPr>
        <w:pStyle w:val="Normal"/>
        <w:numPr>
          <w:ilvl w:val="0"/>
          <w:numId w:val="1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 xml:space="preserve">Pneumonic Plague/ </w:t>
      </w:r>
      <w:r>
        <w:rPr>
          <w:rFonts w:cs="Book Antiqua" w:ascii="Book Antiqua" w:hAnsi="Book Antiqua"/>
          <w:i/>
          <w:sz w:val="22"/>
          <w:szCs w:val="22"/>
          <w:lang w:val="en-US" w:eastAsia="en-US"/>
        </w:rPr>
        <w:t>Yersinia pestis</w:t>
      </w:r>
    </w:p>
    <w:p>
      <w:pPr>
        <w:pStyle w:val="Normal"/>
        <w:numPr>
          <w:ilvl w:val="0"/>
          <w:numId w:val="1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Viral hemorrhagic fevers due to Lssa, Ebola, Marburg, Crimean-Congo fever viruses</w:t>
      </w:r>
    </w:p>
    <w:p>
      <w:pPr>
        <w:pStyle w:val="Normal"/>
        <w:numPr>
          <w:ilvl w:val="0"/>
          <w:numId w:val="1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 xml:space="preserve">Tuberculosis (TB)/ </w:t>
      </w:r>
      <w:r>
        <w:rPr>
          <w:rFonts w:cs="Book Antiqua" w:ascii="Book Antiqua" w:hAnsi="Book Antiqua"/>
          <w:i/>
          <w:sz w:val="22"/>
          <w:szCs w:val="22"/>
          <w:lang w:val="en-US" w:eastAsia="en-US"/>
        </w:rPr>
        <w:t>Mycobacterium tuberculosis</w:t>
      </w:r>
      <w:r>
        <w:rPr>
          <w:rFonts w:cs="Book Antiqua" w:ascii="Book Antiqua" w:hAnsi="Book Antiqua"/>
          <w:sz w:val="22"/>
          <w:szCs w:val="22"/>
          <w:lang w:val="en-US" w:eastAsia="en-US"/>
        </w:rPr>
        <w:t>- Extrapulmonary, draining lesion; Pulmonary or laryngeal disease, confirmed; Pulmonary or laryngeal disease, suspected</w:t>
      </w:r>
    </w:p>
    <w:p>
      <w:pPr>
        <w:pStyle w:val="Normal"/>
        <w:numPr>
          <w:ilvl w:val="0"/>
          <w:numId w:val="1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Any other disease for which public health guidelines recommend airborne infection isolation</w:t>
      </w:r>
    </w:p>
    <w:p>
      <w:pPr>
        <w:pStyle w:val="Normal"/>
        <w:ind w:start="720" w:end="0"/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</w:r>
    </w:p>
    <w:p>
      <w:pPr>
        <w:pStyle w:val="Normal"/>
        <w:rPr>
          <w:rFonts w:ascii="Book Antiqua" w:hAnsi="Book Antiqua" w:cs="Book Antiqua"/>
          <w:b/>
          <w:sz w:val="22"/>
          <w:szCs w:val="22"/>
          <w:lang w:val="en-US" w:eastAsia="en-US"/>
        </w:rPr>
      </w:pPr>
      <w:r>
        <w:rPr>
          <w:rFonts w:cs="Book Antiqua" w:ascii="Book Antiqua" w:hAnsi="Book Antiqua"/>
          <w:b/>
          <w:sz w:val="22"/>
          <w:szCs w:val="22"/>
          <w:lang w:val="en-US" w:eastAsia="en-US"/>
        </w:rPr>
        <w:t>Diseases/ Pathogens Requiring Droplet Precautions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Diptheria pharyngeal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 xml:space="preserve">Epiglottis, due to </w:t>
      </w:r>
      <w:r>
        <w:rPr>
          <w:rFonts w:cs="Book Antiqua" w:ascii="Book Antiqua" w:hAnsi="Book Antiqua"/>
          <w:i/>
          <w:sz w:val="22"/>
          <w:szCs w:val="22"/>
          <w:lang w:val="en-US" w:eastAsia="en-US"/>
        </w:rPr>
        <w:t>Haemophilus influenzae</w:t>
      </w:r>
      <w:r>
        <w:rPr>
          <w:rFonts w:cs="Book Antiqua" w:ascii="Book Antiqua" w:hAnsi="Book Antiqua"/>
          <w:sz w:val="22"/>
          <w:szCs w:val="22"/>
          <w:lang w:val="en-US" w:eastAsia="en-US"/>
        </w:rPr>
        <w:t xml:space="preserve"> type b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i/>
          <w:sz w:val="22"/>
          <w:szCs w:val="22"/>
          <w:lang w:val="en-US" w:eastAsia="en-US"/>
        </w:rPr>
        <w:t xml:space="preserve">Haemophilus influenzae </w:t>
      </w:r>
      <w:r>
        <w:rPr>
          <w:rFonts w:cs="Book Antiqua" w:ascii="Book Antiqua" w:hAnsi="Book Antiqua"/>
          <w:sz w:val="22"/>
          <w:szCs w:val="22"/>
          <w:lang w:val="en-US" w:eastAsia="en-US"/>
        </w:rPr>
        <w:t xml:space="preserve">Serotype b (Hib) disease/ </w:t>
      </w:r>
      <w:r>
        <w:rPr>
          <w:rFonts w:cs="Book Antiqua" w:ascii="Book Antiqua" w:hAnsi="Book Antiqua"/>
          <w:i/>
          <w:sz w:val="22"/>
          <w:szCs w:val="22"/>
          <w:lang w:val="en-US" w:eastAsia="en-US"/>
        </w:rPr>
        <w:t xml:space="preserve">Haemophilus influenzae </w:t>
      </w:r>
      <w:r>
        <w:rPr>
          <w:rFonts w:cs="Book Antiqua" w:ascii="Book Antiqua" w:hAnsi="Book Antiqua"/>
          <w:sz w:val="22"/>
          <w:szCs w:val="22"/>
          <w:lang w:val="en-US" w:eastAsia="en-US"/>
        </w:rPr>
        <w:t>serotype b- Infants and children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Influenza, human (typical seasonal variations)/ influenza viruses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Meningitis</w:t>
      </w:r>
    </w:p>
    <w:p>
      <w:pPr>
        <w:pStyle w:val="Normal"/>
        <w:numPr>
          <w:ilvl w:val="1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i/>
          <w:sz w:val="22"/>
          <w:szCs w:val="22"/>
          <w:lang w:val="en-US" w:eastAsia="en-US"/>
        </w:rPr>
        <w:t xml:space="preserve">Haemophilus influenzae, </w:t>
      </w:r>
      <w:r>
        <w:rPr>
          <w:rFonts w:cs="Book Antiqua" w:ascii="Book Antiqua" w:hAnsi="Book Antiqua"/>
          <w:sz w:val="22"/>
          <w:szCs w:val="22"/>
          <w:lang w:val="en-US" w:eastAsia="en-US"/>
        </w:rPr>
        <w:t>type b known or suspected</w:t>
      </w:r>
    </w:p>
    <w:p>
      <w:pPr>
        <w:pStyle w:val="Normal"/>
        <w:numPr>
          <w:ilvl w:val="1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i/>
          <w:sz w:val="22"/>
          <w:szCs w:val="22"/>
          <w:lang w:val="en-US" w:eastAsia="en-US"/>
        </w:rPr>
        <w:t>Neisseria meningitidis</w:t>
      </w:r>
      <w:r>
        <w:rPr>
          <w:rFonts w:cs="Book Antiqua" w:ascii="Book Antiqua" w:hAnsi="Book Antiqua"/>
          <w:sz w:val="22"/>
          <w:szCs w:val="22"/>
          <w:lang w:val="en-US" w:eastAsia="en-US"/>
        </w:rPr>
        <w:t xml:space="preserve"> (meningococcal) known or suspected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Meningococcal disease sepsis, pneumnia (see also meningitis)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Mumps (infectious parotitis)/ Mumps virus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Mycoplasmal pneumonia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Parvovirus B19 infection (erythema infectiosum)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Pertussis (whooping cough)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Pharyngitis in infants and young children/ Adenovirus, Orthomyxoviridae, Epstein-Barr virus, Herpes simplex virus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Pneumonia</w:t>
      </w:r>
    </w:p>
    <w:p>
      <w:pPr>
        <w:pStyle w:val="Normal"/>
        <w:numPr>
          <w:ilvl w:val="1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Adenovirus</w:t>
      </w:r>
    </w:p>
    <w:p>
      <w:pPr>
        <w:pStyle w:val="Normal"/>
        <w:numPr>
          <w:ilvl w:val="1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i/>
          <w:sz w:val="22"/>
          <w:szCs w:val="22"/>
          <w:lang w:val="en-US" w:eastAsia="en-US"/>
        </w:rPr>
        <w:t>Haemophilus influenzae</w:t>
      </w:r>
      <w:r>
        <w:rPr>
          <w:rFonts w:cs="Book Antiqua" w:ascii="Book Antiqua" w:hAnsi="Book Antiqua"/>
          <w:sz w:val="22"/>
          <w:szCs w:val="22"/>
          <w:lang w:val="en-US" w:eastAsia="en-US"/>
        </w:rPr>
        <w:t xml:space="preserve"> Serotype b, infants and children</w:t>
      </w:r>
    </w:p>
    <w:p>
      <w:pPr>
        <w:pStyle w:val="Normal"/>
        <w:numPr>
          <w:ilvl w:val="1"/>
          <w:numId w:val="2"/>
        </w:numPr>
        <w:rPr>
          <w:rFonts w:ascii="Book Antiqua" w:hAnsi="Book Antiqua" w:cs="Book Antiqua"/>
          <w:i/>
          <w:i/>
          <w:sz w:val="22"/>
          <w:szCs w:val="22"/>
          <w:lang w:val="en-US" w:eastAsia="en-US"/>
        </w:rPr>
      </w:pPr>
      <w:r>
        <w:rPr>
          <w:rFonts w:cs="Book Antiqua" w:ascii="Book Antiqua" w:hAnsi="Book Antiqua"/>
          <w:i/>
          <w:sz w:val="22"/>
          <w:szCs w:val="22"/>
          <w:lang w:val="en-US" w:eastAsia="en-US"/>
        </w:rPr>
        <w:t>Mycoplasma, primary atypical</w:t>
      </w:r>
    </w:p>
    <w:p>
      <w:pPr>
        <w:pStyle w:val="Normal"/>
        <w:numPr>
          <w:ilvl w:val="1"/>
          <w:numId w:val="2"/>
        </w:numPr>
        <w:rPr>
          <w:rFonts w:ascii="Book Antiqua" w:hAnsi="Book Antiqua" w:cs="Book Antiqua"/>
          <w:i/>
          <w:i/>
          <w:sz w:val="22"/>
          <w:szCs w:val="22"/>
          <w:lang w:val="en-US" w:eastAsia="en-US"/>
        </w:rPr>
      </w:pPr>
      <w:r>
        <w:rPr>
          <w:rFonts w:cs="Book Antiqua" w:ascii="Book Antiqua" w:hAnsi="Book Antiqua"/>
          <w:i/>
          <w:sz w:val="22"/>
          <w:szCs w:val="22"/>
          <w:lang w:val="en-US" w:eastAsia="en-US"/>
        </w:rPr>
        <w:t>Stretococcus Group A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Streptococcal disease (group A streptococcus)</w:t>
      </w:r>
    </w:p>
    <w:p>
      <w:pPr>
        <w:pStyle w:val="Normal"/>
        <w:numPr>
          <w:ilvl w:val="1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Skin, wound or burn, Major</w:t>
      </w:r>
    </w:p>
    <w:p>
      <w:pPr>
        <w:pStyle w:val="Normal"/>
        <w:numPr>
          <w:ilvl w:val="1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Pharyngitis in infants and young children</w:t>
      </w:r>
    </w:p>
    <w:p>
      <w:pPr>
        <w:pStyle w:val="Normal"/>
        <w:numPr>
          <w:ilvl w:val="1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Pneumonia</w:t>
      </w:r>
    </w:p>
    <w:p>
      <w:pPr>
        <w:pStyle w:val="Normal"/>
        <w:numPr>
          <w:ilvl w:val="1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Scarlet fever in infants and young children</w:t>
      </w:r>
    </w:p>
    <w:p>
      <w:pPr>
        <w:pStyle w:val="Normal"/>
        <w:numPr>
          <w:ilvl w:val="1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Serious invasive disease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sz w:val="22"/>
          <w:szCs w:val="22"/>
          <w:lang w:val="en-US" w:eastAsia="en-US"/>
        </w:rPr>
      </w:pPr>
      <w:r>
        <w:rPr>
          <w:rFonts w:cs="Book Antiqua" w:ascii="Book Antiqua" w:hAnsi="Book Antiqua"/>
          <w:sz w:val="22"/>
          <w:szCs w:val="22"/>
          <w:lang w:val="en-US" w:eastAsia="en-US"/>
        </w:rPr>
        <w:t>Any other disease for which public health guidelines recommend droplet precautions</w:t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432" w:top="720" w:footer="432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Book Antiqua">
    <w:charset w:val="00" w:characterSet="windows-1252"/>
    <w:family w:val="roman"/>
    <w:pitch w:val="variable"/>
  </w:font>
  <w:font w:name="Courier New">
    <w:charset w:val="00" w:characterSet="windows-1252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40"/>
      <w:rPr/>
    </w:pPr>
    <w:r>
      <w:rPr/>
    </w:r>
  </w:p>
  <w:p>
    <w:pPr>
      <w:pStyle w:val="Normal"/>
      <w:jc w:val="end"/>
      <w:rPr/>
    </w:pPr>
    <w:r>
      <w:fldChar w:fldCharType="begin"/>
    </w:r>
    <w:r>
      <w:rPr>
        <w:sz w:val="16"/>
      </w:rPr>
      <w:instrText xml:space="preserve">ADVANCE \d3</w:instrText>
    </w:r>
    <w:r>
      <w:rPr>
        <w:sz w:val="16"/>
      </w:rPr>
    </w:r>
    <w:r>
      <w:rPr>
        <w:sz w:val="16"/>
      </w:rPr>
      <w:fldChar w:fldCharType="separate"/>
    </w:r>
    <w:r>
      <w:rPr>
        <w:sz w:val="16"/>
      </w:rPr>
    </w:r>
    <w:r>
      <w:rPr>
        <w:sz w:val="16"/>
      </w:rPr>
    </w:r>
    <w:r>
      <w:rPr>
        <w:sz w:val="16"/>
      </w:rPr>
      <w:fldChar w:fldCharType="end"/>
    </w:r>
    <w:r>
      <mc:AlternateContent>
        <mc:Choice Requires="wps">
          <w:drawing>
            <wp:anchor behindDoc="1" distT="0" distB="0" distL="114935" distR="114935" simplePos="0" locked="0" layoutInCell="0" allowOverlap="1" relativeHeight="2">
              <wp:simplePos x="0" y="0"/>
              <wp:positionH relativeFrom="page">
                <wp:posOffset>2171700</wp:posOffset>
              </wp:positionH>
              <wp:positionV relativeFrom="paragraph">
                <wp:posOffset>635</wp:posOffset>
              </wp:positionV>
              <wp:extent cx="3429000" cy="12065"/>
              <wp:effectExtent l="0" t="635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1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o:allowincell="f" style="position:absolute;margin-left:171pt;margin-top:0pt;width:269.95pt;height:0.9pt;mso-wrap-style:none;v-text-anchor:middle;mso-position-horizont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</w:r>
    <w:r>
      <w:rPr>
        <w:sz w:val="16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Effective Date: 06/01/20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trackRevisions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0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0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LibreOffice/24.2.4.2$MacOSX_AARCH64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2017-05-23T10:44:00Z</dcterms:created>
  <dc:creator>Fuong Huynh</dc:creator>
  <dc:description/>
  <cp:keywords/>
  <dc:language>en-US</dc:language>
  <cp:lastModifiedBy>Lam, Susan</cp:lastModifiedBy>
  <cp:lastPrinted>2017-02-17T08:08:00Z</cp:lastPrinted>
  <dcterms:modified xsi:type="dcterms:W3CDTF">2021-05-12T15:09:00Z</dcterms:modified>
  <cp:revision>7</cp:revision>
  <dc:subject/>
  <dc:title>IC 704.1 Aerosol Transmissible Pathogens</dc:title>
</cp:coreProperties>
</file>