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DC9F5" w14:textId="108E2C89" w:rsidR="000E6F7B" w:rsidRDefault="000E6F7B" w:rsidP="00CA46D4">
      <w:pPr>
        <w:jc w:val="center"/>
        <w:rPr>
          <w:rFonts w:ascii="Arial Black" w:hAnsi="Arial Black" w:cs="Arial"/>
          <w:sz w:val="28"/>
          <w:szCs w:val="28"/>
        </w:rPr>
      </w:pPr>
      <w:r w:rsidRPr="000E6F7B">
        <w:rPr>
          <w:rFonts w:ascii="Arial Black" w:hAnsi="Arial Black" w:cs="Arial"/>
          <w:sz w:val="28"/>
          <w:szCs w:val="28"/>
        </w:rPr>
        <w:t>Problem Set 6</w:t>
      </w:r>
    </w:p>
    <w:p w14:paraId="71242840" w14:textId="031704EB" w:rsidR="000E6F7B" w:rsidRDefault="000E6F7B" w:rsidP="000E6F7B">
      <w:pPr>
        <w:jc w:val="center"/>
        <w:rPr>
          <w:rFonts w:ascii="Arial" w:hAnsi="Arial" w:cs="Arial"/>
          <w:sz w:val="24"/>
          <w:szCs w:val="24"/>
        </w:rPr>
      </w:pPr>
      <w:r w:rsidRPr="000E6F7B">
        <w:rPr>
          <w:rFonts w:ascii="Arial" w:hAnsi="Arial" w:cs="Arial"/>
          <w:sz w:val="24"/>
          <w:szCs w:val="24"/>
        </w:rPr>
        <w:t>6SSMN961: APPLIED ECONOMETRICS</w:t>
      </w:r>
    </w:p>
    <w:p w14:paraId="25246C0A" w14:textId="01517CBF" w:rsidR="000E6F7B" w:rsidRDefault="000E6F7B" w:rsidP="00CA46D4">
      <w:pPr>
        <w:ind w:left="113"/>
        <w:jc w:val="both"/>
        <w:rPr>
          <w:rFonts w:ascii="Arial" w:hAnsi="Arial" w:cs="Arial"/>
          <w:sz w:val="24"/>
          <w:szCs w:val="24"/>
        </w:rPr>
      </w:pPr>
    </w:p>
    <w:p w14:paraId="2E2B514D" w14:textId="651A3E61" w:rsidR="000E6F7B" w:rsidRPr="000E6F7B" w:rsidRDefault="000E6F7B" w:rsidP="00CA46D4">
      <w:pPr>
        <w:pStyle w:val="ListParagraph"/>
        <w:numPr>
          <w:ilvl w:val="0"/>
          <w:numId w:val="1"/>
        </w:numPr>
        <w:ind w:left="113" w:hanging="357"/>
        <w:jc w:val="both"/>
        <w:rPr>
          <w:rFonts w:ascii="Arial" w:hAnsi="Arial" w:cs="Arial"/>
        </w:rPr>
      </w:pPr>
      <w:r w:rsidRPr="000E6F7B">
        <w:rPr>
          <w:rFonts w:ascii="Arial" w:hAnsi="Arial" w:cs="Arial"/>
        </w:rPr>
        <w:t xml:space="preserve">Use the data provided to estimate the DD model. What type of standard errors are you using and why? Interpret the DD coefficient. </w:t>
      </w:r>
    </w:p>
    <w:p w14:paraId="04DF3BDE" w14:textId="7D5F3A2E" w:rsidR="000E6F7B" w:rsidRDefault="000E6F7B" w:rsidP="00CA46D4">
      <w:pPr>
        <w:pStyle w:val="ListParagraph"/>
        <w:ind w:left="113"/>
        <w:jc w:val="both"/>
        <w:rPr>
          <w:rFonts w:ascii="Arial" w:hAnsi="Arial" w:cs="Arial"/>
        </w:rPr>
      </w:pPr>
    </w:p>
    <w:p w14:paraId="41F24DD2" w14:textId="73DDE157" w:rsidR="76B567DB" w:rsidRDefault="76B567DB" w:rsidP="00CA46D4">
      <w:pPr>
        <w:pStyle w:val="ListParagraph"/>
        <w:ind w:left="113"/>
        <w:jc w:val="both"/>
        <w:rPr>
          <w:rFonts w:ascii="Arial" w:eastAsia="Arial" w:hAnsi="Arial" w:cs="Arial"/>
        </w:rPr>
      </w:pPr>
      <w:r w:rsidRPr="76B567DB">
        <w:rPr>
          <w:rFonts w:ascii="Arial" w:hAnsi="Arial" w:cs="Arial"/>
        </w:rPr>
        <w:t xml:space="preserve">The estimated DD model is in the Stata output. The DD coefficient is equal to -.2065 (𝛿 = </w:t>
      </w:r>
      <w:r w:rsidRPr="76B567DB">
        <w:rPr>
          <w:rFonts w:ascii="Arial" w:eastAsia="Arial" w:hAnsi="Arial" w:cs="Arial"/>
        </w:rPr>
        <w:t xml:space="preserve">-.2065). </w:t>
      </w:r>
      <w:r w:rsidR="00864537">
        <w:rPr>
          <w:rFonts w:ascii="Arial" w:eastAsia="Arial" w:hAnsi="Arial" w:cs="Arial"/>
        </w:rPr>
        <w:t>We a</w:t>
      </w:r>
      <w:r w:rsidRPr="76B567DB">
        <w:rPr>
          <w:rFonts w:ascii="Arial" w:eastAsia="Arial" w:hAnsi="Arial" w:cs="Arial"/>
        </w:rPr>
        <w:t xml:space="preserve">re using a Log-Level regression therefore the coefficient should be interpreted as: </w:t>
      </w:r>
    </w:p>
    <w:p w14:paraId="36AA17A2" w14:textId="7AA5D61C" w:rsidR="76B567DB" w:rsidRDefault="00736E67" w:rsidP="00CA46D4">
      <w:pPr>
        <w:pStyle w:val="ListParagraph"/>
        <w:ind w:left="113"/>
        <w:jc w:val="both"/>
        <w:rPr>
          <w:rFonts w:ascii="Arial" w:eastAsia="Arial" w:hAnsi="Arial" w:cs="Arial"/>
        </w:rPr>
      </w:pPr>
      <w:bookmarkStart w:id="0" w:name="_Hlk25164355"/>
      <m:oMathPara>
        <m:oMath>
          <m:r>
            <w:rPr>
              <w:rFonts w:ascii="Cambria Math" w:eastAsia="Arial" w:hAnsi="Cambria Math" w:cs="Arial"/>
            </w:rPr>
            <m:t xml:space="preserve">%∆y ≈100δ∙ </m:t>
          </m:r>
          <w:bookmarkStart w:id="1" w:name="_Hlk25164630"/>
          <m:r>
            <w:rPr>
              <w:rFonts w:ascii="Cambria Math" w:eastAsia="Arial" w:hAnsi="Cambria Math" w:cs="Arial"/>
            </w:rPr>
            <m:t>∆</m:t>
          </m:r>
          <m:r>
            <w:rPr>
              <w:rFonts w:ascii="Cambria Math" w:eastAsia="Arial" w:hAnsi="Cambria Math" w:cs="Arial"/>
            </w:rPr>
            <m:t>D</m:t>
          </m:r>
        </m:oMath>
      </m:oMathPara>
      <w:bookmarkEnd w:id="0"/>
      <w:bookmarkEnd w:id="1"/>
    </w:p>
    <w:p w14:paraId="68DB4F42" w14:textId="3B4F0FAB" w:rsidR="001D35D5" w:rsidRDefault="00736E67" w:rsidP="00CA46D4">
      <w:pPr>
        <w:pStyle w:val="ListParagraph"/>
        <w:ind w:left="113"/>
        <w:jc w:val="both"/>
        <w:rPr>
          <w:rFonts w:ascii="Arial" w:hAnsi="Arial" w:cs="Arial"/>
        </w:rPr>
      </w:pPr>
      <m:oMathPara>
        <m:oMath>
          <m:r>
            <w:rPr>
              <w:rFonts w:ascii="Cambria Math" w:eastAsia="Arial" w:hAnsi="Cambria Math" w:cs="Arial"/>
            </w:rPr>
            <m:t xml:space="preserve"> </m:t>
          </m:r>
          <w:bookmarkStart w:id="2" w:name="_Hlk25165155"/>
          <m:r>
            <w:rPr>
              <w:rFonts w:ascii="Cambria Math" w:eastAsia="Arial" w:hAnsi="Cambria Math" w:cs="Arial"/>
            </w:rPr>
            <m:t xml:space="preserve"> </m:t>
          </m:r>
          <m:r>
            <w:rPr>
              <w:rFonts w:ascii="Cambria Math" w:eastAsia="Arial" w:hAnsi="Cambria Math" w:cs="Arial"/>
            </w:rPr>
            <m:t>∆y ≈</m:t>
          </m:r>
          <m:r>
            <w:rPr>
              <w:rFonts w:ascii="Cambria Math" w:eastAsia="Arial" w:hAnsi="Cambria Math" w:cs="Arial"/>
            </w:rPr>
            <m:t>-20.65%</m:t>
          </m:r>
        </m:oMath>
      </m:oMathPara>
      <w:bookmarkEnd w:id="2"/>
    </w:p>
    <w:p w14:paraId="06FFCE8B" w14:textId="089531F6" w:rsidR="001D35D5" w:rsidRPr="00CA46D4" w:rsidRDefault="002B473A" w:rsidP="00CA46D4">
      <w:pPr>
        <w:pStyle w:val="ListParagraph"/>
        <w:ind w:left="113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="Arial" w:hAnsi="Cambria Math" w:cs="Arial"/>
            </w:rPr>
            <m:t>∆y</m:t>
          </m:r>
          <m:r>
            <w:rPr>
              <w:rFonts w:ascii="Cambria Math" w:eastAsia="Arial" w:hAnsi="Cambria Math" w:cs="Arial"/>
            </w:rPr>
            <m:t>=</m:t>
          </m:r>
          <m:r>
            <w:rPr>
              <w:rFonts w:ascii="Cambria Math" w:eastAsia="Arial" w:hAnsi="Cambria Math" w:cs="Arial"/>
            </w:rPr>
            <m:t>-</m:t>
          </m:r>
          <m:d>
            <m:dPr>
              <m:ctrlPr>
                <w:rPr>
                  <w:rFonts w:ascii="Cambria Math" w:eastAsia="Arial" w:hAnsi="Cambria Math" w:cs="Arial"/>
                  <w:i/>
                </w:rPr>
              </m:ctrlPr>
            </m:dPr>
            <m:e>
              <m:r>
                <w:rPr>
                  <w:rFonts w:ascii="Cambria Math" w:eastAsia="Arial" w:hAnsi="Cambria Math" w:cs="Arial"/>
                </w:rPr>
                <m:t>1-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Arial"/>
                    </w:rPr>
                    <m:t>-</m:t>
                  </m:r>
                  <m:r>
                    <w:rPr>
                      <w:rFonts w:ascii="Cambria Math" w:eastAsia="Arial" w:hAnsi="Cambria Math" w:cs="Arial"/>
                    </w:rPr>
                    <m:t>.2065</m:t>
                  </m:r>
                </m:sup>
              </m:sSup>
            </m:e>
          </m:d>
          <m:r>
            <w:rPr>
              <w:rFonts w:ascii="Cambria Math" w:eastAsia="Arial" w:hAnsi="Cambria Math" w:cs="Arial"/>
            </w:rPr>
            <m:t xml:space="preserve">∙ </m:t>
          </m:r>
          <m:r>
            <w:rPr>
              <w:rFonts w:ascii="Cambria Math" w:eastAsia="Arial" w:hAnsi="Cambria Math" w:cs="Arial"/>
            </w:rPr>
            <m:t>100=-18.66%</m:t>
          </m:r>
        </m:oMath>
      </m:oMathPara>
    </w:p>
    <w:p w14:paraId="5EAA5899" w14:textId="77777777" w:rsidR="00CA46D4" w:rsidRPr="005D3167" w:rsidRDefault="00CA46D4" w:rsidP="00CA46D4">
      <w:pPr>
        <w:pStyle w:val="ListParagraph"/>
        <w:ind w:left="113"/>
        <w:jc w:val="both"/>
        <w:rPr>
          <w:rFonts w:ascii="Arial" w:eastAsiaTheme="minorEastAsia" w:hAnsi="Arial" w:cs="Arial"/>
        </w:rPr>
      </w:pPr>
    </w:p>
    <w:p w14:paraId="535D4431" w14:textId="10588D13" w:rsidR="005D3167" w:rsidRDefault="005D3167" w:rsidP="00CA46D4">
      <w:pPr>
        <w:pStyle w:val="ListParagraph"/>
        <w:ind w:left="113"/>
        <w:jc w:val="both"/>
        <w:rPr>
          <w:rFonts w:ascii="Arial" w:hAnsi="Arial" w:cs="Arial"/>
        </w:rPr>
      </w:pPr>
      <w:r>
        <w:rPr>
          <w:rFonts w:ascii="Arial" w:hAnsi="Arial" w:cs="Arial"/>
        </w:rPr>
        <w:t>The increase in tuition fees reduced the number of applications by 18.66%</w:t>
      </w:r>
      <w:r w:rsidR="00394620">
        <w:rPr>
          <w:rFonts w:ascii="Arial" w:hAnsi="Arial" w:cs="Arial"/>
        </w:rPr>
        <w:t xml:space="preserve"> (</w:t>
      </w:r>
      <w:r w:rsidR="00394620" w:rsidRPr="00394620">
        <w:rPr>
          <w:rFonts w:ascii="Arial" w:hAnsi="Arial" w:cs="Arial"/>
        </w:rPr>
        <w:t xml:space="preserve">p -value </w:t>
      </w:r>
      <w:r w:rsidR="00D746A4">
        <w:rPr>
          <w:rFonts w:ascii="Arial" w:hAnsi="Arial" w:cs="Arial"/>
        </w:rPr>
        <w:t>&lt;</w:t>
      </w:r>
      <w:r w:rsidR="00394620" w:rsidRPr="00394620">
        <w:rPr>
          <w:rFonts w:ascii="Arial" w:hAnsi="Arial" w:cs="Arial"/>
        </w:rPr>
        <w:t xml:space="preserve"> 0.0</w:t>
      </w:r>
      <w:r w:rsidR="009F2C7A">
        <w:rPr>
          <w:rFonts w:ascii="Arial" w:hAnsi="Arial" w:cs="Arial"/>
        </w:rPr>
        <w:t>1</w:t>
      </w:r>
      <w:r w:rsidR="00394620" w:rsidRPr="00394620">
        <w:rPr>
          <w:rFonts w:ascii="Arial" w:hAnsi="Arial" w:cs="Arial"/>
        </w:rPr>
        <w:t>)</w:t>
      </w:r>
    </w:p>
    <w:p w14:paraId="2F8155DA" w14:textId="0FC75FAB" w:rsidR="005D3167" w:rsidRDefault="005D3167" w:rsidP="00CA46D4">
      <w:pPr>
        <w:pStyle w:val="ListParagraph"/>
        <w:ind w:left="113"/>
        <w:jc w:val="both"/>
        <w:rPr>
          <w:rFonts w:ascii="Arial" w:hAnsi="Arial" w:cs="Arial"/>
        </w:rPr>
      </w:pPr>
    </w:p>
    <w:p w14:paraId="6EADE3EE" w14:textId="3DD5E036" w:rsidR="005D3167" w:rsidRDefault="005D3167" w:rsidP="00CA46D4">
      <w:pPr>
        <w:pStyle w:val="ListParagraph"/>
        <w:ind w:left="11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am using Clustered standard errors </w:t>
      </w:r>
      <w:r w:rsidR="00864537">
        <w:rPr>
          <w:rFonts w:ascii="Arial" w:hAnsi="Arial" w:cs="Arial"/>
        </w:rPr>
        <w:t>to avoid the problem of serial correlation that could appear because we are using panel data</w:t>
      </w:r>
      <w:r w:rsidR="007D102E">
        <w:rPr>
          <w:rFonts w:ascii="Arial" w:hAnsi="Arial" w:cs="Arial"/>
        </w:rPr>
        <w:t>. Cluster standard errors guarantees that we do not have to worry about serial correlation which could distort the results.</w:t>
      </w:r>
    </w:p>
    <w:p w14:paraId="14EABE9F" w14:textId="77777777" w:rsidR="00CA46D4" w:rsidRDefault="00CA46D4" w:rsidP="00CA46D4">
      <w:pPr>
        <w:pStyle w:val="ListParagraph"/>
        <w:ind w:left="113"/>
        <w:jc w:val="both"/>
        <w:rPr>
          <w:rFonts w:ascii="Arial" w:hAnsi="Arial" w:cs="Arial"/>
        </w:rPr>
      </w:pPr>
    </w:p>
    <w:p w14:paraId="74AE0531" w14:textId="398BA340" w:rsidR="000E6F7B" w:rsidRDefault="000E6F7B" w:rsidP="00CA46D4">
      <w:pPr>
        <w:pStyle w:val="ListParagraph"/>
        <w:ind w:left="113"/>
        <w:jc w:val="both"/>
        <w:rPr>
          <w:rFonts w:ascii="Arial" w:hAnsi="Arial" w:cs="Arial"/>
        </w:rPr>
      </w:pPr>
    </w:p>
    <w:p w14:paraId="1EFABDA0" w14:textId="164E4E0A" w:rsidR="000E6F7B" w:rsidRPr="00CA46D4" w:rsidRDefault="000E6F7B" w:rsidP="00CA46D4">
      <w:pPr>
        <w:pStyle w:val="ListParagraph"/>
        <w:numPr>
          <w:ilvl w:val="0"/>
          <w:numId w:val="1"/>
        </w:numPr>
        <w:ind w:left="113"/>
        <w:jc w:val="both"/>
        <w:rPr>
          <w:rFonts w:ascii="Arial" w:hAnsi="Arial" w:cs="Arial"/>
        </w:rPr>
      </w:pPr>
      <w:r w:rsidRPr="00CA46D4">
        <w:rPr>
          <w:rFonts w:ascii="Arial" w:hAnsi="Arial" w:cs="Arial"/>
        </w:rPr>
        <w:t xml:space="preserve">Under what assumption can you interpret the DD estimate from part 1 as the causal effect of the increase in tuition fees on university applications? Use the data to construct a graph that provides a visual check of this identification </w:t>
      </w:r>
      <w:r w:rsidR="00DB2822" w:rsidRPr="00CA46D4">
        <w:rPr>
          <w:rFonts w:ascii="Arial" w:hAnsi="Arial" w:cs="Arial"/>
        </w:rPr>
        <w:t>assumption. What</w:t>
      </w:r>
      <w:r w:rsidRPr="00CA46D4">
        <w:rPr>
          <w:rFonts w:ascii="Arial" w:hAnsi="Arial" w:cs="Arial"/>
        </w:rPr>
        <w:t xml:space="preserve"> do you conclude from this graph?</w:t>
      </w:r>
    </w:p>
    <w:p w14:paraId="22597555" w14:textId="6DC6E9AF" w:rsidR="007D102E" w:rsidRDefault="00CA46D4" w:rsidP="007D102E">
      <w:pPr>
        <w:pStyle w:val="ListParagraph"/>
        <w:ind w:left="51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3494C261" wp14:editId="76CFAAD5">
            <wp:simplePos x="0" y="0"/>
            <wp:positionH relativeFrom="margin">
              <wp:align>right</wp:align>
            </wp:positionH>
            <wp:positionV relativeFrom="paragraph">
              <wp:posOffset>303530</wp:posOffset>
            </wp:positionV>
            <wp:extent cx="5400675" cy="3935730"/>
            <wp:effectExtent l="0" t="0" r="9525" b="7620"/>
            <wp:wrapTight wrapText="bothSides">
              <wp:wrapPolygon edited="0">
                <wp:start x="0" y="0"/>
                <wp:lineTo x="0" y="21537"/>
                <wp:lineTo x="21562" y="21537"/>
                <wp:lineTo x="215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7D020" w14:textId="77777777" w:rsidR="00B87076" w:rsidRDefault="007D102E" w:rsidP="005E565E">
      <w:pPr>
        <w:pStyle w:val="ListParagraph"/>
        <w:ind w:left="113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Under the common trend assumption, this implies that treatment and control group follow</w:t>
      </w:r>
      <w:r w:rsidR="00114F7F">
        <w:rPr>
          <w:rFonts w:ascii="Arial" w:hAnsi="Arial" w:cs="Arial"/>
        </w:rPr>
        <w:t xml:space="preserve">ed a common trend before </w:t>
      </w:r>
      <w:r>
        <w:rPr>
          <w:rFonts w:ascii="Arial" w:hAnsi="Arial" w:cs="Arial"/>
        </w:rPr>
        <w:t>the treatment.</w:t>
      </w:r>
      <w:r w:rsidR="00114F7F">
        <w:rPr>
          <w:rFonts w:ascii="Arial" w:hAnsi="Arial" w:cs="Arial"/>
        </w:rPr>
        <w:t xml:space="preserve"> If this assumption does not hold up the contrafactual would be wrong hence we would not be able to interpret the coefficient as the causal effect. </w:t>
      </w:r>
    </w:p>
    <w:p w14:paraId="41F6ECF9" w14:textId="77777777" w:rsidR="00CF08A6" w:rsidRDefault="00CF08A6" w:rsidP="005E565E">
      <w:pPr>
        <w:pStyle w:val="ListParagraph"/>
        <w:ind w:left="113"/>
        <w:jc w:val="both"/>
        <w:rPr>
          <w:rFonts w:ascii="Arial" w:hAnsi="Arial" w:cs="Arial"/>
        </w:rPr>
      </w:pPr>
    </w:p>
    <w:p w14:paraId="16A47DDC" w14:textId="6DA47BB0" w:rsidR="00114F7F" w:rsidRPr="004E6B26" w:rsidRDefault="00CF08A6" w:rsidP="005E565E">
      <w:pPr>
        <w:pStyle w:val="ListParagraph"/>
        <w:ind w:left="113"/>
        <w:jc w:val="both"/>
        <w:rPr>
          <w:rFonts w:ascii="Arial" w:hAnsi="Arial" w:cs="Arial"/>
        </w:rPr>
      </w:pPr>
      <w:r>
        <w:rPr>
          <w:rFonts w:ascii="Arial" w:hAnsi="Arial" w:cs="Arial"/>
        </w:rPr>
        <w:t>Looking to the graph</w:t>
      </w:r>
      <w:r w:rsidR="00B87076">
        <w:rPr>
          <w:rFonts w:ascii="Arial" w:hAnsi="Arial" w:cs="Arial"/>
        </w:rPr>
        <w:t xml:space="preserve"> </w:t>
      </w:r>
      <w:r w:rsidR="00FE1AAB">
        <w:rPr>
          <w:rFonts w:ascii="Arial" w:hAnsi="Arial" w:cs="Arial"/>
        </w:rPr>
        <w:t xml:space="preserve">the common trend assumption </w:t>
      </w:r>
      <w:r w:rsidR="001D4355">
        <w:rPr>
          <w:rFonts w:ascii="Arial" w:hAnsi="Arial" w:cs="Arial"/>
        </w:rPr>
        <w:t xml:space="preserve">seems reasonable, the evolution of the applications </w:t>
      </w:r>
      <w:r w:rsidR="00B227A5">
        <w:rPr>
          <w:rFonts w:ascii="Arial" w:hAnsi="Arial" w:cs="Arial"/>
        </w:rPr>
        <w:t>in England an</w:t>
      </w:r>
      <w:r w:rsidR="004E6B26">
        <w:rPr>
          <w:rFonts w:ascii="Arial" w:hAnsi="Arial" w:cs="Arial"/>
        </w:rPr>
        <w:t>d</w:t>
      </w:r>
      <w:r w:rsidR="00B227A5">
        <w:rPr>
          <w:rFonts w:ascii="Arial" w:hAnsi="Arial" w:cs="Arial"/>
        </w:rPr>
        <w:t xml:space="preserve"> </w:t>
      </w:r>
      <w:r w:rsidR="003973CA">
        <w:rPr>
          <w:rFonts w:ascii="Arial" w:hAnsi="Arial" w:cs="Arial"/>
        </w:rPr>
        <w:t>Scotland drew</w:t>
      </w:r>
      <w:r w:rsidR="004E6B26">
        <w:rPr>
          <w:rFonts w:ascii="Arial" w:hAnsi="Arial" w:cs="Arial"/>
        </w:rPr>
        <w:t xml:space="preserve"> parallel lines before 2012</w:t>
      </w:r>
      <w:r w:rsidR="003973CA">
        <w:rPr>
          <w:rFonts w:ascii="Arial" w:hAnsi="Arial" w:cs="Arial"/>
        </w:rPr>
        <w:t>.</w:t>
      </w:r>
      <w:r w:rsidR="00761551">
        <w:rPr>
          <w:rFonts w:ascii="Arial" w:hAnsi="Arial" w:cs="Arial"/>
        </w:rPr>
        <w:t xml:space="preserve"> Although after</w:t>
      </w:r>
      <w:r w:rsidR="003973CA">
        <w:rPr>
          <w:rFonts w:ascii="Arial" w:hAnsi="Arial" w:cs="Arial"/>
        </w:rPr>
        <w:t xml:space="preserve"> the increase in fees </w:t>
      </w:r>
      <w:r w:rsidR="00DB43DC">
        <w:rPr>
          <w:rFonts w:ascii="Arial" w:hAnsi="Arial" w:cs="Arial"/>
        </w:rPr>
        <w:t>we can see a divergence of th</w:t>
      </w:r>
      <w:r w:rsidR="007A0741">
        <w:rPr>
          <w:rFonts w:ascii="Arial" w:hAnsi="Arial" w:cs="Arial"/>
        </w:rPr>
        <w:t>e</w:t>
      </w:r>
      <w:r w:rsidR="00DB43DC">
        <w:rPr>
          <w:rFonts w:ascii="Arial" w:hAnsi="Arial" w:cs="Arial"/>
        </w:rPr>
        <w:t xml:space="preserve"> common pattern</w:t>
      </w:r>
      <w:r w:rsidR="00DC3728">
        <w:rPr>
          <w:rFonts w:ascii="Arial" w:hAnsi="Arial" w:cs="Arial"/>
        </w:rPr>
        <w:t xml:space="preserve"> </w:t>
      </w:r>
      <w:r w:rsidR="00D61523">
        <w:rPr>
          <w:rFonts w:ascii="Arial" w:hAnsi="Arial" w:cs="Arial"/>
        </w:rPr>
        <w:t>by</w:t>
      </w:r>
      <w:r w:rsidR="00DC3728">
        <w:rPr>
          <w:rFonts w:ascii="Arial" w:hAnsi="Arial" w:cs="Arial"/>
        </w:rPr>
        <w:t xml:space="preserve"> England</w:t>
      </w:r>
      <w:r w:rsidR="00441EB2">
        <w:rPr>
          <w:rFonts w:ascii="Arial" w:hAnsi="Arial" w:cs="Arial"/>
        </w:rPr>
        <w:t xml:space="preserve">. All of this </w:t>
      </w:r>
      <w:r w:rsidR="00C12F4D">
        <w:rPr>
          <w:rFonts w:ascii="Arial" w:hAnsi="Arial" w:cs="Arial"/>
        </w:rPr>
        <w:t xml:space="preserve">seems to fit </w:t>
      </w:r>
      <w:r w:rsidR="003647FE">
        <w:rPr>
          <w:rFonts w:ascii="Arial" w:hAnsi="Arial" w:cs="Arial"/>
        </w:rPr>
        <w:t xml:space="preserve">the assumptions. </w:t>
      </w:r>
    </w:p>
    <w:p w14:paraId="5EED5909" w14:textId="77777777" w:rsidR="000E6F7B" w:rsidRPr="000E6F7B" w:rsidRDefault="000E6F7B" w:rsidP="00791187">
      <w:pPr>
        <w:jc w:val="both"/>
        <w:rPr>
          <w:rFonts w:ascii="Arial" w:hAnsi="Arial" w:cs="Arial"/>
        </w:rPr>
      </w:pPr>
    </w:p>
    <w:p w14:paraId="3587225A" w14:textId="1C3D9EC7" w:rsidR="000E6F7B" w:rsidRDefault="000E6F7B" w:rsidP="005E565E">
      <w:pPr>
        <w:pStyle w:val="ListParagraph"/>
        <w:numPr>
          <w:ilvl w:val="0"/>
          <w:numId w:val="1"/>
        </w:numPr>
        <w:ind w:left="113"/>
        <w:jc w:val="both"/>
        <w:rPr>
          <w:rFonts w:ascii="Arial" w:hAnsi="Arial" w:cs="Arial"/>
        </w:rPr>
      </w:pPr>
      <w:r w:rsidRPr="000E6F7B">
        <w:rPr>
          <w:rFonts w:ascii="Arial" w:hAnsi="Arial" w:cs="Arial"/>
        </w:rPr>
        <w:t>Repeat the analysis in part 1 but extend the model to include a country-specific linear trend. How do your results change?</w:t>
      </w:r>
    </w:p>
    <w:p w14:paraId="03010818" w14:textId="594532D9" w:rsidR="000E6F7B" w:rsidRPr="00D92E78" w:rsidRDefault="00585816" w:rsidP="00D92E78">
      <w:pPr>
        <w:ind w:left="113"/>
        <w:jc w:val="both"/>
        <w:rPr>
          <w:rFonts w:ascii="Arial" w:hAnsi="Arial" w:cs="Arial"/>
        </w:rPr>
      </w:pPr>
      <w:r w:rsidRPr="76B567DB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new</w:t>
      </w:r>
      <w:r w:rsidRPr="76B567DB">
        <w:rPr>
          <w:rFonts w:ascii="Arial" w:hAnsi="Arial" w:cs="Arial"/>
        </w:rPr>
        <w:t xml:space="preserve"> DD coefficient is equal to </w:t>
      </w:r>
      <w:r w:rsidR="00D92E78" w:rsidRPr="00D92E78">
        <w:rPr>
          <w:rFonts w:ascii="Arial" w:hAnsi="Arial" w:cs="Arial"/>
        </w:rPr>
        <w:t>-.2631</w:t>
      </w:r>
      <w:r w:rsidRPr="76B567DB">
        <w:rPr>
          <w:rFonts w:ascii="Arial" w:hAnsi="Arial" w:cs="Arial"/>
        </w:rPr>
        <w:t xml:space="preserve"> (𝛿 = </w:t>
      </w:r>
      <w:r w:rsidR="00A20EDF" w:rsidRPr="00D92E78">
        <w:rPr>
          <w:rFonts w:ascii="Arial" w:hAnsi="Arial" w:cs="Arial"/>
        </w:rPr>
        <w:t>-.2631</w:t>
      </w:r>
      <w:r w:rsidRPr="76B567DB">
        <w:rPr>
          <w:rFonts w:ascii="Arial" w:eastAsia="Arial" w:hAnsi="Arial" w:cs="Arial"/>
        </w:rPr>
        <w:t>).</w:t>
      </w:r>
      <w:r w:rsidR="00FD189F">
        <w:rPr>
          <w:rFonts w:ascii="Arial" w:eastAsia="Arial" w:hAnsi="Arial" w:cs="Arial"/>
        </w:rPr>
        <w:t xml:space="preserve"> </w:t>
      </w:r>
      <w:r w:rsidR="0063250F">
        <w:rPr>
          <w:rFonts w:ascii="Arial" w:eastAsia="Arial" w:hAnsi="Arial" w:cs="Arial"/>
        </w:rPr>
        <w:t>which means that</w:t>
      </w:r>
      <w:r w:rsidR="00587F72">
        <w:rPr>
          <w:rFonts w:ascii="Arial" w:eastAsia="Arial" w:hAnsi="Arial" w:cs="Arial"/>
        </w:rPr>
        <w:t xml:space="preserve"> i</w:t>
      </w:r>
      <w:r w:rsidR="00BF7E8E">
        <w:rPr>
          <w:rFonts w:ascii="Arial" w:eastAsia="Arial" w:hAnsi="Arial" w:cs="Arial"/>
        </w:rPr>
        <w:t>n the new model</w:t>
      </w:r>
      <w:r w:rsidR="0063250F">
        <w:rPr>
          <w:rFonts w:ascii="Arial" w:eastAsia="Arial" w:hAnsi="Arial" w:cs="Arial"/>
        </w:rPr>
        <w:t xml:space="preserve"> t</w:t>
      </w:r>
      <w:r w:rsidR="0063250F" w:rsidRPr="0063250F">
        <w:rPr>
          <w:rFonts w:ascii="Arial" w:eastAsia="Arial" w:hAnsi="Arial" w:cs="Arial"/>
        </w:rPr>
        <w:t xml:space="preserve">he increase in tuition fees reduced the number of applications by </w:t>
      </w:r>
      <w:r w:rsidR="00BF7E8E">
        <w:rPr>
          <w:rFonts w:ascii="Arial" w:eastAsia="Arial" w:hAnsi="Arial" w:cs="Arial"/>
        </w:rPr>
        <w:t>23.14</w:t>
      </w:r>
      <w:r w:rsidR="0063250F" w:rsidRPr="0063250F">
        <w:rPr>
          <w:rFonts w:ascii="Arial" w:eastAsia="Arial" w:hAnsi="Arial" w:cs="Arial"/>
        </w:rPr>
        <w:t xml:space="preserve">% (p -value </w:t>
      </w:r>
      <w:r w:rsidR="009F2C7A">
        <w:rPr>
          <w:rFonts w:ascii="Arial" w:eastAsia="Arial" w:hAnsi="Arial" w:cs="Arial"/>
        </w:rPr>
        <w:t>&lt;</w:t>
      </w:r>
      <w:r w:rsidR="0063250F" w:rsidRPr="0063250F">
        <w:rPr>
          <w:rFonts w:ascii="Arial" w:eastAsia="Arial" w:hAnsi="Arial" w:cs="Arial"/>
        </w:rPr>
        <w:t xml:space="preserve"> 0.0</w:t>
      </w:r>
      <w:r w:rsidR="009F2C7A">
        <w:rPr>
          <w:rFonts w:ascii="Arial" w:eastAsia="Arial" w:hAnsi="Arial" w:cs="Arial"/>
        </w:rPr>
        <w:t>1</w:t>
      </w:r>
      <w:r w:rsidR="0063250F" w:rsidRPr="0063250F">
        <w:rPr>
          <w:rFonts w:ascii="Arial" w:eastAsia="Arial" w:hAnsi="Arial" w:cs="Arial"/>
        </w:rPr>
        <w:t>)</w:t>
      </w:r>
      <w:r w:rsidR="003666B9">
        <w:rPr>
          <w:rFonts w:ascii="Arial" w:eastAsia="Arial" w:hAnsi="Arial" w:cs="Arial"/>
        </w:rPr>
        <w:t xml:space="preserve"> </w:t>
      </w:r>
    </w:p>
    <w:p w14:paraId="1C993AFC" w14:textId="6E498FCA" w:rsidR="000E6F7B" w:rsidRDefault="00AD5D91" w:rsidP="005E565E">
      <w:pPr>
        <w:ind w:left="113"/>
        <w:jc w:val="both"/>
        <w:rPr>
          <w:rFonts w:ascii="Arial" w:hAnsi="Arial" w:cs="Arial"/>
        </w:rPr>
      </w:pPr>
      <w:r>
        <w:rPr>
          <w:rFonts w:ascii="Arial" w:hAnsi="Arial" w:cs="Arial"/>
        </w:rPr>
        <w:t>These results are consistent with the first estimation</w:t>
      </w:r>
      <w:r w:rsidR="00BF6D13">
        <w:rPr>
          <w:rFonts w:ascii="Arial" w:hAnsi="Arial" w:cs="Arial"/>
        </w:rPr>
        <w:t xml:space="preserve"> </w:t>
      </w:r>
      <w:r w:rsidR="00D4298F">
        <w:rPr>
          <w:rFonts w:ascii="Arial" w:hAnsi="Arial" w:cs="Arial"/>
        </w:rPr>
        <w:t>and support</w:t>
      </w:r>
      <w:r w:rsidR="00207F09">
        <w:rPr>
          <w:rFonts w:ascii="Arial" w:hAnsi="Arial" w:cs="Arial"/>
        </w:rPr>
        <w:t xml:space="preserve"> the causal interpretation of the first model</w:t>
      </w:r>
      <w:r w:rsidR="00EC5902">
        <w:rPr>
          <w:rFonts w:ascii="Arial" w:hAnsi="Arial" w:cs="Arial"/>
        </w:rPr>
        <w:t xml:space="preserve"> </w:t>
      </w:r>
      <w:r w:rsidR="00EC5902" w:rsidRPr="00CA46D4">
        <w:rPr>
          <w:rFonts w:ascii="Arial" w:hAnsi="Arial" w:cs="Arial"/>
        </w:rPr>
        <w:t>DD estimate</w:t>
      </w:r>
      <w:r w:rsidR="00207F09">
        <w:rPr>
          <w:rFonts w:ascii="Arial" w:hAnsi="Arial" w:cs="Arial"/>
        </w:rPr>
        <w:t xml:space="preserve"> </w:t>
      </w:r>
      <w:r w:rsidR="006115CA">
        <w:rPr>
          <w:rFonts w:ascii="Arial" w:hAnsi="Arial" w:cs="Arial"/>
        </w:rPr>
        <w:t xml:space="preserve">as the inclusion of state trends do not make </w:t>
      </w:r>
      <w:r w:rsidR="00EC5902">
        <w:rPr>
          <w:rFonts w:ascii="Arial" w:hAnsi="Arial" w:cs="Arial"/>
        </w:rPr>
        <w:t xml:space="preserve">a difference. </w:t>
      </w:r>
    </w:p>
    <w:p w14:paraId="24026F97" w14:textId="783CA793" w:rsidR="00AD5D91" w:rsidRDefault="00F717E3" w:rsidP="005E565E">
      <w:pPr>
        <w:ind w:left="113"/>
        <w:jc w:val="both"/>
        <w:rPr>
          <w:rFonts w:ascii="Arial" w:hAnsi="Arial" w:cs="Arial"/>
        </w:rPr>
      </w:pPr>
      <w:r>
        <w:rPr>
          <w:rFonts w:ascii="Arial" w:hAnsi="Arial" w:cs="Arial"/>
        </w:rPr>
        <w:t>The results change in a slight quantitative way but no qualitative</w:t>
      </w:r>
      <w:r w:rsidR="001C174F">
        <w:rPr>
          <w:rFonts w:ascii="Arial" w:hAnsi="Arial" w:cs="Arial"/>
        </w:rPr>
        <w:t xml:space="preserve"> which is good for the </w:t>
      </w:r>
      <w:r w:rsidR="005237FF">
        <w:rPr>
          <w:rFonts w:ascii="Arial" w:hAnsi="Arial" w:cs="Arial"/>
        </w:rPr>
        <w:t>interpretation</w:t>
      </w:r>
      <w:r w:rsidR="001C174F">
        <w:rPr>
          <w:rFonts w:ascii="Arial" w:hAnsi="Arial" w:cs="Arial"/>
        </w:rPr>
        <w:t xml:space="preserve"> of the first model and the</w:t>
      </w:r>
      <w:r w:rsidR="00ED7C0C">
        <w:rPr>
          <w:rFonts w:ascii="Arial" w:hAnsi="Arial" w:cs="Arial"/>
        </w:rPr>
        <w:t xml:space="preserve"> </w:t>
      </w:r>
      <w:r w:rsidR="00ED7C0C">
        <w:rPr>
          <w:rFonts w:ascii="Arial" w:hAnsi="Arial" w:cs="Arial"/>
        </w:rPr>
        <w:t>common trend assumption</w:t>
      </w:r>
      <w:r w:rsidR="00ED7C0C">
        <w:rPr>
          <w:rFonts w:ascii="Arial" w:hAnsi="Arial" w:cs="Arial"/>
        </w:rPr>
        <w:t>.</w:t>
      </w:r>
    </w:p>
    <w:p w14:paraId="7FFA089B" w14:textId="77777777" w:rsidR="000E6F7B" w:rsidRPr="000E6F7B" w:rsidRDefault="000E6F7B" w:rsidP="00ED7C0C">
      <w:pPr>
        <w:jc w:val="both"/>
        <w:rPr>
          <w:rFonts w:ascii="Arial" w:hAnsi="Arial" w:cs="Arial"/>
        </w:rPr>
      </w:pPr>
    </w:p>
    <w:p w14:paraId="446FDB18" w14:textId="7FB66288" w:rsidR="000E6F7B" w:rsidRPr="000E6F7B" w:rsidRDefault="000E6F7B" w:rsidP="005E565E">
      <w:pPr>
        <w:pStyle w:val="ListParagraph"/>
        <w:numPr>
          <w:ilvl w:val="0"/>
          <w:numId w:val="1"/>
        </w:numPr>
        <w:ind w:left="113"/>
        <w:jc w:val="both"/>
        <w:rPr>
          <w:rFonts w:ascii="Arial" w:hAnsi="Arial" w:cs="Arial"/>
        </w:rPr>
      </w:pPr>
      <w:r w:rsidRPr="000E6F7B">
        <w:rPr>
          <w:rFonts w:ascii="Arial" w:hAnsi="Arial" w:cs="Arial"/>
        </w:rPr>
        <w:t>To check whether the effect of the increase in tuition fees on applications is different for STEM subjects (science, technology, engineering and mathematics) and non-STEM subjects, the model is modified</w:t>
      </w:r>
      <w:r>
        <w:rPr>
          <w:rFonts w:ascii="Arial" w:hAnsi="Arial" w:cs="Arial"/>
        </w:rPr>
        <w:t>.</w:t>
      </w:r>
      <w:r w:rsidR="00D14DC5" w:rsidRPr="00D14DC5">
        <w:t xml:space="preserve"> </w:t>
      </w:r>
      <w:r w:rsidR="00D14DC5" w:rsidRPr="00D14DC5">
        <w:rPr>
          <w:rFonts w:ascii="Arial" w:hAnsi="Arial" w:cs="Arial"/>
        </w:rPr>
        <w:t xml:space="preserve">Interpret the estimates </w:t>
      </w:r>
      <w:r w:rsidR="00D14DC5" w:rsidRPr="00D14DC5">
        <w:rPr>
          <w:rFonts w:ascii="Cambria Math" w:hAnsi="Cambria Math" w:cs="Cambria Math"/>
        </w:rPr>
        <w:t>𝛿</w:t>
      </w:r>
      <w:r w:rsidR="00D14DC5" w:rsidRPr="00D14DC5">
        <w:rPr>
          <w:rFonts w:ascii="Cambria Math" w:hAnsi="Cambria Math" w:cs="Cambria Math"/>
          <w:vertAlign w:val="subscript"/>
        </w:rPr>
        <w:t>𝑆𝑇𝐸𝑀</w:t>
      </w:r>
      <w:r w:rsidR="00D14DC5" w:rsidRPr="00D14DC5">
        <w:rPr>
          <w:rFonts w:ascii="Arial" w:hAnsi="Arial" w:cs="Arial"/>
        </w:rPr>
        <w:t xml:space="preserve"> and </w:t>
      </w:r>
      <w:r w:rsidR="00D14DC5" w:rsidRPr="00D14DC5">
        <w:rPr>
          <w:rFonts w:ascii="Cambria Math" w:hAnsi="Cambria Math" w:cs="Cambria Math"/>
        </w:rPr>
        <w:t>𝛿</w:t>
      </w:r>
      <w:r w:rsidR="00D14DC5" w:rsidRPr="00D14DC5">
        <w:rPr>
          <w:rFonts w:ascii="Cambria Math" w:hAnsi="Cambria Math" w:cs="Cambria Math"/>
          <w:vertAlign w:val="subscript"/>
        </w:rPr>
        <w:t>𝑁𝑂𝑁</w:t>
      </w:r>
      <w:r w:rsidR="00D14DC5" w:rsidRPr="00D14DC5">
        <w:rPr>
          <w:rFonts w:ascii="Arial" w:hAnsi="Arial" w:cs="Arial"/>
          <w:vertAlign w:val="subscript"/>
        </w:rPr>
        <w:t>−</w:t>
      </w:r>
      <w:r w:rsidR="00D14DC5" w:rsidRPr="00D14DC5">
        <w:rPr>
          <w:rFonts w:ascii="Cambria Math" w:hAnsi="Cambria Math" w:cs="Cambria Math"/>
          <w:vertAlign w:val="subscript"/>
        </w:rPr>
        <w:t>𝑆𝑇𝐸𝑀</w:t>
      </w:r>
      <w:r w:rsidR="00D14DC5" w:rsidRPr="00D14DC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0E6F7B">
        <w:rPr>
          <w:rFonts w:ascii="Arial" w:hAnsi="Arial" w:cs="Arial"/>
        </w:rPr>
        <w:t xml:space="preserve">What do you conclude about the effect of the increase in tuition fees on applications for different types of subjects? </w:t>
      </w:r>
    </w:p>
    <w:p w14:paraId="600A30C5" w14:textId="0DC877B6" w:rsidR="000E6F7B" w:rsidRDefault="000E6F7B" w:rsidP="005E565E">
      <w:pPr>
        <w:pStyle w:val="ListParagraph"/>
        <w:ind w:left="113"/>
        <w:jc w:val="both"/>
        <w:rPr>
          <w:rFonts w:ascii="Arial" w:hAnsi="Arial" w:cs="Arial"/>
        </w:rPr>
      </w:pPr>
    </w:p>
    <w:p w14:paraId="4DA40F49" w14:textId="549491C9" w:rsidR="00B85C60" w:rsidRPr="005A5A34" w:rsidRDefault="00630B29" w:rsidP="005A5A34">
      <w:pPr>
        <w:pStyle w:val="ListParagraph"/>
        <w:ind w:left="113"/>
        <w:jc w:val="both"/>
        <w:rPr>
          <w:rFonts w:ascii="Arial" w:hAnsi="Arial" w:cs="Arial"/>
        </w:rPr>
      </w:pPr>
      <w:r>
        <w:rPr>
          <w:rFonts w:ascii="Cambria Math" w:hAnsi="Cambria Math" w:cs="Cambria Math"/>
        </w:rPr>
        <w:t>(</w:t>
      </w:r>
      <w:r w:rsidR="00B85C60" w:rsidRPr="00EA3C00">
        <w:rPr>
          <w:rFonts w:ascii="Cambria Math" w:hAnsi="Cambria Math" w:cs="Cambria Math"/>
        </w:rPr>
        <w:t>𝛿</w:t>
      </w:r>
      <w:r w:rsidR="00B85C60" w:rsidRPr="00EA3C00">
        <w:rPr>
          <w:rFonts w:ascii="Cambria Math" w:hAnsi="Cambria Math" w:cs="Cambria Math"/>
          <w:vertAlign w:val="subscript"/>
        </w:rPr>
        <w:t>𝑆𝑇𝐸𝑀</w:t>
      </w:r>
      <w:r w:rsidR="00B85C60">
        <w:rPr>
          <w:rFonts w:ascii="Cambria Math" w:hAnsi="Cambria Math" w:cs="Cambria Math"/>
          <w:vertAlign w:val="subscript"/>
        </w:rPr>
        <w:t xml:space="preserve"> =</w:t>
      </w:r>
      <w:r w:rsidR="00EA3C00" w:rsidRPr="00EA3C00">
        <w:rPr>
          <w:rFonts w:ascii="Arial" w:hAnsi="Arial" w:cs="Arial"/>
        </w:rPr>
        <w:t xml:space="preserve"> </w:t>
      </w:r>
      <w:r w:rsidR="00B85C60" w:rsidRPr="00B85C60">
        <w:rPr>
          <w:rFonts w:ascii="Arial" w:hAnsi="Arial" w:cs="Arial"/>
        </w:rPr>
        <w:t>-.0993</w:t>
      </w:r>
      <w:r>
        <w:rPr>
          <w:rFonts w:ascii="Arial" w:hAnsi="Arial" w:cs="Arial"/>
        </w:rPr>
        <w:t xml:space="preserve">) </w:t>
      </w:r>
      <w:bookmarkStart w:id="3" w:name="_Hlk25172191"/>
      <w:r w:rsidR="004A2ACD">
        <w:rPr>
          <w:rFonts w:ascii="Arial" w:hAnsi="Arial" w:cs="Arial"/>
        </w:rPr>
        <w:t xml:space="preserve">The increase in tuition fees </w:t>
      </w:r>
      <w:r w:rsidR="008A1DB7">
        <w:rPr>
          <w:rFonts w:ascii="Arial" w:hAnsi="Arial" w:cs="Arial"/>
        </w:rPr>
        <w:t xml:space="preserve">caused a </w:t>
      </w:r>
      <w:r w:rsidR="000647DE">
        <w:rPr>
          <w:rFonts w:ascii="Arial" w:hAnsi="Arial" w:cs="Arial"/>
        </w:rPr>
        <w:t xml:space="preserve">9.46% </w:t>
      </w:r>
      <w:r w:rsidR="008A1DB7">
        <w:rPr>
          <w:rFonts w:ascii="Arial" w:hAnsi="Arial" w:cs="Arial"/>
        </w:rPr>
        <w:t>decrease</w:t>
      </w:r>
      <w:r w:rsidR="00297BE1">
        <w:rPr>
          <w:rFonts w:ascii="Arial" w:hAnsi="Arial" w:cs="Arial"/>
        </w:rPr>
        <w:t xml:space="preserve"> </w:t>
      </w:r>
      <w:r w:rsidR="003C5D44">
        <w:rPr>
          <w:rFonts w:ascii="Arial" w:hAnsi="Arial" w:cs="Arial"/>
        </w:rPr>
        <w:t xml:space="preserve">on </w:t>
      </w:r>
      <w:r w:rsidR="003C5D44" w:rsidRPr="0063250F">
        <w:rPr>
          <w:rFonts w:ascii="Arial" w:eastAsia="Arial" w:hAnsi="Arial" w:cs="Arial"/>
        </w:rPr>
        <w:t>the number of applications</w:t>
      </w:r>
      <w:r w:rsidR="006F15B1">
        <w:rPr>
          <w:rFonts w:ascii="Arial" w:eastAsia="Arial" w:hAnsi="Arial" w:cs="Arial"/>
        </w:rPr>
        <w:t xml:space="preserve"> for STEM subjects</w:t>
      </w:r>
      <w:r w:rsidR="000647DE">
        <w:rPr>
          <w:rFonts w:ascii="Arial" w:eastAsia="Arial" w:hAnsi="Arial" w:cs="Arial"/>
        </w:rPr>
        <w:t xml:space="preserve">. </w:t>
      </w:r>
      <w:bookmarkEnd w:id="3"/>
      <w:r w:rsidR="005A5A34" w:rsidRPr="005A5A34">
        <w:rPr>
          <w:rFonts w:ascii="Arial" w:eastAsia="Arial" w:hAnsi="Arial" w:cs="Arial"/>
        </w:rPr>
        <w:t>(p -value &lt; 0.01)</w:t>
      </w:r>
    </w:p>
    <w:p w14:paraId="400CA338" w14:textId="6087C476" w:rsidR="00D57D4B" w:rsidRPr="000647DE" w:rsidRDefault="000647DE" w:rsidP="00D57D4B">
      <w:pPr>
        <w:pStyle w:val="ListParagraph"/>
        <w:ind w:left="113"/>
        <w:jc w:val="both"/>
        <w:rPr>
          <w:rFonts w:ascii="Arial" w:hAnsi="Arial" w:cs="Arial"/>
        </w:rPr>
      </w:pPr>
      <w:r w:rsidRPr="000647DE">
        <w:rPr>
          <w:rFonts w:ascii="Arial" w:hAnsi="Arial" w:cs="Arial"/>
        </w:rPr>
        <w:t>(</w:t>
      </w:r>
      <w:r w:rsidR="00EA3C00" w:rsidRPr="000647DE">
        <w:rPr>
          <w:rFonts w:ascii="Cambria Math" w:hAnsi="Cambria Math" w:cs="Cambria Math"/>
        </w:rPr>
        <w:t>𝛿</w:t>
      </w:r>
      <w:r w:rsidR="00EA3C00" w:rsidRPr="000647DE">
        <w:rPr>
          <w:rFonts w:ascii="Cambria Math" w:hAnsi="Cambria Math" w:cs="Cambria Math"/>
          <w:vertAlign w:val="subscript"/>
        </w:rPr>
        <w:t>𝑁𝑂𝑁</w:t>
      </w:r>
      <w:r w:rsidR="00EA3C00" w:rsidRPr="000647DE">
        <w:rPr>
          <w:rFonts w:ascii="Arial" w:hAnsi="Arial" w:cs="Arial"/>
          <w:vertAlign w:val="subscript"/>
        </w:rPr>
        <w:t>−</w:t>
      </w:r>
      <w:r w:rsidR="00EA3C00" w:rsidRPr="000647DE">
        <w:rPr>
          <w:rFonts w:ascii="Cambria Math" w:hAnsi="Cambria Math" w:cs="Cambria Math"/>
          <w:vertAlign w:val="subscript"/>
        </w:rPr>
        <w:t>𝑆𝑇𝐸𝑀</w:t>
      </w:r>
      <w:r w:rsidR="00B85C60" w:rsidRPr="000647DE">
        <w:rPr>
          <w:rFonts w:ascii="Arial" w:hAnsi="Arial" w:cs="Arial"/>
          <w:vertAlign w:val="subscript"/>
        </w:rPr>
        <w:t xml:space="preserve"> </w:t>
      </w:r>
      <w:r w:rsidR="00B85C60" w:rsidRPr="000647DE">
        <w:rPr>
          <w:rFonts w:ascii="Arial" w:hAnsi="Arial" w:cs="Arial"/>
        </w:rPr>
        <w:t xml:space="preserve">= </w:t>
      </w:r>
      <w:r w:rsidR="00B85C60" w:rsidRPr="000647DE">
        <w:rPr>
          <w:rFonts w:ascii="Arial" w:hAnsi="Arial" w:cs="Arial"/>
        </w:rPr>
        <w:t>-.2788</w:t>
      </w:r>
      <w:r w:rsidRPr="000647DE">
        <w:rPr>
          <w:rFonts w:ascii="Arial" w:hAnsi="Arial" w:cs="Arial"/>
        </w:rPr>
        <w:t xml:space="preserve">) </w:t>
      </w:r>
      <w:r w:rsidRPr="000647DE">
        <w:rPr>
          <w:rFonts w:ascii="Arial" w:hAnsi="Arial" w:cs="Arial"/>
        </w:rPr>
        <w:t xml:space="preserve">The increase in tuition fees caused a </w:t>
      </w:r>
      <w:r w:rsidR="00E03559">
        <w:rPr>
          <w:rFonts w:ascii="Arial" w:hAnsi="Arial" w:cs="Arial"/>
        </w:rPr>
        <w:t>24.</w:t>
      </w:r>
      <w:r w:rsidR="005A5A34">
        <w:rPr>
          <w:rFonts w:ascii="Arial" w:hAnsi="Arial" w:cs="Arial"/>
        </w:rPr>
        <w:t>33</w:t>
      </w:r>
      <w:r w:rsidRPr="000647DE">
        <w:rPr>
          <w:rFonts w:ascii="Arial" w:hAnsi="Arial" w:cs="Arial"/>
        </w:rPr>
        <w:t>% decrease on the number of applications for STEM subjects.</w:t>
      </w:r>
      <w:r w:rsidR="005A5A34">
        <w:rPr>
          <w:rFonts w:ascii="Arial" w:hAnsi="Arial" w:cs="Arial"/>
        </w:rPr>
        <w:t xml:space="preserve"> </w:t>
      </w:r>
      <w:r w:rsidR="005A5A34" w:rsidRPr="005A5A34">
        <w:rPr>
          <w:rFonts w:ascii="Arial" w:hAnsi="Arial" w:cs="Arial"/>
        </w:rPr>
        <w:t>(p -value &lt; 0.01)</w:t>
      </w:r>
    </w:p>
    <w:p w14:paraId="763A3C6F" w14:textId="332D622B" w:rsidR="000E6F7B" w:rsidRDefault="000E6F7B" w:rsidP="005E565E">
      <w:pPr>
        <w:pStyle w:val="ListParagraph"/>
        <w:ind w:left="113"/>
        <w:jc w:val="both"/>
        <w:rPr>
          <w:rFonts w:ascii="Arial" w:hAnsi="Arial" w:cs="Arial"/>
        </w:rPr>
      </w:pPr>
    </w:p>
    <w:p w14:paraId="6F1BCF21" w14:textId="13CF9373" w:rsidR="000E6F7B" w:rsidRDefault="00347D3F" w:rsidP="005E565E">
      <w:pPr>
        <w:pStyle w:val="ListParagraph"/>
        <w:ind w:left="113"/>
        <w:jc w:val="both"/>
        <w:rPr>
          <w:rFonts w:ascii="Arial" w:hAnsi="Arial" w:cs="Arial"/>
        </w:rPr>
      </w:pPr>
      <w:r>
        <w:rPr>
          <w:rFonts w:ascii="Arial" w:hAnsi="Arial" w:cs="Arial"/>
        </w:rPr>
        <w:t>Th</w:t>
      </w:r>
      <w:r w:rsidR="00275A1A">
        <w:rPr>
          <w:rFonts w:ascii="Arial" w:hAnsi="Arial" w:cs="Arial"/>
        </w:rPr>
        <w:t xml:space="preserve">ere is a substantial difference between </w:t>
      </w:r>
      <w:r w:rsidR="00EC1E40">
        <w:rPr>
          <w:rFonts w:ascii="Arial" w:hAnsi="Arial" w:cs="Arial"/>
        </w:rPr>
        <w:t xml:space="preserve">the drop </w:t>
      </w:r>
      <w:r w:rsidR="00462880">
        <w:rPr>
          <w:rFonts w:ascii="Arial" w:hAnsi="Arial" w:cs="Arial"/>
        </w:rPr>
        <w:t xml:space="preserve">on </w:t>
      </w:r>
      <w:r w:rsidR="00F273DA">
        <w:rPr>
          <w:rFonts w:ascii="Arial" w:hAnsi="Arial" w:cs="Arial"/>
        </w:rPr>
        <w:t>these two categories</w:t>
      </w:r>
      <w:r w:rsidR="00FE6A49">
        <w:rPr>
          <w:rFonts w:ascii="Arial" w:hAnsi="Arial" w:cs="Arial"/>
        </w:rPr>
        <w:t xml:space="preserve">. It can be said </w:t>
      </w:r>
      <w:r w:rsidR="00572950">
        <w:rPr>
          <w:rFonts w:ascii="Arial" w:hAnsi="Arial" w:cs="Arial"/>
        </w:rPr>
        <w:t xml:space="preserve">that </w:t>
      </w:r>
      <w:r w:rsidR="00452A7B">
        <w:rPr>
          <w:rFonts w:ascii="Arial" w:hAnsi="Arial" w:cs="Arial"/>
        </w:rPr>
        <w:t xml:space="preserve">applications to </w:t>
      </w:r>
      <w:r w:rsidR="00572950">
        <w:rPr>
          <w:rFonts w:ascii="Arial" w:hAnsi="Arial" w:cs="Arial"/>
        </w:rPr>
        <w:t xml:space="preserve">STEM </w:t>
      </w:r>
      <w:r w:rsidR="003D15B2">
        <w:rPr>
          <w:rFonts w:ascii="Arial" w:hAnsi="Arial" w:cs="Arial"/>
        </w:rPr>
        <w:t xml:space="preserve">subjects are less sensible to the increase in fees </w:t>
      </w:r>
      <w:r w:rsidR="0071064B">
        <w:rPr>
          <w:rFonts w:ascii="Arial" w:hAnsi="Arial" w:cs="Arial"/>
        </w:rPr>
        <w:t>tha</w:t>
      </w:r>
      <w:r w:rsidR="003311F9">
        <w:rPr>
          <w:rFonts w:ascii="Arial" w:hAnsi="Arial" w:cs="Arial"/>
        </w:rPr>
        <w:t>n</w:t>
      </w:r>
      <w:r w:rsidR="0071064B">
        <w:rPr>
          <w:rFonts w:ascii="Arial" w:hAnsi="Arial" w:cs="Arial"/>
        </w:rPr>
        <w:t xml:space="preserve"> non-STEM</w:t>
      </w:r>
      <w:r w:rsidR="00452A7B">
        <w:rPr>
          <w:rFonts w:ascii="Arial" w:hAnsi="Arial" w:cs="Arial"/>
        </w:rPr>
        <w:t xml:space="preserve"> ones</w:t>
      </w:r>
      <w:r w:rsidR="005D12DF">
        <w:rPr>
          <w:rFonts w:ascii="Arial" w:hAnsi="Arial" w:cs="Arial"/>
        </w:rPr>
        <w:t xml:space="preserve">. </w:t>
      </w:r>
    </w:p>
    <w:p w14:paraId="4CB4DE18" w14:textId="56B4FE42" w:rsidR="00ED7C0C" w:rsidRDefault="00ED7C0C" w:rsidP="005E565E">
      <w:pPr>
        <w:pStyle w:val="ListParagraph"/>
        <w:ind w:left="113"/>
        <w:jc w:val="both"/>
        <w:rPr>
          <w:rFonts w:ascii="Arial" w:hAnsi="Arial" w:cs="Arial"/>
        </w:rPr>
      </w:pPr>
    </w:p>
    <w:p w14:paraId="788B1E30" w14:textId="0C120D14" w:rsidR="00ED7C0C" w:rsidRDefault="00ED7C0C" w:rsidP="005E565E">
      <w:pPr>
        <w:pStyle w:val="ListParagraph"/>
        <w:ind w:left="113"/>
        <w:jc w:val="both"/>
        <w:rPr>
          <w:rFonts w:ascii="Arial" w:hAnsi="Arial" w:cs="Arial"/>
        </w:rPr>
      </w:pPr>
    </w:p>
    <w:p w14:paraId="0482D27F" w14:textId="2DC5AB90" w:rsidR="000E6F7B" w:rsidRDefault="000E6F7B" w:rsidP="0047355C">
      <w:pPr>
        <w:jc w:val="both"/>
        <w:rPr>
          <w:rFonts w:ascii="Arial" w:hAnsi="Arial" w:cs="Arial"/>
        </w:rPr>
      </w:pPr>
      <w:r w:rsidRPr="0047355C">
        <w:rPr>
          <w:rFonts w:ascii="Arial" w:hAnsi="Arial" w:cs="Arial"/>
        </w:rPr>
        <w:t xml:space="preserve">5. To check whether the increase in tuition fees affects applications differently depending on the expected salary after graduation, the model is modified. Interpret the estimates </w:t>
      </w:r>
      <w:r w:rsidRPr="0047355C">
        <w:rPr>
          <w:rFonts w:ascii="Cambria Math" w:hAnsi="Cambria Math" w:cs="Cambria Math"/>
        </w:rPr>
        <w:t>𝛿</w:t>
      </w:r>
      <w:r w:rsidRPr="0047355C">
        <w:rPr>
          <w:rFonts w:ascii="Arial" w:hAnsi="Arial" w:cs="Arial"/>
        </w:rPr>
        <w:t>1,</w:t>
      </w:r>
      <w:r w:rsidRPr="0047355C">
        <w:rPr>
          <w:rFonts w:ascii="Cambria Math" w:hAnsi="Cambria Math" w:cs="Cambria Math"/>
        </w:rPr>
        <w:t>𝛿</w:t>
      </w:r>
      <w:r w:rsidRPr="0047355C">
        <w:rPr>
          <w:rFonts w:ascii="Arial" w:hAnsi="Arial" w:cs="Arial"/>
        </w:rPr>
        <w:t>2,</w:t>
      </w:r>
      <w:r w:rsidRPr="0047355C">
        <w:rPr>
          <w:rFonts w:ascii="Cambria Math" w:hAnsi="Cambria Math" w:cs="Cambria Math"/>
        </w:rPr>
        <w:t>𝛿</w:t>
      </w:r>
      <w:r w:rsidRPr="0047355C">
        <w:rPr>
          <w:rFonts w:ascii="Arial" w:hAnsi="Arial" w:cs="Arial"/>
        </w:rPr>
        <w:t xml:space="preserve">3 and </w:t>
      </w:r>
      <w:r w:rsidRPr="0047355C">
        <w:rPr>
          <w:rFonts w:ascii="Cambria Math" w:hAnsi="Cambria Math" w:cs="Cambria Math"/>
        </w:rPr>
        <w:t>𝛿</w:t>
      </w:r>
      <w:r w:rsidRPr="0047355C">
        <w:rPr>
          <w:rFonts w:ascii="Arial" w:hAnsi="Arial" w:cs="Arial"/>
        </w:rPr>
        <w:t>4. Does the effect of the increase in tuition fees on applications depend on the expected salary after graduation?</w:t>
      </w:r>
    </w:p>
    <w:p w14:paraId="50F00EB7" w14:textId="65FF82D5" w:rsidR="00E8496A" w:rsidRPr="00105F5F" w:rsidRDefault="00CB0F15" w:rsidP="0047355C">
      <w:pPr>
        <w:jc w:val="both"/>
        <w:rPr>
          <w:rFonts w:ascii="Arial" w:hAnsi="Arial" w:cs="Arial"/>
        </w:rPr>
      </w:pPr>
      <w:r>
        <w:rPr>
          <w:rFonts w:ascii="Cambria Math" w:hAnsi="Cambria Math" w:cs="Cambria Math"/>
        </w:rPr>
        <w:t>(</w:t>
      </w:r>
      <w:r w:rsidR="00E8496A" w:rsidRPr="00E8496A">
        <w:rPr>
          <w:rFonts w:ascii="Cambria Math" w:hAnsi="Cambria Math" w:cs="Cambria Math"/>
        </w:rPr>
        <w:t>𝛿</w:t>
      </w:r>
      <w:r w:rsidR="00E8496A" w:rsidRPr="00E8496A">
        <w:rPr>
          <w:rFonts w:ascii="Arial" w:hAnsi="Arial" w:cs="Arial"/>
          <w:vertAlign w:val="subscript"/>
        </w:rPr>
        <w:t>1</w:t>
      </w:r>
      <w:r w:rsidR="00105F5F">
        <w:rPr>
          <w:rFonts w:ascii="Arial" w:hAnsi="Arial" w:cs="Arial"/>
          <w:vertAlign w:val="subscript"/>
        </w:rPr>
        <w:t xml:space="preserve"> </w:t>
      </w:r>
      <w:r w:rsidR="00105F5F">
        <w:rPr>
          <w:rFonts w:ascii="Arial" w:hAnsi="Arial" w:cs="Arial"/>
        </w:rPr>
        <w:t xml:space="preserve">= </w:t>
      </w:r>
      <w:r w:rsidR="005C77CF">
        <w:rPr>
          <w:rFonts w:ascii="Arial" w:hAnsi="Arial" w:cs="Arial"/>
        </w:rPr>
        <w:t>-</w:t>
      </w:r>
      <w:r w:rsidR="00105F5F" w:rsidRPr="00105F5F">
        <w:rPr>
          <w:rFonts w:ascii="Arial" w:hAnsi="Arial" w:cs="Arial"/>
        </w:rPr>
        <w:t>.247</w:t>
      </w:r>
      <w:r>
        <w:rPr>
          <w:rFonts w:ascii="Arial" w:hAnsi="Arial" w:cs="Arial"/>
        </w:rPr>
        <w:t>6)</w:t>
      </w:r>
    </w:p>
    <w:p w14:paraId="2BEC1266" w14:textId="164B0930" w:rsidR="00E8496A" w:rsidRPr="00105F5F" w:rsidRDefault="00CB0F15" w:rsidP="0047355C">
      <w:pPr>
        <w:jc w:val="both"/>
        <w:rPr>
          <w:rFonts w:ascii="Arial" w:hAnsi="Arial" w:cs="Arial"/>
        </w:rPr>
      </w:pPr>
      <w:r>
        <w:rPr>
          <w:rFonts w:ascii="Cambria Math" w:hAnsi="Cambria Math" w:cs="Cambria Math"/>
        </w:rPr>
        <w:t>(</w:t>
      </w:r>
      <w:r w:rsidR="00E8496A" w:rsidRPr="00E8496A">
        <w:rPr>
          <w:rFonts w:ascii="Cambria Math" w:hAnsi="Cambria Math" w:cs="Cambria Math"/>
        </w:rPr>
        <w:t>𝛿</w:t>
      </w:r>
      <w:r w:rsidR="00E8496A" w:rsidRPr="00E8496A">
        <w:rPr>
          <w:rFonts w:ascii="Arial" w:hAnsi="Arial" w:cs="Arial"/>
          <w:vertAlign w:val="subscript"/>
        </w:rPr>
        <w:t>2</w:t>
      </w:r>
      <w:r w:rsidR="00105F5F">
        <w:rPr>
          <w:rFonts w:ascii="Arial" w:hAnsi="Arial" w:cs="Arial"/>
          <w:vertAlign w:val="subscript"/>
        </w:rPr>
        <w:t xml:space="preserve"> </w:t>
      </w:r>
      <w:r w:rsidR="00105F5F">
        <w:rPr>
          <w:rFonts w:ascii="Arial" w:hAnsi="Arial" w:cs="Arial"/>
        </w:rPr>
        <w:t>=</w:t>
      </w:r>
      <w:r w:rsidR="005C77CF">
        <w:rPr>
          <w:rFonts w:ascii="Arial" w:hAnsi="Arial" w:cs="Arial"/>
        </w:rPr>
        <w:t xml:space="preserve"> -</w:t>
      </w:r>
      <w:r w:rsidR="005C77CF" w:rsidRPr="005C77CF">
        <w:rPr>
          <w:rFonts w:ascii="Arial" w:hAnsi="Arial" w:cs="Arial"/>
        </w:rPr>
        <w:t>.246</w:t>
      </w:r>
      <w:r>
        <w:rPr>
          <w:rFonts w:ascii="Arial" w:hAnsi="Arial" w:cs="Arial"/>
        </w:rPr>
        <w:t>2)</w:t>
      </w:r>
    </w:p>
    <w:p w14:paraId="1E35D60A" w14:textId="57AC27D0" w:rsidR="00E8496A" w:rsidRPr="00105F5F" w:rsidRDefault="00CB0F15" w:rsidP="0047355C">
      <w:pPr>
        <w:jc w:val="both"/>
        <w:rPr>
          <w:rFonts w:ascii="Arial" w:hAnsi="Arial" w:cs="Arial"/>
        </w:rPr>
      </w:pPr>
      <w:r>
        <w:rPr>
          <w:rFonts w:ascii="Cambria Math" w:hAnsi="Cambria Math" w:cs="Cambria Math"/>
        </w:rPr>
        <w:t>(</w:t>
      </w:r>
      <w:r w:rsidR="00E8496A" w:rsidRPr="00E8496A">
        <w:rPr>
          <w:rFonts w:ascii="Cambria Math" w:hAnsi="Cambria Math" w:cs="Cambria Math"/>
        </w:rPr>
        <w:t>𝛿</w:t>
      </w:r>
      <w:r w:rsidR="00E8496A" w:rsidRPr="00E8496A">
        <w:rPr>
          <w:rFonts w:ascii="Arial" w:hAnsi="Arial" w:cs="Arial"/>
          <w:vertAlign w:val="subscript"/>
        </w:rPr>
        <w:t>3</w:t>
      </w:r>
      <w:r w:rsidR="00105F5F">
        <w:rPr>
          <w:rFonts w:ascii="Arial" w:hAnsi="Arial" w:cs="Arial"/>
          <w:vertAlign w:val="subscript"/>
        </w:rPr>
        <w:t xml:space="preserve"> </w:t>
      </w:r>
      <w:r w:rsidR="00105F5F">
        <w:rPr>
          <w:rFonts w:ascii="Arial" w:hAnsi="Arial" w:cs="Arial"/>
        </w:rPr>
        <w:t>=</w:t>
      </w:r>
      <w:r w:rsidR="005C77CF">
        <w:rPr>
          <w:rFonts w:ascii="Arial" w:hAnsi="Arial" w:cs="Arial"/>
        </w:rPr>
        <w:t xml:space="preserve"> -</w:t>
      </w:r>
      <w:r w:rsidR="005C77CF" w:rsidRPr="005C77CF">
        <w:rPr>
          <w:rFonts w:ascii="Arial" w:hAnsi="Arial" w:cs="Arial"/>
        </w:rPr>
        <w:t>.2225</w:t>
      </w:r>
      <w:r>
        <w:rPr>
          <w:rFonts w:ascii="Arial" w:hAnsi="Arial" w:cs="Arial"/>
        </w:rPr>
        <w:t>)</w:t>
      </w:r>
    </w:p>
    <w:p w14:paraId="13537EFE" w14:textId="02804B4E" w:rsidR="00E8496A" w:rsidRPr="00105F5F" w:rsidRDefault="00CB0F15" w:rsidP="0047355C">
      <w:pPr>
        <w:jc w:val="both"/>
        <w:rPr>
          <w:rFonts w:ascii="Arial" w:hAnsi="Arial" w:cs="Arial"/>
        </w:rPr>
      </w:pPr>
      <w:r>
        <w:rPr>
          <w:rFonts w:ascii="Cambria Math" w:hAnsi="Cambria Math" w:cs="Cambria Math"/>
        </w:rPr>
        <w:t>(</w:t>
      </w:r>
      <w:r w:rsidR="00E8496A" w:rsidRPr="00E8496A">
        <w:rPr>
          <w:rFonts w:ascii="Cambria Math" w:hAnsi="Cambria Math" w:cs="Cambria Math"/>
        </w:rPr>
        <w:t>𝛿</w:t>
      </w:r>
      <w:r w:rsidR="00E8496A" w:rsidRPr="00E8496A">
        <w:rPr>
          <w:rFonts w:ascii="Arial" w:hAnsi="Arial" w:cs="Arial"/>
          <w:vertAlign w:val="subscript"/>
        </w:rPr>
        <w:t>4</w:t>
      </w:r>
      <w:r w:rsidR="00105F5F">
        <w:rPr>
          <w:rFonts w:ascii="Arial" w:hAnsi="Arial" w:cs="Arial"/>
          <w:vertAlign w:val="subscript"/>
        </w:rPr>
        <w:t xml:space="preserve"> </w:t>
      </w:r>
      <w:r w:rsidR="00105F5F">
        <w:rPr>
          <w:rFonts w:ascii="Arial" w:hAnsi="Arial" w:cs="Arial"/>
        </w:rPr>
        <w:t>=</w:t>
      </w:r>
      <w:r w:rsidR="005C77CF">
        <w:rPr>
          <w:rFonts w:ascii="Arial" w:hAnsi="Arial" w:cs="Arial"/>
        </w:rPr>
        <w:t xml:space="preserve"> -.</w:t>
      </w:r>
      <w:r w:rsidR="005C77CF" w:rsidRPr="005C77CF">
        <w:rPr>
          <w:rFonts w:ascii="Arial" w:hAnsi="Arial" w:cs="Arial"/>
        </w:rPr>
        <w:t>1143</w:t>
      </w:r>
      <w:r>
        <w:rPr>
          <w:rFonts w:ascii="Arial" w:hAnsi="Arial" w:cs="Arial"/>
        </w:rPr>
        <w:t>)</w:t>
      </w:r>
      <w:bookmarkStart w:id="4" w:name="_GoBack"/>
      <w:bookmarkEnd w:id="4"/>
    </w:p>
    <w:sectPr w:rsidR="00E8496A" w:rsidRPr="00105F5F" w:rsidSect="00CA46D4">
      <w:pgSz w:w="11906" w:h="16838"/>
      <w:pgMar w:top="1440" w:right="1440" w:bottom="1440" w:left="1440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F6413" w14:textId="77777777" w:rsidR="006E59CB" w:rsidRDefault="006E59CB" w:rsidP="00CA46D4">
      <w:pPr>
        <w:spacing w:after="0" w:line="240" w:lineRule="auto"/>
      </w:pPr>
      <w:r>
        <w:separator/>
      </w:r>
    </w:p>
  </w:endnote>
  <w:endnote w:type="continuationSeparator" w:id="0">
    <w:p w14:paraId="35793D80" w14:textId="77777777" w:rsidR="006E59CB" w:rsidRDefault="006E59CB" w:rsidP="00CA4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1B489" w14:textId="77777777" w:rsidR="006E59CB" w:rsidRDefault="006E59CB" w:rsidP="00CA46D4">
      <w:pPr>
        <w:spacing w:after="0" w:line="240" w:lineRule="auto"/>
      </w:pPr>
      <w:r>
        <w:separator/>
      </w:r>
    </w:p>
  </w:footnote>
  <w:footnote w:type="continuationSeparator" w:id="0">
    <w:p w14:paraId="373E4D0F" w14:textId="77777777" w:rsidR="006E59CB" w:rsidRDefault="006E59CB" w:rsidP="00CA4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4800"/>
    <w:multiLevelType w:val="hybridMultilevel"/>
    <w:tmpl w:val="475C18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7B"/>
    <w:rsid w:val="000647DE"/>
    <w:rsid w:val="000B6514"/>
    <w:rsid w:val="000E6F7B"/>
    <w:rsid w:val="00102414"/>
    <w:rsid w:val="00105F5F"/>
    <w:rsid w:val="00114F7F"/>
    <w:rsid w:val="00133593"/>
    <w:rsid w:val="001C174F"/>
    <w:rsid w:val="001D35D5"/>
    <w:rsid w:val="001D4355"/>
    <w:rsid w:val="00207F09"/>
    <w:rsid w:val="00275A1A"/>
    <w:rsid w:val="00297BE1"/>
    <w:rsid w:val="002B473A"/>
    <w:rsid w:val="002D3936"/>
    <w:rsid w:val="00314039"/>
    <w:rsid w:val="003311F9"/>
    <w:rsid w:val="00347D3F"/>
    <w:rsid w:val="003647FE"/>
    <w:rsid w:val="003666B9"/>
    <w:rsid w:val="00394620"/>
    <w:rsid w:val="003973CA"/>
    <w:rsid w:val="003C5D44"/>
    <w:rsid w:val="003D15B2"/>
    <w:rsid w:val="00441EB2"/>
    <w:rsid w:val="00452A7B"/>
    <w:rsid w:val="00462880"/>
    <w:rsid w:val="0047355C"/>
    <w:rsid w:val="004A2ACD"/>
    <w:rsid w:val="004E5614"/>
    <w:rsid w:val="004E6B26"/>
    <w:rsid w:val="0050276E"/>
    <w:rsid w:val="005237FF"/>
    <w:rsid w:val="00572950"/>
    <w:rsid w:val="00585816"/>
    <w:rsid w:val="00587F72"/>
    <w:rsid w:val="005A5A34"/>
    <w:rsid w:val="005C77CF"/>
    <w:rsid w:val="005D12DF"/>
    <w:rsid w:val="005D3167"/>
    <w:rsid w:val="005E565E"/>
    <w:rsid w:val="005F0344"/>
    <w:rsid w:val="006115CA"/>
    <w:rsid w:val="00630B29"/>
    <w:rsid w:val="0063250F"/>
    <w:rsid w:val="006E59CB"/>
    <w:rsid w:val="006F15B1"/>
    <w:rsid w:val="0071064B"/>
    <w:rsid w:val="00736E67"/>
    <w:rsid w:val="00761551"/>
    <w:rsid w:val="00774EE0"/>
    <w:rsid w:val="00791187"/>
    <w:rsid w:val="007A0741"/>
    <w:rsid w:val="007B53B5"/>
    <w:rsid w:val="007D102E"/>
    <w:rsid w:val="0082420C"/>
    <w:rsid w:val="008427D5"/>
    <w:rsid w:val="00864537"/>
    <w:rsid w:val="00867043"/>
    <w:rsid w:val="0088619D"/>
    <w:rsid w:val="008A1DB7"/>
    <w:rsid w:val="009F2C7A"/>
    <w:rsid w:val="00A20EDF"/>
    <w:rsid w:val="00AD5D91"/>
    <w:rsid w:val="00B0090A"/>
    <w:rsid w:val="00B227A5"/>
    <w:rsid w:val="00B85C60"/>
    <w:rsid w:val="00B87076"/>
    <w:rsid w:val="00BF626F"/>
    <w:rsid w:val="00BF6D13"/>
    <w:rsid w:val="00BF7E8E"/>
    <w:rsid w:val="00C12F4D"/>
    <w:rsid w:val="00CA46D4"/>
    <w:rsid w:val="00CB0F15"/>
    <w:rsid w:val="00CF08A6"/>
    <w:rsid w:val="00D032E9"/>
    <w:rsid w:val="00D14DC5"/>
    <w:rsid w:val="00D4298F"/>
    <w:rsid w:val="00D4622E"/>
    <w:rsid w:val="00D4721B"/>
    <w:rsid w:val="00D57D4B"/>
    <w:rsid w:val="00D57D8B"/>
    <w:rsid w:val="00D61523"/>
    <w:rsid w:val="00D746A4"/>
    <w:rsid w:val="00D92E78"/>
    <w:rsid w:val="00DB2822"/>
    <w:rsid w:val="00DB43DC"/>
    <w:rsid w:val="00DC3728"/>
    <w:rsid w:val="00E03559"/>
    <w:rsid w:val="00E8496A"/>
    <w:rsid w:val="00EA3C00"/>
    <w:rsid w:val="00EC1E40"/>
    <w:rsid w:val="00EC5902"/>
    <w:rsid w:val="00ED7C0C"/>
    <w:rsid w:val="00F273DA"/>
    <w:rsid w:val="00F36757"/>
    <w:rsid w:val="00F717E3"/>
    <w:rsid w:val="00FD189F"/>
    <w:rsid w:val="00FE1AAB"/>
    <w:rsid w:val="00FE6A49"/>
    <w:rsid w:val="76B5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E974"/>
  <w15:chartTrackingRefBased/>
  <w15:docId w15:val="{A7655321-DB03-4E47-A09C-E3443D8D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F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6E6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A4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6D4"/>
  </w:style>
  <w:style w:type="paragraph" w:styleId="Footer">
    <w:name w:val="footer"/>
    <w:basedOn w:val="Normal"/>
    <w:link w:val="FooterChar"/>
    <w:uiPriority w:val="99"/>
    <w:unhideWhenUsed/>
    <w:rsid w:val="00CA4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EC5ECE73A4764999BF9197D5161C6A" ma:contentTypeVersion="2" ma:contentTypeDescription="Create a new document." ma:contentTypeScope="" ma:versionID="cd5592e8f18db4777197e3f8a9c7b341">
  <xsd:schema xmlns:xsd="http://www.w3.org/2001/XMLSchema" xmlns:xs="http://www.w3.org/2001/XMLSchema" xmlns:p="http://schemas.microsoft.com/office/2006/metadata/properties" xmlns:ns3="2d83e4c5-6fa4-449b-acc6-c50840ed3bd4" targetNamespace="http://schemas.microsoft.com/office/2006/metadata/properties" ma:root="true" ma:fieldsID="ddd41e39a8e18bbee687955b93f62516" ns3:_="">
    <xsd:import namespace="2d83e4c5-6fa4-449b-acc6-c50840ed3b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3e4c5-6fa4-449b-acc6-c50840ed3b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FD3A6-F9A9-44A0-B97D-7D7CB95AEC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891A87-EF1B-4582-99B8-1C8723F613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83e4c5-6fa4-449b-acc6-c50840ed3b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BDC098-3BA7-458F-87C6-864CF4F2B2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6F719D-CD9F-47E4-94AD-CDA83C4E8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Tello Gomez, Antonio</dc:creator>
  <cp:keywords/>
  <dc:description/>
  <cp:lastModifiedBy>Tello Gomez, Antonio</cp:lastModifiedBy>
  <cp:revision>93</cp:revision>
  <dcterms:created xsi:type="dcterms:W3CDTF">2019-11-20T18:40:00Z</dcterms:created>
  <dcterms:modified xsi:type="dcterms:W3CDTF">2019-11-20T20:15:00Z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0x010100E8EC5ECE73A4764999BF9197D5161C6A</vt:lpwstr>
  </property>
</Properties>
</file>