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8862C1" w14:textId="428D6ADC" w:rsidR="00C35AC8" w:rsidRDefault="005842E2">
      <w:r>
        <w:t>Precipitation</w:t>
      </w:r>
    </w:p>
    <w:p w14:paraId="71C760BE" w14:textId="77777777" w:rsidR="005842E2" w:rsidRDefault="005842E2" w:rsidP="005842E2">
      <w:pPr>
        <w:spacing w:line="240" w:lineRule="auto"/>
      </w:pPr>
      <w:r>
        <w:t>-0.019</w:t>
      </w:r>
    </w:p>
    <w:p w14:paraId="08D75E8D" w14:textId="77777777" w:rsidR="005842E2" w:rsidRDefault="005842E2" w:rsidP="005842E2">
      <w:pPr>
        <w:spacing w:line="240" w:lineRule="auto"/>
      </w:pPr>
      <w:r>
        <w:t xml:space="preserve">  0.0</w:t>
      </w:r>
    </w:p>
    <w:p w14:paraId="4952EE8F" w14:textId="77777777" w:rsidR="005842E2" w:rsidRDefault="005842E2" w:rsidP="005842E2">
      <w:pPr>
        <w:spacing w:line="240" w:lineRule="auto"/>
      </w:pPr>
      <w:r>
        <w:t xml:space="preserve">  0.02</w:t>
      </w:r>
    </w:p>
    <w:p w14:paraId="1056D467" w14:textId="0D96CBA7" w:rsidR="005842E2" w:rsidRDefault="005842E2" w:rsidP="005842E2">
      <w:pPr>
        <w:spacing w:line="240" w:lineRule="auto"/>
      </w:pPr>
      <w:r>
        <w:t xml:space="preserve">  0.043</w:t>
      </w:r>
    </w:p>
    <w:p w14:paraId="1C29C9CC" w14:textId="77777777" w:rsidR="005842E2" w:rsidRDefault="005842E2" w:rsidP="005842E2">
      <w:pPr>
        <w:spacing w:line="240" w:lineRule="auto"/>
      </w:pPr>
    </w:p>
    <w:p w14:paraId="182A3544" w14:textId="440E151B" w:rsidR="005F6710" w:rsidRDefault="005219AA" w:rsidP="005219AA">
      <w:pPr>
        <w:spacing w:line="240" w:lineRule="auto"/>
      </w:pPr>
      <w:r>
        <w:t>A spectrum of clouds of different heights correspond to different total moisture sink rates. The p</w:t>
      </w:r>
      <w:r>
        <w:t xml:space="preserve">recipitation </w:t>
      </w:r>
      <w:r>
        <w:t xml:space="preserve">amount </w:t>
      </w:r>
      <w:r>
        <w:t xml:space="preserve">depends on the </w:t>
      </w:r>
      <w:r>
        <w:rPr>
          <w:rFonts w:eastAsiaTheme="minorEastAsia"/>
          <w:i/>
          <w:iCs/>
        </w:rPr>
        <w:t xml:space="preserve">precipitation </w:t>
      </w:r>
      <w:r w:rsidRPr="005219AA">
        <w:rPr>
          <w:rFonts w:eastAsiaTheme="minorEastAsia"/>
          <w:i/>
          <w:iCs/>
        </w:rPr>
        <w:t>efficiency</w:t>
      </w:r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or </w:t>
      </w:r>
      <w:r>
        <w:t xml:space="preserve">ratio </w:t>
      </w:r>
      <m:oMath>
        <m:r>
          <w:rPr>
            <w:rFonts w:ascii="Cambria Math" w:hAnsi="Cambria Math"/>
          </w:rPr>
          <m:t>x=α/(α+ϵ)</m:t>
        </m:r>
      </m:oMath>
      <w:r>
        <w:rPr>
          <w:rFonts w:eastAsiaTheme="minorEastAsia"/>
        </w:rPr>
        <w:t xml:space="preserve"> </w:t>
      </w:r>
      <w:r w:rsidRPr="005219AA">
        <w:t>of</w:t>
      </w:r>
      <w:r>
        <w:t xml:space="preserve"> the autoconversion of liquid water to the total sink of total water by the cloud, by autoconversion and entrainment.</w:t>
      </w:r>
      <w:r>
        <w:t xml:space="preserve"> We set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to 0.59 for all updrafts, at which the total precipitation is </w:t>
      </w:r>
      <w:r w:rsidR="00297C13">
        <w:t>22</w:t>
      </w:r>
      <w:r w:rsidR="005842E2">
        <w:t xml:space="preserve"> W/m^2</w:t>
      </w:r>
      <w:r>
        <w:t xml:space="preserve">, in agreement with precipitation measured on the </w:t>
      </w:r>
      <w:r w:rsidRPr="005219AA">
        <w:rPr>
          <w:i/>
          <w:iCs/>
        </w:rPr>
        <w:t>RHB</w:t>
      </w:r>
      <w:r>
        <w:t xml:space="preserve"> during EUREC4A.</w:t>
      </w:r>
    </w:p>
    <w:p w14:paraId="71F8DE6C" w14:textId="3DD049D7" w:rsidR="005F6710" w:rsidRPr="0042756B" w:rsidRDefault="005F6710" w:rsidP="005219AA">
      <w:pPr>
        <w:spacing w:line="240" w:lineRule="auto"/>
      </w:pPr>
      <w:r>
        <w:t xml:space="preserve">Despite jitter </w:t>
      </w:r>
      <w:r w:rsidR="00B227BC">
        <w:t>due to</w:t>
      </w:r>
      <w:r>
        <w:t xml:space="preserve"> </w:t>
      </w:r>
      <w:r w:rsidR="00B227BC">
        <w:t>assigning</w:t>
      </w:r>
      <w:r>
        <w:t xml:space="preserve"> </w:t>
      </w:r>
      <w:r w:rsidR="00B227BC">
        <w:t xml:space="preserve">the moisture flux to cloud top heights, </w:t>
      </w:r>
      <w:r>
        <w:t xml:space="preserve">cloud fraction and precipitation </w:t>
      </w:r>
      <w:r w:rsidR="00B227BC">
        <w:t xml:space="preserve">anomalies </w:t>
      </w:r>
      <w:r>
        <w:t>are propor</w:t>
      </w:r>
      <w:r w:rsidR="00B227BC">
        <w:t>t</w:t>
      </w:r>
      <w:r>
        <w:t>ional</w:t>
      </w:r>
      <w:r w:rsidR="00B227BC">
        <w:t>.</w:t>
      </w:r>
      <w:r w:rsidR="0042756B">
        <w:t xml:space="preserve"> The relative slope of cloud fraction to precipitation is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C/C)/ (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P/P)=0.42</m:t>
        </m:r>
      </m:oMath>
      <w:r w:rsidR="0042756B">
        <w:rPr>
          <w:rFonts w:eastAsiaTheme="minorEastAsia"/>
        </w:rPr>
        <w:t xml:space="preserve">. </w:t>
      </w:r>
      <w:proofErr w:type="gramStart"/>
      <w:r w:rsidR="0042756B">
        <w:rPr>
          <w:rFonts w:eastAsiaTheme="minorEastAsia"/>
        </w:rPr>
        <w:t>Thus</w:t>
      </w:r>
      <w:proofErr w:type="gramEnd"/>
      <w:r w:rsidR="0042756B">
        <w:rPr>
          <w:rFonts w:eastAsiaTheme="minorEastAsia"/>
        </w:rPr>
        <w:t xml:space="preserve"> if precipitation increases +2 % K</w:t>
      </w:r>
      <w:r w:rsidR="0042756B">
        <w:rPr>
          <w:rFonts w:eastAsiaTheme="minorEastAsia"/>
          <w:vertAlign w:val="superscript"/>
        </w:rPr>
        <w:t>–1</w:t>
      </w:r>
      <w:r w:rsidR="0042756B">
        <w:rPr>
          <w:rFonts w:eastAsiaTheme="minorEastAsia"/>
        </w:rPr>
        <w:t xml:space="preserve"> with increasing global surface temperature, clouds will increase +0.84 %</w:t>
      </w:r>
      <w:r w:rsidR="0042756B" w:rsidRPr="0042756B">
        <w:rPr>
          <w:rFonts w:eastAsiaTheme="minorEastAsia"/>
        </w:rPr>
        <w:t xml:space="preserve"> </w:t>
      </w:r>
      <w:r w:rsidR="0042756B">
        <w:rPr>
          <w:rFonts w:eastAsiaTheme="minorEastAsia"/>
        </w:rPr>
        <w:t>K</w:t>
      </w:r>
      <w:r w:rsidR="0042756B">
        <w:rPr>
          <w:rFonts w:eastAsiaTheme="minorEastAsia"/>
          <w:vertAlign w:val="superscript"/>
        </w:rPr>
        <w:t>–1</w:t>
      </w:r>
      <w:r w:rsidR="0042756B">
        <w:rPr>
          <w:rFonts w:eastAsiaTheme="minorEastAsia"/>
        </w:rPr>
        <w:t xml:space="preserve"> </w:t>
      </w:r>
      <w:proofErr w:type="gramStart"/>
      <w:r w:rsidR="0042756B">
        <w:rPr>
          <w:rFonts w:eastAsiaTheme="minorEastAsia"/>
        </w:rPr>
        <w:t>due to the effect</w:t>
      </w:r>
      <w:proofErr w:type="gramEnd"/>
      <w:r w:rsidR="0042756B">
        <w:rPr>
          <w:rFonts w:eastAsiaTheme="minorEastAsia"/>
        </w:rPr>
        <w:t xml:space="preserve"> of the precipitation on the cloud updraft moisture flux. Precipitation is a downward moisture flux, opposing the effect of the moist cloud updrafts, and requiring more updraft moisture flux to balance the sum of the precipitation and large-scale advective drying.</w:t>
      </w:r>
    </w:p>
    <w:p w14:paraId="36F776CE" w14:textId="5794ECA1" w:rsidR="005219AA" w:rsidRDefault="005219AA" w:rsidP="005842E2">
      <w:pPr>
        <w:spacing w:line="240" w:lineRule="auto"/>
      </w:pPr>
    </w:p>
    <w:p w14:paraId="64650F78" w14:textId="67DC8802" w:rsidR="005842E2" w:rsidRDefault="005F6710" w:rsidP="005842E2">
      <w:pPr>
        <w:spacing w:line="240" w:lineRule="auto"/>
      </w:pPr>
      <w:r>
        <w:rPr>
          <w:noProof/>
        </w:rPr>
        <w:drawing>
          <wp:inline distT="0" distB="0" distL="0" distR="0" wp14:anchorId="125AA92B" wp14:editId="36B7675B">
            <wp:extent cx="4347872" cy="3263262"/>
            <wp:effectExtent l="0" t="0" r="0" b="1270"/>
            <wp:docPr id="203334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42812" name="Picture 20333428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328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BF67" w14:textId="77777777" w:rsidR="00624DEB" w:rsidRDefault="00624DEB" w:rsidP="005842E2">
      <w:pPr>
        <w:spacing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1260"/>
        <w:gridCol w:w="1530"/>
        <w:gridCol w:w="1530"/>
        <w:gridCol w:w="1530"/>
      </w:tblGrid>
      <w:tr w:rsidR="00624DEB" w:rsidRPr="00B561F4" w14:paraId="259A918E" w14:textId="77777777" w:rsidTr="00651301">
        <w:trPr>
          <w:tblCellSpacing w:w="15" w:type="dxa"/>
        </w:trPr>
        <w:tc>
          <w:tcPr>
            <w:tcW w:w="3015" w:type="dxa"/>
            <w:tcBorders>
              <w:bottom w:val="single" w:sz="4" w:space="0" w:color="DCDFE5"/>
            </w:tcBorders>
            <w:hideMark/>
          </w:tcPr>
          <w:p w14:paraId="56D823E7" w14:textId="77777777" w:rsidR="00624DEB" w:rsidRPr="00B561F4" w:rsidRDefault="00624DEB" w:rsidP="00624DEB">
            <w:pPr>
              <w:pStyle w:val="BodyText"/>
              <w:spacing w:before="0" w:after="0"/>
              <w:rPr>
                <w:b/>
                <w:bCs/>
              </w:rPr>
            </w:pPr>
            <w:r w:rsidRPr="00B561F4">
              <w:rPr>
                <w:b/>
                <w:bCs/>
              </w:rPr>
              <w:lastRenderedPageBreak/>
              <w:t>experiment</w:t>
            </w:r>
          </w:p>
        </w:tc>
        <w:tc>
          <w:tcPr>
            <w:tcW w:w="1230" w:type="dxa"/>
            <w:tcBorders>
              <w:bottom w:val="single" w:sz="4" w:space="0" w:color="DCDFE5"/>
            </w:tcBorders>
            <w:vAlign w:val="center"/>
            <w:hideMark/>
          </w:tcPr>
          <w:p w14:paraId="3CE6355A" w14:textId="3A2F1CE8" w:rsidR="00624DEB" w:rsidRPr="00B561F4" w:rsidRDefault="00624DEB" w:rsidP="00624DEB">
            <w:pPr>
              <w:pStyle w:val="BodyText"/>
              <w:spacing w:before="0" w:after="0"/>
              <w:jc w:val="right"/>
              <w:rPr>
                <w:b/>
                <w:bCs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M/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oMath>
            <w:r>
              <w:rPr>
                <w:rFonts w:eastAsiaTheme="minorEastAsia"/>
                <w:b/>
              </w:rPr>
              <w:t xml:space="preserve"> </w:t>
            </w:r>
            <w:r>
              <w:rPr>
                <w:rFonts w:eastAsiaTheme="minorEastAsia"/>
                <w:b/>
              </w:rPr>
              <w:br/>
            </w:r>
            <w:r>
              <w:rPr>
                <w:b/>
                <w:bCs/>
              </w:rPr>
              <w:t>(%)</w:t>
            </w:r>
          </w:p>
        </w:tc>
        <w:tc>
          <w:tcPr>
            <w:tcW w:w="1500" w:type="dxa"/>
            <w:tcBorders>
              <w:bottom w:val="single" w:sz="4" w:space="0" w:color="DCDFE5"/>
            </w:tcBorders>
          </w:tcPr>
          <w:p w14:paraId="66998EC4" w14:textId="44085148" w:rsidR="00624DEB" w:rsidRPr="00624DEB" w:rsidRDefault="00624DEB" w:rsidP="00624DEB">
            <w:pPr>
              <w:pStyle w:val="BodyText"/>
              <w:spacing w:before="0" w:after="0"/>
              <w:jc w:val="right"/>
              <w:rPr>
                <w:rFonts w:ascii="Aptos Display" w:eastAsia="Times New Roman" w:hAnsi="Aptos Display" w:cs="Times New Roman"/>
                <w:b/>
                <w:color w:val="3A7C22" w:themeColor="accent6" w:themeShade="BF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color w:val="3A7C22" w:themeColor="accent6" w:themeShade="BF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iCs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cld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cld</m:t>
                  </m:r>
                </m:sub>
              </m:sSub>
            </m:oMath>
            <w:r w:rsidRPr="00624DEB">
              <w:rPr>
                <w:rFonts w:eastAsiaTheme="minorEastAsia"/>
                <w:b/>
                <w:color w:val="3A7C22" w:themeColor="accent6" w:themeShade="BF"/>
              </w:rPr>
              <w:t xml:space="preserve"> </w:t>
            </w:r>
            <w:r w:rsidRPr="00624DEB">
              <w:rPr>
                <w:rFonts w:eastAsiaTheme="minorEastAsia"/>
                <w:b/>
                <w:color w:val="3A7C22" w:themeColor="accent6" w:themeShade="BF"/>
              </w:rPr>
              <w:br/>
            </w:r>
            <w:r w:rsidRPr="00624DEB">
              <w:rPr>
                <w:b/>
                <w:bCs/>
                <w:color w:val="3A7C22" w:themeColor="accent6" w:themeShade="BF"/>
              </w:rPr>
              <w:t>(%)</w:t>
            </w:r>
          </w:p>
        </w:tc>
        <w:tc>
          <w:tcPr>
            <w:tcW w:w="1500" w:type="dxa"/>
            <w:tcBorders>
              <w:bottom w:val="single" w:sz="4" w:space="0" w:color="DCDFE5"/>
            </w:tcBorders>
          </w:tcPr>
          <w:p w14:paraId="2C06E393" w14:textId="32C82F13" w:rsidR="00624DEB" w:rsidRPr="00624DEB" w:rsidRDefault="00624DEB" w:rsidP="00624DEB">
            <w:pPr>
              <w:pStyle w:val="BodyText"/>
              <w:spacing w:before="0" w:after="0"/>
              <w:jc w:val="right"/>
              <w:rPr>
                <w:rFonts w:ascii="Aptos Display" w:eastAsia="Times New Roman" w:hAnsi="Aptos Display" w:cs="Times New Roman"/>
                <w:b/>
                <w:color w:val="3A7C22" w:themeColor="accent6" w:themeShade="BF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color w:val="3A7C22" w:themeColor="accent6" w:themeShade="BF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b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pcp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3A7C22" w:themeColor="accent6" w:themeShade="BF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3A7C22" w:themeColor="accent6" w:themeShade="BF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7C22" w:themeColor="accent6" w:themeShade="BF"/>
                    </w:rPr>
                    <m:t>pcp</m:t>
                  </m:r>
                </m:sub>
              </m:sSub>
            </m:oMath>
            <w:r w:rsidRPr="00624DEB">
              <w:rPr>
                <w:rFonts w:eastAsiaTheme="minorEastAsia"/>
                <w:b/>
                <w:color w:val="3A7C22" w:themeColor="accent6" w:themeShade="BF"/>
              </w:rPr>
              <w:t xml:space="preserve"> </w:t>
            </w:r>
            <w:r w:rsidRPr="00624DEB">
              <w:rPr>
                <w:rFonts w:eastAsiaTheme="minorEastAsia"/>
                <w:b/>
                <w:color w:val="3A7C22" w:themeColor="accent6" w:themeShade="BF"/>
              </w:rPr>
              <w:br/>
            </w:r>
            <w:r w:rsidRPr="00624DEB">
              <w:rPr>
                <w:b/>
                <w:bCs/>
                <w:color w:val="3A7C22" w:themeColor="accent6" w:themeShade="BF"/>
              </w:rPr>
              <w:t>(%)</w:t>
            </w:r>
          </w:p>
        </w:tc>
        <w:tc>
          <w:tcPr>
            <w:tcW w:w="1485" w:type="dxa"/>
            <w:tcBorders>
              <w:bottom w:val="single" w:sz="4" w:space="0" w:color="DCDFE5"/>
            </w:tcBorders>
          </w:tcPr>
          <w:p w14:paraId="1F55473C" w14:textId="04BC0C25" w:rsidR="00624DEB" w:rsidRPr="00B73CD6" w:rsidRDefault="00624DEB" w:rsidP="00624DEB">
            <w:pPr>
              <w:pStyle w:val="BodyText"/>
              <w:spacing w:before="0" w:after="0"/>
              <w:jc w:val="right"/>
              <w:rPr>
                <w:rFonts w:ascii="Aptos Display" w:eastAsia="Times New Roman" w:hAnsi="Aptos Display" w:cs="Times New Roman"/>
                <w:b/>
              </w:rPr>
            </w:pPr>
            <w:r>
              <w:rPr>
                <w:rFonts w:eastAsiaTheme="minorEastAsia"/>
                <w:b/>
              </w:rPr>
              <w:t xml:space="preserve"> </w:t>
            </w:r>
            <w:r>
              <w:rPr>
                <w:rFonts w:eastAsiaTheme="minorEastAsia"/>
                <w:b/>
              </w:rPr>
              <w:br/>
            </w:r>
          </w:p>
        </w:tc>
      </w:tr>
      <w:tr w:rsidR="00624DEB" w:rsidRPr="00B561F4" w14:paraId="404536F3" w14:textId="77777777" w:rsidTr="00651301">
        <w:trPr>
          <w:tblCellSpacing w:w="15" w:type="dxa"/>
        </w:trPr>
        <w:tc>
          <w:tcPr>
            <w:tcW w:w="3015" w:type="dxa"/>
            <w:hideMark/>
          </w:tcPr>
          <w:p w14:paraId="35CEB660" w14:textId="77777777" w:rsidR="00624DEB" w:rsidRPr="00B561F4" w:rsidRDefault="00624DEB" w:rsidP="00651301">
            <w:pPr>
              <w:pStyle w:val="BodyText"/>
              <w:spacing w:before="0" w:after="0"/>
            </w:pPr>
            <w:r w:rsidRPr="00B561F4">
              <w:t>subsidence-5%</w:t>
            </w:r>
            <w:r>
              <w:t>, Ecb+2%</w:t>
            </w:r>
          </w:p>
        </w:tc>
        <w:tc>
          <w:tcPr>
            <w:tcW w:w="1230" w:type="dxa"/>
            <w:hideMark/>
          </w:tcPr>
          <w:p w14:paraId="563746C8" w14:textId="77777777" w:rsidR="00624DEB" w:rsidRPr="00B561F4" w:rsidRDefault="00624DEB" w:rsidP="00651301">
            <w:pPr>
              <w:pStyle w:val="BodyText"/>
              <w:spacing w:before="0" w:after="0"/>
              <w:jc w:val="right"/>
            </w:pPr>
            <w:r>
              <w:t>–</w:t>
            </w:r>
            <w:r w:rsidRPr="00B561F4">
              <w:t>5</w:t>
            </w:r>
            <w:r>
              <w:t>.00</w:t>
            </w:r>
          </w:p>
        </w:tc>
        <w:tc>
          <w:tcPr>
            <w:tcW w:w="1500" w:type="dxa"/>
          </w:tcPr>
          <w:p w14:paraId="21A3528E" w14:textId="7053502E" w:rsidR="00624DEB" w:rsidRPr="00624DEB" w:rsidRDefault="00624DEB" w:rsidP="00651301">
            <w:pPr>
              <w:pStyle w:val="BodyText"/>
              <w:spacing w:before="0" w:after="0"/>
              <w:jc w:val="right"/>
              <w:rPr>
                <w:color w:val="3A7C22" w:themeColor="accent6" w:themeShade="BF"/>
              </w:rPr>
            </w:pPr>
            <w:r w:rsidRPr="00624DEB">
              <w:rPr>
                <w:color w:val="3A7C22" w:themeColor="accent6" w:themeShade="BF"/>
              </w:rPr>
              <w:t>–5.00</w:t>
            </w:r>
          </w:p>
        </w:tc>
        <w:tc>
          <w:tcPr>
            <w:tcW w:w="1500" w:type="dxa"/>
          </w:tcPr>
          <w:p w14:paraId="11A2DAA5" w14:textId="04878546" w:rsidR="00624DEB" w:rsidRPr="00624DEB" w:rsidRDefault="00624DEB" w:rsidP="00651301">
            <w:pPr>
              <w:pStyle w:val="BodyText"/>
              <w:spacing w:before="0" w:after="0"/>
              <w:jc w:val="right"/>
              <w:rPr>
                <w:color w:val="3A7C22" w:themeColor="accent6" w:themeShade="BF"/>
              </w:rPr>
            </w:pPr>
            <w:r w:rsidRPr="00624DEB">
              <w:rPr>
                <w:color w:val="3A7C22" w:themeColor="accent6" w:themeShade="BF"/>
              </w:rPr>
              <w:t>–</w:t>
            </w:r>
            <w:r w:rsidRPr="00624DEB">
              <w:rPr>
                <w:color w:val="3A7C22" w:themeColor="accent6" w:themeShade="BF"/>
              </w:rPr>
              <w:t>5.</w:t>
            </w:r>
            <w:r>
              <w:rPr>
                <w:color w:val="3A7C22" w:themeColor="accent6" w:themeShade="BF"/>
              </w:rPr>
              <w:t>0</w:t>
            </w:r>
            <w:r w:rsidRPr="00624DEB">
              <w:rPr>
                <w:color w:val="3A7C22" w:themeColor="accent6" w:themeShade="BF"/>
              </w:rPr>
              <w:t>0</w:t>
            </w:r>
          </w:p>
        </w:tc>
        <w:tc>
          <w:tcPr>
            <w:tcW w:w="1485" w:type="dxa"/>
          </w:tcPr>
          <w:p w14:paraId="2FAAA33D" w14:textId="3668FA8E" w:rsidR="00624DEB" w:rsidRDefault="00624DEB" w:rsidP="00651301">
            <w:pPr>
              <w:pStyle w:val="BodyText"/>
              <w:spacing w:before="0" w:after="0"/>
              <w:jc w:val="right"/>
            </w:pPr>
          </w:p>
        </w:tc>
      </w:tr>
      <w:tr w:rsidR="00624DEB" w:rsidRPr="00E33B47" w14:paraId="36C0B943" w14:textId="77777777" w:rsidTr="00651301">
        <w:trPr>
          <w:tblCellSpacing w:w="15" w:type="dxa"/>
        </w:trPr>
        <w:tc>
          <w:tcPr>
            <w:tcW w:w="3015" w:type="dxa"/>
            <w:hideMark/>
          </w:tcPr>
          <w:p w14:paraId="3A59CF4F" w14:textId="77777777" w:rsidR="00624DEB" w:rsidRPr="00E33B47" w:rsidRDefault="00624DEB" w:rsidP="00651301">
            <w:pPr>
              <w:pStyle w:val="BodyText"/>
              <w:spacing w:before="0" w:after="0"/>
            </w:pPr>
            <w:r>
              <w:t>DIM (</w:t>
            </w:r>
            <w:r w:rsidRPr="00E33B47">
              <w:t>q&amp;qs+7%</w:t>
            </w:r>
            <w:r>
              <w:t>)</w:t>
            </w:r>
          </w:p>
        </w:tc>
        <w:tc>
          <w:tcPr>
            <w:tcW w:w="1230" w:type="dxa"/>
            <w:hideMark/>
          </w:tcPr>
          <w:p w14:paraId="2272EB08" w14:textId="4CA5D676" w:rsidR="00624DEB" w:rsidRPr="00E33B47" w:rsidRDefault="00624DEB" w:rsidP="00651301">
            <w:pPr>
              <w:pStyle w:val="BodyText"/>
              <w:spacing w:before="0" w:after="0"/>
              <w:jc w:val="right"/>
            </w:pPr>
            <w:r>
              <w:t>–</w:t>
            </w:r>
            <w:r w:rsidRPr="00E33B47">
              <w:t>7.</w:t>
            </w:r>
            <w:r>
              <w:t>74</w:t>
            </w:r>
          </w:p>
        </w:tc>
        <w:tc>
          <w:tcPr>
            <w:tcW w:w="1500" w:type="dxa"/>
          </w:tcPr>
          <w:p w14:paraId="2DAF69E0" w14:textId="7B341421" w:rsidR="00624DEB" w:rsidRPr="00624DEB" w:rsidRDefault="00624DEB" w:rsidP="00651301">
            <w:pPr>
              <w:pStyle w:val="BodyText"/>
              <w:spacing w:before="0" w:after="0"/>
              <w:jc w:val="right"/>
              <w:rPr>
                <w:color w:val="3A7C22" w:themeColor="accent6" w:themeShade="BF"/>
              </w:rPr>
            </w:pPr>
            <w:r>
              <w:rPr>
                <w:color w:val="3A7C22" w:themeColor="accent6" w:themeShade="BF"/>
              </w:rPr>
              <w:t>–1.28</w:t>
            </w:r>
          </w:p>
        </w:tc>
        <w:tc>
          <w:tcPr>
            <w:tcW w:w="1500" w:type="dxa"/>
          </w:tcPr>
          <w:p w14:paraId="3D7D734B" w14:textId="1FCED139" w:rsidR="00624DEB" w:rsidRPr="00624DEB" w:rsidRDefault="00624DEB" w:rsidP="00651301">
            <w:pPr>
              <w:pStyle w:val="BodyText"/>
              <w:spacing w:before="0" w:after="0"/>
              <w:jc w:val="right"/>
              <w:rPr>
                <w:color w:val="3A7C22" w:themeColor="accent6" w:themeShade="BF"/>
              </w:rPr>
            </w:pPr>
            <w:r w:rsidRPr="00624DEB">
              <w:rPr>
                <w:color w:val="3A7C22" w:themeColor="accent6" w:themeShade="BF"/>
              </w:rPr>
              <w:t>–0.7</w:t>
            </w:r>
            <w:r>
              <w:rPr>
                <w:color w:val="3A7C22" w:themeColor="accent6" w:themeShade="BF"/>
              </w:rPr>
              <w:t>5</w:t>
            </w:r>
          </w:p>
        </w:tc>
        <w:tc>
          <w:tcPr>
            <w:tcW w:w="1485" w:type="dxa"/>
          </w:tcPr>
          <w:p w14:paraId="10BCD193" w14:textId="219E3B72" w:rsidR="00624DEB" w:rsidRDefault="00624DEB" w:rsidP="00651301">
            <w:pPr>
              <w:pStyle w:val="BodyText"/>
              <w:spacing w:before="0" w:after="0"/>
              <w:jc w:val="right"/>
            </w:pPr>
          </w:p>
        </w:tc>
      </w:tr>
      <w:tr w:rsidR="00624DEB" w:rsidRPr="00B561F4" w14:paraId="1BBD610E" w14:textId="77777777" w:rsidTr="00651301">
        <w:trPr>
          <w:tblCellSpacing w:w="15" w:type="dxa"/>
        </w:trPr>
        <w:tc>
          <w:tcPr>
            <w:tcW w:w="3015" w:type="dxa"/>
            <w:hideMark/>
          </w:tcPr>
          <w:p w14:paraId="1A901669" w14:textId="77777777" w:rsidR="00624DEB" w:rsidRPr="00B561F4" w:rsidRDefault="00624DEB" w:rsidP="00651301">
            <w:pPr>
              <w:pStyle w:val="BodyText"/>
              <w:spacing w:before="0" w:after="0"/>
            </w:pPr>
            <w:r w:rsidRPr="00B561F4">
              <w:t>lclRH+0.00</w:t>
            </w:r>
            <w:r>
              <w:t>3</w:t>
            </w:r>
          </w:p>
        </w:tc>
        <w:tc>
          <w:tcPr>
            <w:tcW w:w="1230" w:type="dxa"/>
            <w:hideMark/>
          </w:tcPr>
          <w:p w14:paraId="24B8702B" w14:textId="6D0CA71E" w:rsidR="00624DEB" w:rsidRPr="00B561F4" w:rsidRDefault="00624DEB" w:rsidP="00651301">
            <w:pPr>
              <w:pStyle w:val="BodyText"/>
              <w:spacing w:before="0" w:after="0"/>
              <w:jc w:val="right"/>
            </w:pPr>
          </w:p>
        </w:tc>
        <w:tc>
          <w:tcPr>
            <w:tcW w:w="1500" w:type="dxa"/>
          </w:tcPr>
          <w:p w14:paraId="52B3FA09" w14:textId="179443CD" w:rsidR="00624DEB" w:rsidRPr="00624DEB" w:rsidRDefault="00624DEB" w:rsidP="00651301">
            <w:pPr>
              <w:pStyle w:val="BodyText"/>
              <w:spacing w:before="0" w:after="0"/>
              <w:jc w:val="right"/>
              <w:rPr>
                <w:color w:val="3A7C22" w:themeColor="accent6" w:themeShade="BF"/>
              </w:rPr>
            </w:pPr>
          </w:p>
        </w:tc>
        <w:tc>
          <w:tcPr>
            <w:tcW w:w="1500" w:type="dxa"/>
          </w:tcPr>
          <w:p w14:paraId="5D8C11FF" w14:textId="2DF9C220" w:rsidR="00624DEB" w:rsidRPr="00624DEB" w:rsidRDefault="00624DEB" w:rsidP="00624DEB">
            <w:pPr>
              <w:pStyle w:val="BodyText"/>
              <w:tabs>
                <w:tab w:val="center" w:pos="735"/>
                <w:tab w:val="right" w:pos="1470"/>
              </w:tabs>
              <w:spacing w:before="0" w:after="0"/>
              <w:rPr>
                <w:color w:val="3A7C22" w:themeColor="accent6" w:themeShade="BF"/>
              </w:rPr>
            </w:pPr>
            <w:r>
              <w:rPr>
                <w:color w:val="3A7C22" w:themeColor="accent6" w:themeShade="BF"/>
              </w:rPr>
              <w:tab/>
            </w:r>
            <w:r>
              <w:rPr>
                <w:color w:val="3A7C22" w:themeColor="accent6" w:themeShade="BF"/>
              </w:rPr>
              <w:tab/>
            </w:r>
          </w:p>
        </w:tc>
        <w:tc>
          <w:tcPr>
            <w:tcW w:w="1485" w:type="dxa"/>
          </w:tcPr>
          <w:p w14:paraId="619B3E99" w14:textId="6199175F" w:rsidR="00624DEB" w:rsidRDefault="00624DEB" w:rsidP="00651301">
            <w:pPr>
              <w:pStyle w:val="BodyText"/>
              <w:spacing w:before="0" w:after="0"/>
              <w:jc w:val="right"/>
            </w:pPr>
          </w:p>
        </w:tc>
      </w:tr>
      <w:tr w:rsidR="00624DEB" w:rsidRPr="00B561F4" w14:paraId="74C6FEF3" w14:textId="77777777" w:rsidTr="00651301">
        <w:trPr>
          <w:tblCellSpacing w:w="15" w:type="dxa"/>
        </w:trPr>
        <w:tc>
          <w:tcPr>
            <w:tcW w:w="3015" w:type="dxa"/>
          </w:tcPr>
          <w:p w14:paraId="0EA0333B" w14:textId="3930144C" w:rsidR="00624DEB" w:rsidRPr="00B561F4" w:rsidRDefault="00624DEB" w:rsidP="00651301">
            <w:pPr>
              <w:pStyle w:val="BodyText"/>
              <w:spacing w:before="0" w:after="0"/>
            </w:pPr>
          </w:p>
        </w:tc>
        <w:tc>
          <w:tcPr>
            <w:tcW w:w="1230" w:type="dxa"/>
          </w:tcPr>
          <w:p w14:paraId="32DA1941" w14:textId="77777777" w:rsidR="00624DEB" w:rsidRDefault="00624DEB" w:rsidP="00651301">
            <w:pPr>
              <w:pStyle w:val="BodyText"/>
              <w:spacing w:before="0" w:after="0"/>
              <w:jc w:val="right"/>
            </w:pPr>
          </w:p>
        </w:tc>
        <w:tc>
          <w:tcPr>
            <w:tcW w:w="1500" w:type="dxa"/>
          </w:tcPr>
          <w:p w14:paraId="74079CA4" w14:textId="77777777" w:rsidR="00624DEB" w:rsidRPr="00624DEB" w:rsidRDefault="00624DEB" w:rsidP="00651301">
            <w:pPr>
              <w:pStyle w:val="BodyText"/>
              <w:spacing w:before="0" w:after="0"/>
              <w:jc w:val="right"/>
              <w:rPr>
                <w:color w:val="3A7C22" w:themeColor="accent6" w:themeShade="BF"/>
              </w:rPr>
            </w:pPr>
          </w:p>
        </w:tc>
        <w:tc>
          <w:tcPr>
            <w:tcW w:w="1500" w:type="dxa"/>
          </w:tcPr>
          <w:p w14:paraId="63112B19" w14:textId="77777777" w:rsidR="00624DEB" w:rsidRPr="00624DEB" w:rsidRDefault="00624DEB" w:rsidP="00651301">
            <w:pPr>
              <w:pStyle w:val="BodyText"/>
              <w:spacing w:before="0" w:after="0"/>
              <w:jc w:val="right"/>
              <w:rPr>
                <w:color w:val="3A7C22" w:themeColor="accent6" w:themeShade="BF"/>
              </w:rPr>
            </w:pPr>
          </w:p>
        </w:tc>
        <w:tc>
          <w:tcPr>
            <w:tcW w:w="1485" w:type="dxa"/>
          </w:tcPr>
          <w:p w14:paraId="24AF5119" w14:textId="77777777" w:rsidR="00624DEB" w:rsidRDefault="00624DEB" w:rsidP="00651301">
            <w:pPr>
              <w:pStyle w:val="BodyText"/>
              <w:spacing w:before="0" w:after="0"/>
              <w:jc w:val="right"/>
            </w:pPr>
          </w:p>
        </w:tc>
      </w:tr>
      <w:tr w:rsidR="00624DEB" w:rsidRPr="00B561F4" w14:paraId="42C6746E" w14:textId="77777777" w:rsidTr="00651301">
        <w:trPr>
          <w:tblCellSpacing w:w="15" w:type="dxa"/>
        </w:trPr>
        <w:tc>
          <w:tcPr>
            <w:tcW w:w="3015" w:type="dxa"/>
          </w:tcPr>
          <w:p w14:paraId="3BC5654C" w14:textId="77777777" w:rsidR="00624DEB" w:rsidRPr="00B561F4" w:rsidRDefault="00624DEB" w:rsidP="00651301">
            <w:pPr>
              <w:pStyle w:val="BodyText"/>
              <w:spacing w:before="0" w:after="0"/>
            </w:pPr>
          </w:p>
        </w:tc>
        <w:tc>
          <w:tcPr>
            <w:tcW w:w="1230" w:type="dxa"/>
          </w:tcPr>
          <w:p w14:paraId="1ECBEED3" w14:textId="77777777" w:rsidR="00624DEB" w:rsidRDefault="00624DEB" w:rsidP="00651301">
            <w:pPr>
              <w:pStyle w:val="BodyText"/>
              <w:spacing w:before="0" w:after="0"/>
              <w:jc w:val="right"/>
            </w:pPr>
          </w:p>
        </w:tc>
        <w:tc>
          <w:tcPr>
            <w:tcW w:w="1500" w:type="dxa"/>
          </w:tcPr>
          <w:p w14:paraId="1095E2CE" w14:textId="77777777" w:rsidR="00624DEB" w:rsidRPr="00624DEB" w:rsidRDefault="00624DEB" w:rsidP="00651301">
            <w:pPr>
              <w:pStyle w:val="BodyText"/>
              <w:spacing w:before="0" w:after="0"/>
              <w:jc w:val="right"/>
              <w:rPr>
                <w:color w:val="3A7C22" w:themeColor="accent6" w:themeShade="BF"/>
              </w:rPr>
            </w:pPr>
          </w:p>
        </w:tc>
        <w:tc>
          <w:tcPr>
            <w:tcW w:w="1500" w:type="dxa"/>
          </w:tcPr>
          <w:p w14:paraId="612ABD9E" w14:textId="77777777" w:rsidR="00624DEB" w:rsidRPr="00624DEB" w:rsidRDefault="00624DEB" w:rsidP="00651301">
            <w:pPr>
              <w:pStyle w:val="BodyText"/>
              <w:spacing w:before="0" w:after="0"/>
              <w:jc w:val="right"/>
              <w:rPr>
                <w:color w:val="3A7C22" w:themeColor="accent6" w:themeShade="BF"/>
              </w:rPr>
            </w:pPr>
          </w:p>
        </w:tc>
        <w:tc>
          <w:tcPr>
            <w:tcW w:w="1485" w:type="dxa"/>
          </w:tcPr>
          <w:p w14:paraId="3FB94CDC" w14:textId="77777777" w:rsidR="00624DEB" w:rsidRDefault="00624DEB" w:rsidP="00651301">
            <w:pPr>
              <w:pStyle w:val="BodyText"/>
              <w:spacing w:before="0" w:after="0"/>
              <w:jc w:val="right"/>
            </w:pPr>
          </w:p>
        </w:tc>
      </w:tr>
    </w:tbl>
    <w:p w14:paraId="4B411806" w14:textId="77777777" w:rsidR="00624DEB" w:rsidRDefault="00624DEB" w:rsidP="00624DEB">
      <w:pPr>
        <w:pStyle w:val="BodyText"/>
        <w:rPr>
          <w:rFonts w:ascii="Aptos" w:hAnsi="Aptos"/>
        </w:rPr>
      </w:pPr>
    </w:p>
    <w:p w14:paraId="6CAA2847" w14:textId="77777777" w:rsidR="00624DEB" w:rsidRDefault="00624DEB" w:rsidP="005842E2">
      <w:pPr>
        <w:spacing w:line="240" w:lineRule="auto"/>
      </w:pPr>
    </w:p>
    <w:sectPr w:rsidR="00624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E2"/>
    <w:rsid w:val="0011468E"/>
    <w:rsid w:val="00200C25"/>
    <w:rsid w:val="00297C13"/>
    <w:rsid w:val="003B1BDD"/>
    <w:rsid w:val="0042756B"/>
    <w:rsid w:val="005219AA"/>
    <w:rsid w:val="005842E2"/>
    <w:rsid w:val="005F6710"/>
    <w:rsid w:val="00624DEB"/>
    <w:rsid w:val="009105FB"/>
    <w:rsid w:val="009F7889"/>
    <w:rsid w:val="00B227BC"/>
    <w:rsid w:val="00C35AC8"/>
    <w:rsid w:val="00FD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15255"/>
  <w15:chartTrackingRefBased/>
  <w15:docId w15:val="{487D383E-D77C-F04D-A7F2-6EBC90304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2E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219AA"/>
    <w:rPr>
      <w:color w:val="666666"/>
    </w:rPr>
  </w:style>
  <w:style w:type="paragraph" w:styleId="BodyText">
    <w:name w:val="Body Text"/>
    <w:basedOn w:val="Normal"/>
    <w:link w:val="BodyTextChar"/>
    <w:qFormat/>
    <w:rsid w:val="00624DEB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624DE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Szoeke, Simon</dc:creator>
  <cp:keywords/>
  <dc:description/>
  <cp:lastModifiedBy>de Szoeke, Simon</cp:lastModifiedBy>
  <cp:revision>4</cp:revision>
  <dcterms:created xsi:type="dcterms:W3CDTF">2026-08-17T20:58:00Z</dcterms:created>
  <dcterms:modified xsi:type="dcterms:W3CDTF">2026-08-18T20:28:00Z</dcterms:modified>
</cp:coreProperties>
</file>