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7A1A" w14:textId="295F2BD6" w:rsidR="00CE09F6" w:rsidRDefault="00CE09F6" w:rsidP="00CE09F6">
      <w:pPr>
        <w:pStyle w:val="Title"/>
      </w:pPr>
      <w:bookmarkStart w:id="0" w:name="Xde70cbfbf8f1a4cf16a1c1d00dfac4228632f76"/>
      <w:r>
        <w:rPr>
          <w:rFonts w:ascii="Aptos" w:hAnsi="Aptos"/>
        </w:rPr>
        <w:t xml:space="preserve">(title 1) </w:t>
      </w:r>
      <w:r>
        <w:t>Dynamical moisture (</w:t>
      </w:r>
      <w:proofErr w:type="spellStart"/>
      <w:r>
        <w:t>DiM</w:t>
      </w:r>
      <w:proofErr w:type="spellEnd"/>
      <w:r>
        <w:t>) balance explains shallow cumulus cloud feedback</w:t>
      </w:r>
    </w:p>
    <w:p w14:paraId="0D748696" w14:textId="77777777" w:rsidR="00CE09F6" w:rsidRPr="00CE09F6" w:rsidRDefault="00CE09F6" w:rsidP="00CE09F6"/>
    <w:p w14:paraId="59F81813" w14:textId="5C5A382A" w:rsidR="00CE09F6" w:rsidRDefault="00CE09F6" w:rsidP="00CE09F6">
      <w:pPr>
        <w:pStyle w:val="Title"/>
      </w:pPr>
      <w:r w:rsidRPr="00CE09F6">
        <w:t xml:space="preserve">(title 2) </w:t>
      </w:r>
      <w:r w:rsidRPr="00CE09F6">
        <w:t>Shallow cumulus clouds decrease in proportion to tropical</w:t>
      </w:r>
      <w:r w:rsidRPr="00CE09F6">
        <w:t xml:space="preserve"> </w:t>
      </w:r>
      <w:r w:rsidRPr="00CE09F6">
        <w:t>overturning circulation</w:t>
      </w:r>
    </w:p>
    <w:p w14:paraId="77C88165" w14:textId="77777777" w:rsidR="00CE09F6" w:rsidRPr="00CE09F6" w:rsidRDefault="00CE09F6" w:rsidP="00CE09F6"/>
    <w:p w14:paraId="15B3CC6B" w14:textId="076779B6" w:rsidR="00CE09F6" w:rsidRDefault="00CE09F6" w:rsidP="00CE09F6">
      <w:pPr>
        <w:pStyle w:val="Heading1"/>
      </w:pPr>
      <w:bookmarkStart w:id="1" w:name="abstract"/>
      <w:r>
        <w:t>Abstract</w:t>
      </w:r>
      <w:r>
        <w:t xml:space="preserve"> (1)</w:t>
      </w:r>
    </w:p>
    <w:p w14:paraId="0BB2374B" w14:textId="77777777" w:rsidR="00CE09F6" w:rsidRPr="00CE09F6" w:rsidRDefault="00CE09F6" w:rsidP="00CE09F6">
      <w:pPr>
        <w:pStyle w:val="Heading2"/>
        <w:rPr>
          <w:color w:val="EE0000"/>
        </w:rPr>
      </w:pPr>
      <w:r w:rsidRPr="00CE09F6">
        <w:rPr>
          <w:rFonts w:ascii="Aptos" w:eastAsiaTheme="minorHAnsi" w:hAnsi="Aptos" w:cstheme="minorBidi"/>
          <w:color w:val="auto"/>
          <w:kern w:val="0"/>
          <w:sz w:val="24"/>
          <w:szCs w:val="24"/>
          <w14:ligatures w14:val="none"/>
        </w:rPr>
        <w:t xml:space="preserve">Sensitivity of climate models to doubling CO2 has been explained by shallow cumulus cloud feedback. It has been proposed that increased vertical mixing reduces cloud fraction by desiccating the relative humidity of the shallow cumulus layer, yet models that reproduce the observed mesoscale correlation of cloud fraction to cloud-base mass flux have weaker cloud </w:t>
      </w:r>
      <w:proofErr w:type="gramStart"/>
      <w:r w:rsidRPr="00CE09F6">
        <w:rPr>
          <w:rFonts w:ascii="Aptos" w:eastAsiaTheme="minorHAnsi" w:hAnsi="Aptos" w:cstheme="minorBidi"/>
          <w:color w:val="auto"/>
          <w:kern w:val="0"/>
          <w:sz w:val="24"/>
          <w:szCs w:val="24"/>
          <w14:ligatures w14:val="none"/>
        </w:rPr>
        <w:t>feedbacks</w:t>
      </w:r>
      <w:proofErr w:type="gramEnd"/>
      <w:r w:rsidRPr="00CE09F6">
        <w:rPr>
          <w:rFonts w:ascii="Aptos" w:eastAsiaTheme="minorHAnsi" w:hAnsi="Aptos" w:cstheme="minorBidi"/>
          <w:color w:val="auto"/>
          <w:kern w:val="0"/>
          <w:sz w:val="24"/>
          <w:szCs w:val="24"/>
          <w14:ligatures w14:val="none"/>
        </w:rPr>
        <w:t xml:space="preserve">, suggesting their clouds are relatively insensitive desiccation by mixing. </w:t>
      </w:r>
      <w:r w:rsidRPr="00CE09F6">
        <w:rPr>
          <w:rFonts w:ascii="Aptos" w:eastAsiaTheme="minorHAnsi" w:hAnsi="Aptos" w:cstheme="minorBidi"/>
          <w:color w:val="EE0000"/>
          <w:kern w:val="0"/>
          <w:sz w:val="24"/>
          <w:szCs w:val="24"/>
          <w14:ligatures w14:val="none"/>
        </w:rPr>
        <w:t xml:space="preserve">Here we calculate shallow cumulus cloud feedback that results as shallow cumulus clouds decrease their moisture flux to compensate reduced drying by the large-scale circulation, which decreases about 5 % K–1 by energetic constraints. The proportionality to the humidity of both the cloud moisture flux and the large-scale drying suggests the clouds are insensitive to changes of humidity. Local differences in shallow cloud feedback among different climates can be explained by differences in their Hadley circulation and differences in changes of the ratio of cloud albedo to cloud mass flux. The latter is assessed from satellite observations and compared to previous cloud permitting model simulations and field </w:t>
      </w:r>
      <w:proofErr w:type="spellStart"/>
      <w:r w:rsidRPr="00CE09F6">
        <w:rPr>
          <w:rFonts w:ascii="Aptos" w:eastAsiaTheme="minorHAnsi" w:hAnsi="Aptos" w:cstheme="minorBidi"/>
          <w:color w:val="EE0000"/>
          <w:kern w:val="0"/>
          <w:sz w:val="24"/>
          <w:szCs w:val="24"/>
          <w14:ligatures w14:val="none"/>
        </w:rPr>
        <w:t>observations.</w:t>
      </w:r>
    </w:p>
    <w:p w14:paraId="1DC07ED3" w14:textId="79A6B672" w:rsidR="00CE09F6" w:rsidRPr="00891CDE" w:rsidRDefault="00CE09F6" w:rsidP="00CE09F6">
      <w:pPr>
        <w:pStyle w:val="Heading1"/>
      </w:pPr>
      <w:r w:rsidRPr="00891CDE">
        <w:t>Abstrac</w:t>
      </w:r>
      <w:proofErr w:type="spellEnd"/>
      <w:r w:rsidRPr="00891CDE">
        <w:t>t</w:t>
      </w:r>
      <w:r>
        <w:t xml:space="preserve"> (2)</w:t>
      </w:r>
    </w:p>
    <w:p w14:paraId="7CCE2A08" w14:textId="77777777" w:rsidR="00CE09F6" w:rsidRPr="00891CDE" w:rsidRDefault="00CE09F6" w:rsidP="00CE09F6">
      <w:pPr>
        <w:pStyle w:val="FirstParagraph"/>
        <w:rPr>
          <w:rFonts w:ascii="Aptos" w:hAnsi="Aptos"/>
        </w:rPr>
      </w:pPr>
      <w:r w:rsidRPr="00891CDE">
        <w:rPr>
          <w:rFonts w:ascii="Aptos" w:hAnsi="Aptos"/>
        </w:rPr>
        <w:t xml:space="preserve">Shallow cumulus clouds </w:t>
      </w:r>
      <w:proofErr w:type="spellStart"/>
      <w:r w:rsidRPr="00891CDE">
        <w:rPr>
          <w:rFonts w:ascii="Aptos" w:hAnsi="Aptos"/>
        </w:rPr>
        <w:t>affect</w:t>
      </w:r>
      <w:proofErr w:type="spellEnd"/>
      <w:r w:rsidRPr="00891CDE">
        <w:rPr>
          <w:rFonts w:ascii="Aptos" w:hAnsi="Aptos"/>
        </w:rPr>
        <w:t xml:space="preserve"> on Earth’s planetary albedo and cloud </w:t>
      </w:r>
      <w:proofErr w:type="gramStart"/>
      <w:r w:rsidRPr="00891CDE">
        <w:rPr>
          <w:rFonts w:ascii="Aptos" w:hAnsi="Aptos"/>
        </w:rPr>
        <w:t>feedback, and</w:t>
      </w:r>
      <w:proofErr w:type="gramEnd"/>
      <w:r w:rsidRPr="00891CDE">
        <w:rPr>
          <w:rFonts w:ascii="Aptos" w:hAnsi="Aptos"/>
        </w:rPr>
        <w:t xml:space="preserve"> explain climate model sensitivity to atmospheric CO</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891CDE">
        <w:rPr>
          <w:rFonts w:ascii="Aptos" w:hAnsi="Aptos"/>
        </w:rPr>
        <w:t xml:space="preserve">. Previous studies have proposed that increased vertical mixing reduces cloud fraction by desiccating the relative humidity of the shallow cumulus layer. Others have argued correlations of clouds with cloud-base humidity and mass flux refute the dessication hypothesis. Here we use the moisture balance between drying by large-scale Hadley circulation and moistening by cloud flux as a constraint on the shallow cumulus regime. By varying the rate that clouds lose water to entrainment and precipitation, we model the cloud mass flux for the shallow cumulus clouds matching the cloud top height observed from satellite, where the cloud ensemble moisture flux balances the drying by the large-scale circulation in the observed climate. The model reproduces the mesoscale correlation of cloud fraction to the cloud base mass flux previously found over the northeastern tropical Atlantic Ocean in </w:t>
      </w:r>
      <w:proofErr w:type="gramStart"/>
      <w:r w:rsidRPr="00891CDE">
        <w:rPr>
          <w:rFonts w:ascii="Aptos" w:hAnsi="Aptos"/>
        </w:rPr>
        <w:t>EUREC4A, and</w:t>
      </w:r>
      <w:proofErr w:type="gramEnd"/>
      <w:r w:rsidRPr="00891CDE">
        <w:rPr>
          <w:rFonts w:ascii="Aptos" w:hAnsi="Aptos"/>
        </w:rPr>
        <w:t xml:space="preserve"> predicts changes in clouds expected due to changes in the large-scale circulation due to changes in mean temperature.</w:t>
      </w:r>
    </w:p>
    <w:p w14:paraId="0C2F7CC1" w14:textId="77777777" w:rsidR="00CE09F6" w:rsidRPr="00891CDE" w:rsidRDefault="00CE09F6" w:rsidP="00CE09F6">
      <w:pPr>
        <w:pStyle w:val="Heading2"/>
        <w:rPr>
          <w:rFonts w:ascii="Aptos" w:hAnsi="Aptos"/>
        </w:rPr>
      </w:pPr>
      <w:bookmarkStart w:id="2" w:name="introduction"/>
      <w:bookmarkEnd w:id="1"/>
      <w:r w:rsidRPr="00891CDE">
        <w:rPr>
          <w:rFonts w:ascii="Aptos" w:hAnsi="Aptos"/>
        </w:rPr>
        <w:t>Introduction</w:t>
      </w:r>
    </w:p>
    <w:p w14:paraId="14D1B7BB" w14:textId="77777777" w:rsidR="00CE09F6" w:rsidRPr="00891CDE" w:rsidRDefault="00CE09F6" w:rsidP="00CE09F6">
      <w:pPr>
        <w:pStyle w:val="FirstParagraph"/>
        <w:rPr>
          <w:rFonts w:ascii="Aptos" w:hAnsi="Aptos"/>
        </w:rPr>
      </w:pPr>
      <w:r w:rsidRPr="00891CDE">
        <w:rPr>
          <w:rFonts w:ascii="Aptos" w:hAnsi="Aptos"/>
        </w:rPr>
        <w:t>The shallow cumulus regime has a mean cloud fraction of YY % and covers XX % of Earth’s oceans. It affects the climate, so that variation of shallow cumulus cloud feedback is the largest source of uncertainty in the climate sensitivity of climate models (Bony et al. 2005; Bony and Dufresne, 2006). Zelinka et al. (2025) distinguish the changes in cloud radiative effects from the changes in the distribution of climate regimes from the changes of the properties of clouds within a climate regime, finding the latter larger and more consistent among models. The largest climate feedback is the positive feedback due to reduction of shallow cumulus shortwave cooling effect within the shallow cumulus regime.</w:t>
      </w:r>
    </w:p>
    <w:p w14:paraId="4C823C93" w14:textId="77777777" w:rsidR="00CE09F6" w:rsidRPr="00891CDE" w:rsidRDefault="00CE09F6" w:rsidP="00CE09F6">
      <w:pPr>
        <w:pStyle w:val="BodyText"/>
        <w:rPr>
          <w:rFonts w:ascii="Aptos" w:hAnsi="Aptos"/>
        </w:rPr>
      </w:pPr>
      <w:r w:rsidRPr="00891CDE">
        <w:rPr>
          <w:rFonts w:ascii="Aptos" w:hAnsi="Aptos"/>
        </w:rPr>
        <w:t>Sherwood et al. (2014) proposed that in a warmed climate, increased vertical mixing reduces cloud fraction by desiccating the shallow cumulus layer. Field observations from EUREC4A (Stevens et al. 2021; George et al. 2022) show clouds are correlated more strongly to mass flux than to relative humidity, challenging the importance of humidity and its desiccation by vertical mixing, and suggesting that vertical mixing processes are correlated with clouds (Vogel et al. 2022). Further, climate models that reproduce the observed mesoscale correlation of cloud fraction to cloud-base mass flux have weaker climate sensitivity, so selecting models on this condition circumstantially suggests weak climate sensitivity (Vogel et al. 2022).</w:t>
      </w:r>
    </w:p>
    <w:p w14:paraId="3B5AC3B8" w14:textId="77777777" w:rsidR="00CE09F6" w:rsidRPr="00891CDE" w:rsidRDefault="00CE09F6" w:rsidP="00CE09F6">
      <w:pPr>
        <w:pStyle w:val="BodyText"/>
        <w:rPr>
          <w:rFonts w:ascii="Aptos" w:hAnsi="Aptos"/>
        </w:rPr>
      </w:pPr>
      <w:r w:rsidRPr="00891CDE">
        <w:rPr>
          <w:rFonts w:ascii="Aptos" w:hAnsi="Aptos"/>
        </w:rPr>
        <w:t xml:space="preserve">The mean moisture balance over shallow convective regions provides another way to infer the effect of climate change on the clouds. This can be used to understand mean climates of the shallow cumulus regime. In a steady climate, the moisture budget over the shallow cumulus regime is balanced. A change in the drying by the </w:t>
      </w:r>
      <w:proofErr w:type="gramStart"/>
      <w:r w:rsidRPr="00891CDE">
        <w:rPr>
          <w:rFonts w:ascii="Aptos" w:hAnsi="Aptos"/>
        </w:rPr>
        <w:t>large scale</w:t>
      </w:r>
      <w:proofErr w:type="gramEnd"/>
      <w:r w:rsidRPr="00891CDE">
        <w:rPr>
          <w:rFonts w:ascii="Aptos" w:hAnsi="Aptos"/>
        </w:rPr>
        <w:t xml:space="preserve"> circulation is thus compensated by the opposite moistening by the divergence of the shallow cumulus cloud eddy flux.</w:t>
      </w:r>
    </w:p>
    <w:p w14:paraId="24134E66" w14:textId="77777777" w:rsidR="00CE09F6" w:rsidRPr="00891CDE" w:rsidRDefault="00CE09F6" w:rsidP="00CE09F6">
      <w:pPr>
        <w:pStyle w:val="BodyText"/>
        <w:rPr>
          <w:rFonts w:ascii="Aptos" w:hAnsi="Aptos"/>
        </w:rPr>
      </w:pPr>
      <w:r w:rsidRPr="00891CDE">
        <w:rPr>
          <w:rFonts w:ascii="Aptos" w:hAnsi="Aptos"/>
        </w:rPr>
        <w:t xml:space="preserve">Here we model these cloud eddy fluxes for the large-scale circulation drying and observed clouds in the present climate [RESULT1]. The model assumes proportionality among cloud fraction, moisture flux, and mass flux in the climate average. Our modeled proportionality of mesoscale mass flux and cloud fraction is independently consistent with that observed in EUREC4A [RESULT2]. </w:t>
      </w:r>
    </w:p>
    <w:p w14:paraId="13B36FC1" w14:textId="77777777" w:rsidR="00CE09F6" w:rsidRPr="00891CDE" w:rsidRDefault="00CE09F6" w:rsidP="00CE09F6">
      <w:pPr>
        <w:pStyle w:val="BodyText"/>
        <w:rPr>
          <w:rFonts w:ascii="Aptos" w:hAnsi="Aptos"/>
        </w:rPr>
      </w:pPr>
      <w:r w:rsidRPr="00891CDE">
        <w:rPr>
          <w:rFonts w:ascii="Aptos" w:hAnsi="Aptos"/>
        </w:rPr>
        <w:t>A reduction in equilibrium large scale tropical overturning circulation is expected in a warmed climate (Held and Soden 2006). Prescribing this reduced circulation to the cloud model shows the mean shallow cumulus mass flux and hence cloud fraction decreases in proportion to the reduction of the mean tropical circulation [RESULT3].</w:t>
      </w:r>
    </w:p>
    <w:p w14:paraId="65D30AA4" w14:textId="77777777" w:rsidR="00CE09F6" w:rsidRDefault="00CE09F6" w:rsidP="00CE09F6">
      <w:pPr>
        <w:pStyle w:val="Heading2"/>
        <w:rPr>
          <w:rFonts w:ascii="Aptos" w:hAnsi="Aptos"/>
        </w:rPr>
      </w:pPr>
      <w:r w:rsidRPr="00891CDE">
        <w:rPr>
          <w:rFonts w:ascii="Aptos" w:hAnsi="Aptos"/>
        </w:rPr>
        <w:t>Results</w:t>
      </w:r>
    </w:p>
    <w:p w14:paraId="3CA8A9A5" w14:textId="54E47A00" w:rsidR="00CE09F6" w:rsidRPr="00CE09F6" w:rsidRDefault="00CE09F6" w:rsidP="00CE09F6">
      <w:r>
        <w:t>[Reorganize to sequentially show RESULTS1-3]</w:t>
      </w:r>
    </w:p>
    <w:p w14:paraId="6C4C1303" w14:textId="5D449831" w:rsidR="00CE09F6" w:rsidRPr="00891CDE" w:rsidRDefault="00CE09F6" w:rsidP="00CE09F6">
      <w:pPr>
        <w:pStyle w:val="BodyText"/>
        <w:rPr>
          <w:rFonts w:ascii="Aptos" w:hAnsi="Aptos"/>
        </w:rPr>
      </w:pPr>
      <w:r>
        <w:rPr>
          <w:rFonts w:ascii="Aptos" w:hAnsi="Aptos"/>
        </w:rPr>
        <w:t>L</w:t>
      </w:r>
      <w:r w:rsidRPr="00891CDE">
        <w:rPr>
          <w:rFonts w:ascii="Aptos" w:hAnsi="Aptos"/>
        </w:rPr>
        <w:t xml:space="preserve">arge scale </w:t>
      </w:r>
      <w:r>
        <w:rPr>
          <w:rFonts w:ascii="Aptos" w:hAnsi="Aptos"/>
        </w:rPr>
        <w:t xml:space="preserve">mean </w:t>
      </w:r>
      <w:r w:rsidRPr="00891CDE">
        <w:rPr>
          <w:rFonts w:ascii="Aptos" w:hAnsi="Aptos"/>
        </w:rPr>
        <w:t xml:space="preserve">drying is due to </w:t>
      </w:r>
      <w:r>
        <w:rPr>
          <w:rFonts w:ascii="Aptos" w:hAnsi="Aptos"/>
        </w:rPr>
        <w:t xml:space="preserve">dry horizontal and vertical advection by </w:t>
      </w:r>
      <w:r w:rsidRPr="00891CDE">
        <w:rPr>
          <w:rFonts w:ascii="Aptos" w:hAnsi="Aptos"/>
        </w:rPr>
        <w:t xml:space="preserve">the descending branch compensating deep convection in the mean tropical overturning circulation. The circulation includes subsidence </w:t>
      </w:r>
      <m:oMath>
        <m:r>
          <w:rPr>
            <w:rFonts w:ascii="Cambria Math" w:hAnsi="Cambria Math"/>
          </w:rPr>
          <m:t>W</m:t>
        </m:r>
      </m:oMath>
      <w:r w:rsidRPr="00891CDE">
        <w:rPr>
          <w:rFonts w:ascii="Aptos" w:hAnsi="Aptos"/>
        </w:rPr>
        <w:t xml:space="preserve"> and horizontal wind </w:t>
      </w:r>
      <m:oMath>
        <m:r>
          <w:rPr>
            <w:rFonts w:ascii="Cambria Math" w:hAnsi="Cambria Math"/>
          </w:rPr>
          <m:t>U</m:t>
        </m:r>
      </m:oMath>
      <w:r w:rsidRPr="00891CDE">
        <w:rPr>
          <w:rFonts w:ascii="Aptos" w:hAnsi="Aptos"/>
        </w:rPr>
        <w:t xml:space="preserve">. Saturation specific humidity and tropospheric radiative-convective heat balance constrain the large scale tropical overturning ciruculation to about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oMath>
      <w:r w:rsidRPr="00891CDE">
        <w:rPr>
          <w:rFonts w:ascii="Aptos" w:hAnsi="Aptos"/>
        </w:rPr>
        <w:t xml:space="preserve"> = 5 % per degree C of warming (Held and Soden, 2006). The mean vertical and horizontal motions multiplied by the humidity gradient generate dry advection. The large-scale moisture source </w:t>
      </w:r>
      <m:oMath>
        <m:r>
          <m:rPr>
            <m:sty m:val="p"/>
          </m:rPr>
          <w:rPr>
            <w:rFonts w:ascii="Cambria Math" w:hAnsi="Cambria Math"/>
          </w:rPr>
          <m:t>-</m:t>
        </m:r>
        <m:r>
          <w:rPr>
            <w:rFonts w:ascii="Cambria Math" w:hAnsi="Cambria Math"/>
          </w:rPr>
          <m:t>W</m:t>
        </m:r>
        <m:d>
          <m:dPr>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e>
        </m:d>
      </m:oMath>
      <w:r w:rsidRPr="00891CDE">
        <w:rPr>
          <w:rFonts w:ascii="Aptos" w:hAnsi="Aptos"/>
        </w:rPr>
        <w:t xml:space="preserve"> and the cloud moisture flux </w:t>
      </w: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cld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env</m:t>
                </m:r>
              </m:sub>
            </m:sSub>
          </m:e>
        </m:d>
      </m:oMath>
      <w:r w:rsidRPr="00891CDE">
        <w:rPr>
          <w:rFonts w:ascii="Aptos" w:hAnsi="Aptos"/>
        </w:rPr>
        <w:t xml:space="preserve"> are both proportional to the humidity, which increases $$7 %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oMath>
      <w:r w:rsidRPr="00891CDE">
        <w:rPr>
          <w:rFonts w:ascii="Aptos" w:hAnsi="Aptos"/>
        </w:rPr>
        <w:t>, but these compensating differences in the large-scale and cloud moisture fluxes predict low sensitivity of the cloud mass flux to humidity changes.</w:t>
      </w:r>
    </w:p>
    <w:p w14:paraId="3D824756" w14:textId="77777777" w:rsidR="00CE09F6" w:rsidRPr="00891CDE" w:rsidRDefault="00CE09F6" w:rsidP="00CE09F6">
      <w:pPr>
        <w:pStyle w:val="BodyText"/>
        <w:rPr>
          <w:rFonts w:ascii="Aptos" w:hAnsi="Aptos"/>
        </w:rPr>
      </w:pPr>
      <w:r w:rsidRPr="00891CDE">
        <w:rPr>
          <w:rFonts w:ascii="Aptos" w:hAnsi="Aptos"/>
        </w:rPr>
        <w:t>This balance applies in the shallow cumulus regime. We focus only on shallow cumulus clouds with tops below 4 km, compared to deeper convection in the intertropical convergence zone (ITCZ) and intermittent convergence, that is part of the upward branch of the mean tropical (Hadley-Walker) tropospheric circulation.</w:t>
      </w:r>
    </w:p>
    <w:p w14:paraId="49F781A3" w14:textId="77777777" w:rsidR="00CE09F6" w:rsidRPr="00891CDE" w:rsidRDefault="00CE09F6" w:rsidP="00CE09F6">
      <w:pPr>
        <w:pStyle w:val="BodyText"/>
        <w:rPr>
          <w:rFonts w:ascii="Aptos" w:hAnsi="Aptos"/>
        </w:rPr>
      </w:pPr>
      <w:r w:rsidRPr="00891CDE">
        <w:rPr>
          <w:rFonts w:ascii="Aptos" w:hAnsi="Aptos"/>
        </w:rPr>
        <w:t xml:space="preserve">With a saturation humidity increase of </w:t>
      </w:r>
      <m:oMath>
        <m:r>
          <w:rPr>
            <w:rFonts w:ascii="Cambria Math" w:hAnsi="Cambria Math"/>
          </w:rPr>
          <m:t>d</m:t>
        </m:r>
        <m:r>
          <m:rPr>
            <m:sty m:val="p"/>
          </m:rPr>
          <w:rPr>
            <w:rFonts w:ascii="Cambria Math" w:hAnsi="Cambria Math"/>
          </w:rPr>
          <m:t>ln</m:t>
        </m:r>
        <m:r>
          <w:rPr>
            <w:rFonts w:ascii="Cambria Math" w:hAnsi="Cambria Math"/>
          </w:rPr>
          <m:t>q</m:t>
        </m:r>
        <m:r>
          <m:rPr>
            <m:sty m:val="p"/>
          </m:rPr>
          <w:rPr>
            <w:rFonts w:ascii="Cambria Math" w:hAnsi="Cambria Math"/>
          </w:rPr>
          <m:t>=</m:t>
        </m:r>
      </m:oMath>
      <w:r w:rsidRPr="00891CDE">
        <w:rPr>
          <w:rFonts w:ascii="Aptos" w:hAnsi="Aptos"/>
        </w:rPr>
        <w:t xml:space="preserve"> 7 %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and decrease </w:t>
      </w:r>
      <m:oMath>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2</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 xml:space="preserve"> of tropospheric radiative divergence and mean precipitation, energetic constraints decrease the mean tropical circulation </w:t>
      </w:r>
      <m:oMath>
        <m:r>
          <w:rPr>
            <w:rFonts w:ascii="Cambria Math" w:hAnsi="Cambria Math"/>
          </w:rPr>
          <m:t>d</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U</m:t>
        </m:r>
        <m:r>
          <m:rPr>
            <m:sty m:val="p"/>
          </m:rPr>
          <w:rPr>
            <w:rFonts w:ascii="Cambria Math" w:hAnsi="Cambria Math"/>
          </w:rPr>
          <m:t>=-</m:t>
        </m:r>
        <m:r>
          <w:rPr>
            <w:rFonts w:ascii="Cambria Math" w:hAnsi="Cambria Math"/>
          </w:rPr>
          <m:t>5</m:t>
        </m:r>
      </m:oMath>
      <w:r w:rsidRPr="00891CDE">
        <w:rPr>
          <w:rFonts w:ascii="Aptos" w:hAnsi="Aptos"/>
        </w:rPr>
        <w:t xml:space="preserve"> %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891CDE">
        <w:rPr>
          <w:rFonts w:ascii="Aptos" w:hAnsi="Aptos"/>
        </w:rPr>
        <w:t>.</w:t>
      </w:r>
    </w:p>
    <w:bookmarkEnd w:id="0"/>
    <w:bookmarkEnd w:id="2"/>
    <w:p w14:paraId="2601774D" w14:textId="6F907E24" w:rsidR="00445B91" w:rsidRDefault="00445B91" w:rsidP="00583AA5">
      <w:pPr>
        <w:rPr>
          <w:rFonts w:asciiTheme="majorHAnsi" w:eastAsiaTheme="majorEastAsia" w:hAnsiTheme="majorHAnsi" w:cstheme="majorBidi"/>
          <w:color w:val="0F4761" w:themeColor="accent1" w:themeShade="BF"/>
          <w:sz w:val="32"/>
          <w:szCs w:val="32"/>
        </w:rPr>
      </w:pPr>
      <w:r w:rsidRPr="00445B91">
        <w:rPr>
          <w:rFonts w:asciiTheme="majorHAnsi" w:eastAsiaTheme="majorEastAsia" w:hAnsiTheme="majorHAnsi" w:cstheme="majorBidi"/>
          <w:color w:val="0F4761" w:themeColor="accent1" w:themeShade="BF"/>
          <w:sz w:val="32"/>
          <w:szCs w:val="32"/>
        </w:rPr>
        <w:t>Prologue</w:t>
      </w:r>
      <w:r w:rsidR="00583AA5" w:rsidRPr="00445B91">
        <w:rPr>
          <w:rFonts w:asciiTheme="majorHAnsi" w:eastAsiaTheme="majorEastAsia" w:hAnsiTheme="majorHAnsi" w:cstheme="majorBidi"/>
          <w:color w:val="0F4761" w:themeColor="accent1" w:themeShade="BF"/>
          <w:sz w:val="32"/>
          <w:szCs w:val="32"/>
        </w:rPr>
        <w:t xml:space="preserve"> for methods section</w:t>
      </w:r>
    </w:p>
    <w:p w14:paraId="53087715" w14:textId="3FC5C823" w:rsidR="00583AA5" w:rsidRPr="00445B91" w:rsidRDefault="00583AA5" w:rsidP="00583AA5">
      <w:r w:rsidRPr="00583AA5">
        <w:t xml:space="preserve">A mass flux scheme for clouds is used to estimate the mass flux for an ensemble of clouds, which are constrained such that their total moisture flux </w:t>
      </w:r>
      <w:r w:rsidR="005C66F7">
        <w:t xml:space="preserve">divergence </w:t>
      </w:r>
      <w:r w:rsidRPr="00583AA5">
        <w:t>balances large scale subsidence and advection drying, and their cloud top height distribution matches GOES satellite</w:t>
      </w:r>
      <w:r w:rsidR="00445B91">
        <w:t xml:space="preserve"> observations</w:t>
      </w:r>
      <w:r w:rsidRPr="00583AA5">
        <w:t>.</w:t>
      </w:r>
      <w:r>
        <w:t xml:space="preserve"> The model </w:t>
      </w:r>
      <w:r w:rsidR="005C66F7">
        <w:t xml:space="preserve">generates cloud </w:t>
      </w:r>
      <w:r w:rsidR="00F6599E">
        <w:t>water and vertical velocity</w:t>
      </w:r>
      <w:r>
        <w:t xml:space="preserve"> </w:t>
      </w:r>
      <w:r w:rsidR="00F6599E">
        <w:t xml:space="preserve">profiles, and scene-mean </w:t>
      </w:r>
      <w:r>
        <w:t>mass flux for thousands of ~2</w:t>
      </w:r>
      <w:r w:rsidR="00031814">
        <w:t>60</w:t>
      </w:r>
      <w:r>
        <w:t>x</w:t>
      </w:r>
      <w:r w:rsidR="00031814">
        <w:t>260</w:t>
      </w:r>
      <w:r>
        <w:t xml:space="preserve"> km</w:t>
      </w:r>
      <w:r>
        <w:rPr>
          <w:vertAlign w:val="superscript"/>
        </w:rPr>
        <w:t>2</w:t>
      </w:r>
      <w:r>
        <w:t xml:space="preserve"> GOES satellite reflectance scenes. The </w:t>
      </w:r>
      <w:r w:rsidR="005C66F7">
        <w:t>mean</w:t>
      </w:r>
      <w:r>
        <w:t xml:space="preserve"> mass flux </w:t>
      </w:r>
      <w:r w:rsidR="005C66F7">
        <w:t xml:space="preserve">binned </w:t>
      </w:r>
      <w:r>
        <w:t xml:space="preserve">as a function of scene mean reflectance is </w:t>
      </w:r>
      <w:r w:rsidR="00445B91">
        <w:t xml:space="preserve">shown </w:t>
      </w:r>
      <w:r>
        <w:t>in Fig. REFLMASSFL.</w:t>
      </w:r>
      <w:r w:rsidR="00445B91">
        <w:t xml:space="preserve"> The resulting slope 2.4 % (mm s</w:t>
      </w:r>
      <w:r w:rsidR="00445B91">
        <w:rPr>
          <w:vertAlign w:val="superscript"/>
        </w:rPr>
        <w:t>–1</w:t>
      </w:r>
      <w:r w:rsidR="00445B91">
        <w:t>)</w:t>
      </w:r>
      <w:r w:rsidR="00445B91">
        <w:rPr>
          <w:vertAlign w:val="superscript"/>
        </w:rPr>
        <w:t>-1</w:t>
      </w:r>
      <w:r w:rsidR="00445B91">
        <w:t xml:space="preserve"> [4.2 cm s</w:t>
      </w:r>
      <w:r w:rsidR="00445B91">
        <w:rPr>
          <w:vertAlign w:val="superscript"/>
        </w:rPr>
        <w:t>-1</w:t>
      </w:r>
      <w:r w:rsidR="00445B91">
        <w:t xml:space="preserve"> %</w:t>
      </w:r>
      <w:r w:rsidR="00445B91">
        <w:rPr>
          <w:vertAlign w:val="superscript"/>
        </w:rPr>
        <w:t>-1</w:t>
      </w:r>
      <w:r w:rsidR="00445B91">
        <w:t>] agrees with the correlation</w:t>
      </w:r>
      <w:r w:rsidR="005C66F7">
        <w:t>s</w:t>
      </w:r>
      <w:r w:rsidR="00445B91">
        <w:t xml:space="preserve"> </w:t>
      </w:r>
      <w:r w:rsidR="005C66F7">
        <w:t xml:space="preserve">between cloud base mass flux and </w:t>
      </w:r>
      <w:r w:rsidR="00445B91">
        <w:t>found from dropsonde circles in EUREC4A (Vogel et al. 2022).</w:t>
      </w:r>
      <w:r w:rsidR="005C66F7">
        <w:t xml:space="preserve"> We use this proportionality between mass flux and reflectance</w:t>
      </w:r>
      <w:r w:rsidR="00F6599E">
        <w:t xml:space="preserve"> to scale the response of shallow cumulus clouds to changes in the </w:t>
      </w:r>
      <w:proofErr w:type="gramStart"/>
      <w:r w:rsidR="00F6599E">
        <w:t>large scale</w:t>
      </w:r>
      <w:proofErr w:type="gramEnd"/>
      <w:r w:rsidR="00F6599E">
        <w:t xml:space="preserve"> circulation associated with climate.</w:t>
      </w:r>
    </w:p>
    <w:p w14:paraId="389424E3" w14:textId="7CEAB401" w:rsidR="00583AA5" w:rsidRDefault="00583AA5" w:rsidP="00583AA5">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16CC4DF3" wp14:editId="36D72DC2">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5"/>
                    <a:stretch>
                      <a:fillRect/>
                    </a:stretch>
                  </pic:blipFill>
                  <pic:spPr>
                    <a:xfrm>
                      <a:off x="0" y="0"/>
                      <a:ext cx="3160684" cy="2347937"/>
                    </a:xfrm>
                    <a:prstGeom prst="rect">
                      <a:avLst/>
                    </a:prstGeom>
                  </pic:spPr>
                </pic:pic>
              </a:graphicData>
            </a:graphic>
          </wp:inline>
        </w:drawing>
      </w:r>
    </w:p>
    <w:p w14:paraId="5136A63C" w14:textId="219BC520" w:rsidR="00583AA5" w:rsidRDefault="00583AA5" w:rsidP="00F6599E">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mean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6D00CDB2" w14:textId="77777777" w:rsidR="00F6599E" w:rsidRPr="00F6599E" w:rsidRDefault="00F6599E" w:rsidP="00F6599E">
      <w:pPr>
        <w:pStyle w:val="BodyText"/>
        <w:rPr>
          <w:rFonts w:ascii="Aptos Narrow" w:eastAsiaTheme="minorEastAsia" w:hAnsi="Aptos Narrow" w:cs="Times New Roman"/>
        </w:rPr>
      </w:pPr>
    </w:p>
    <w:p w14:paraId="6F638BB2" w14:textId="6870FA13" w:rsidR="00C35AC8" w:rsidRDefault="006A04E5" w:rsidP="00987BA2">
      <w:pPr>
        <w:pStyle w:val="Heading2"/>
      </w:pPr>
      <w:r>
        <w:t>Data and Methods</w:t>
      </w:r>
    </w:p>
    <w:p w14:paraId="07A7B0DE" w14:textId="66EA543F" w:rsidR="004F0AC4" w:rsidRPr="004F0AC4" w:rsidRDefault="004F0AC4" w:rsidP="004F0AC4">
      <w:r w:rsidRPr="004F0AC4">
        <w:t>Trade cumulus clouds are intermittent shallow convection in widespread regions of mean subsidence balancing deeper convection elsewhere. 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subsidence. Cloud mass flux is initialized at cloud base to match the mean observed surface evaporation minus precipitation. </w:t>
      </w:r>
    </w:p>
    <w:p w14:paraId="38FD80BE" w14:textId="4988D42A" w:rsidR="00987BA2" w:rsidRPr="002E0CDF" w:rsidRDefault="00987BA2" w:rsidP="00987BA2">
      <w:pPr>
        <w:pStyle w:val="Heading3"/>
        <w:rPr>
          <w:rFonts w:eastAsiaTheme="minorEastAsia"/>
          <w:lang w:val="fr-FR"/>
        </w:rPr>
      </w:pPr>
      <w:r w:rsidRPr="002E0CDF">
        <w:rPr>
          <w:rFonts w:eastAsiaTheme="minorEastAsia"/>
          <w:lang w:val="fr-FR"/>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lang w:val="fr-FR"/>
              </w:rPr>
              <m:t>h</m:t>
            </m:r>
          </m:e>
          <m:sub>
            <m:r>
              <w:rPr>
                <w:rFonts w:ascii="Cambria Math" w:eastAsiaTheme="minorEastAsia" w:hAnsi="Cambria Math"/>
              </w:rPr>
              <m:t>i</m:t>
            </m:r>
          </m:sub>
        </m:sSub>
        <m:r>
          <w:rPr>
            <w:rFonts w:ascii="Cambria Math" w:eastAsiaTheme="minorEastAsia" w:hAnsi="Cambria Math"/>
            <w:lang w:val="fr-FR"/>
          </w:rPr>
          <m:t>)</m:t>
        </m:r>
      </m:oMath>
    </w:p>
    <w:p w14:paraId="41E5C242" w14:textId="53144422" w:rsidR="007B690B" w:rsidRDefault="00987BA2" w:rsidP="009E426D">
      <w:pPr>
        <w:rPr>
          <w:rFonts w:eastAsiaTheme="minorEastAsia"/>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w:t>
      </w:r>
      <w:r w:rsidR="002D1FBA">
        <w:rPr>
          <w:rFonts w:eastAsiaTheme="minorEastAsia"/>
        </w:rPr>
        <w:t xml:space="preserve">as distributed </w:t>
      </w:r>
      <w:r w:rsidR="009E426D">
        <w:rPr>
          <w:rFonts w:eastAsiaTheme="minorEastAsia"/>
        </w:rPr>
        <w:t xml:space="preserve">in </w:t>
      </w:r>
      <w:r w:rsidR="002D1FBA">
        <w:rPr>
          <w:rFonts w:eastAsiaTheme="minorEastAsia"/>
        </w:rPr>
        <w:t xml:space="preserve">GOES </w:t>
      </w:r>
      <w:r w:rsidR="009E426D">
        <w:rPr>
          <w:rFonts w:eastAsiaTheme="minorEastAsia"/>
        </w:rPr>
        <w:t>satellite images</w:t>
      </w:r>
      <w:r w:rsidR="007B690B">
        <w:rPr>
          <w:rFonts w:eastAsiaTheme="minorEastAsia"/>
        </w:rPr>
        <w:t xml:space="preserve"> (Fig. GOESCDF)</w:t>
      </w:r>
      <w:r w:rsidR="009E426D">
        <w:rPr>
          <w:rFonts w:eastAsiaTheme="minorEastAsia"/>
        </w:rPr>
        <w:t>.</w:t>
      </w:r>
      <w:r w:rsidR="007B690B">
        <w:rPr>
          <w:rFonts w:eastAsiaTheme="minorEastAsia"/>
        </w:rPr>
        <w:t xml:space="preserve"> </w:t>
      </w:r>
    </w:p>
    <w:p w14:paraId="7D1B2E02" w14:textId="4EC3A034" w:rsidR="007B690B" w:rsidRDefault="007B690B" w:rsidP="009E426D">
      <w:pPr>
        <w:rPr>
          <w:rFonts w:eastAsiaTheme="minorEastAsia"/>
        </w:rPr>
      </w:pPr>
      <w:r>
        <w:rPr>
          <w:noProof/>
        </w:rPr>
        <w:drawing>
          <wp:inline distT="0" distB="0" distL="0" distR="0" wp14:anchorId="70CAFD0C" wp14:editId="365AA6F4">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01356545" w14:textId="77777777" w:rsidR="007B690B" w:rsidRPr="000F5EAD" w:rsidRDefault="007B690B" w:rsidP="007B690B">
      <w:pPr>
        <w:pStyle w:val="BodyText"/>
      </w:pPr>
      <w:r>
        <w:t>Figure GOESCDF. Vertical cumulative distribution of cloud area fraction.</w:t>
      </w:r>
    </w:p>
    <w:p w14:paraId="77E99474" w14:textId="77777777" w:rsidR="002D1FBA" w:rsidRDefault="002D1FBA" w:rsidP="002D1FBA">
      <w:pPr>
        <w:pStyle w:val="Heading3"/>
      </w:pPr>
      <w:r>
        <w:t>Large scale eddy flux</w:t>
      </w:r>
    </w:p>
    <w:p w14:paraId="56F11EB3" w14:textId="77777777" w:rsidR="002D1FBA" w:rsidRPr="00987BA2" w:rsidRDefault="002D1FBA" w:rsidP="002D1FBA">
      <w:pPr>
        <w:rPr>
          <w:rFonts w:eastAsiaTheme="minorEastAsia"/>
        </w:rPr>
      </w:pPr>
      <w:r>
        <w:t xml:space="preserve">The all-sky mean large scale eddy flux </w:t>
      </w:r>
      <m:oMath>
        <m:r>
          <w:rPr>
            <w:rFonts w:ascii="Cambria Math" w:hAnsi="Cambria Math"/>
          </w:rPr>
          <m:t>G</m:t>
        </m:r>
      </m:oMath>
      <w:r>
        <w:rPr>
          <w:rFonts w:eastAsiaTheme="minorEastAsia"/>
        </w:rPr>
        <w:t xml:space="preserve"> </w:t>
      </w:r>
      <w:r>
        <w:t xml:space="preserve">is the integral of the large-scale subsidence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 with the cloud base moisture flux 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1EA6D490" w14:textId="06174EFF" w:rsidR="007B690B" w:rsidRDefault="002D1FBA" w:rsidP="009E426D">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r>
              <w:rPr>
                <w:rFonts w:ascii="Cambria Math" w:eastAsiaTheme="minorEastAsia" w:hAnsi="Cambria Math"/>
              </w:rPr>
              <m:t xml:space="preserve"> dz'</m:t>
            </m:r>
          </m:e>
        </m:nary>
      </m:oMath>
      <w:r>
        <w:rPr>
          <w:rFonts w:eastAsiaTheme="minorEastAsia"/>
        </w:rPr>
        <w:t>.</w:t>
      </w:r>
    </w:p>
    <w:p w14:paraId="4242E549" w14:textId="18AD2759" w:rsidR="00E97BBB" w:rsidRPr="00E97BBB" w:rsidRDefault="00583AA5" w:rsidP="006A04E5">
      <w:pPr>
        <w:rPr>
          <w:rFonts w:eastAsiaTheme="minorEastAsia"/>
        </w:rPr>
      </w:pPr>
      <w:r>
        <w:rPr>
          <w:rFonts w:eastAsiaTheme="minorEastAsia"/>
        </w:rPr>
        <w:t>P</w:t>
      </w:r>
      <w:r w:rsidR="007B690B">
        <w:rPr>
          <w:rFonts w:eastAsiaTheme="minorEastAsia"/>
        </w:rPr>
        <w:t>artition</w:t>
      </w:r>
      <w:r w:rsidR="00E97BBB">
        <w:rPr>
          <w:rFonts w:eastAsiaTheme="minorEastAsia"/>
        </w:rPr>
        <w:t>ing</w:t>
      </w:r>
      <w:r w:rsidR="007B690B">
        <w:rPr>
          <w:rFonts w:eastAsiaTheme="minorEastAsia"/>
        </w:rPr>
        <w:t xml:space="preserve"> the mass flux into the ensemble of clouds </w:t>
      </w:r>
      <w:r>
        <w:rPr>
          <w:rFonts w:eastAsiaTheme="minorEastAsia"/>
        </w:rPr>
        <w:t xml:space="preserve">is an </w:t>
      </w:r>
      <w:proofErr w:type="spellStart"/>
      <w:r>
        <w:rPr>
          <w:rFonts w:eastAsiaTheme="minorEastAsia"/>
        </w:rPr>
        <w:t>underconstrained</w:t>
      </w:r>
      <w:proofErr w:type="spellEnd"/>
      <w:r>
        <w:rPr>
          <w:rFonts w:eastAsiaTheme="minorEastAsia"/>
        </w:rPr>
        <w:t xml:space="preserve"> problem</w:t>
      </w:r>
      <w:r w:rsidR="007B690B">
        <w:rPr>
          <w:rFonts w:eastAsiaTheme="minorEastAsia"/>
        </w:rPr>
        <w:t xml:space="preserve">. We </w:t>
      </w:r>
      <w:r w:rsidR="00E97BBB">
        <w:rPr>
          <w:rFonts w:eastAsiaTheme="minorEastAsia"/>
        </w:rPr>
        <w:t>close the problem by choosing</w:t>
      </w:r>
      <w:r w:rsidR="007B690B">
        <w:rPr>
          <w:rFonts w:eastAsiaTheme="minorEastAsia"/>
        </w:rPr>
        <w:t xml:space="preserve"> vertically uniform flux in each cloud category </w:t>
      </w:r>
      <m:oMath>
        <m:r>
          <w:rPr>
            <w:rFonts w:ascii="Cambria Math" w:eastAsiaTheme="minorEastAsia" w:hAnsi="Cambria Math"/>
          </w:rPr>
          <m:t>i</m:t>
        </m:r>
      </m:oMath>
      <w:r w:rsidR="007B690B">
        <w:rPr>
          <w:rFonts w:eastAsiaTheme="minorEastAsia"/>
        </w:rPr>
        <w:t>.</w:t>
      </w:r>
      <w:r w:rsidR="007B690B">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G(z)</m:t>
        </m:r>
      </m:oMath>
      <w:r w:rsidR="009E426D">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oMath>
      <w:r w:rsidR="00A074CA">
        <w:rPr>
          <w:rFonts w:eastAsiaTheme="minorEastAsia"/>
        </w:rPr>
        <w:t xml:space="preserve">. 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r w:rsidR="00E97BBB">
        <w:rPr>
          <w:rFonts w:eastAsiaTheme="minorEastAsia"/>
        </w:rPr>
        <w:t xml:space="preserve"> Fig. FEDDYMETHOD shows the distribution of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E97BBB">
        <w:rPr>
          <w:rFonts w:eastAsiaTheme="minorEastAsia"/>
        </w:rPr>
        <w:t xml:space="preserve"> to each height category. </w:t>
      </w:r>
      <w:r w:rsidR="00E97BBB" w:rsidRPr="00E97BBB">
        <w:rPr>
          <w:rFonts w:eastAsiaTheme="minorEastAsia"/>
        </w:rPr>
        <w:t>The</w:t>
      </w:r>
      <w:r w:rsidR="00E97BBB">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E97BBB">
        <w:rPr>
          <w:rFonts w:eastAsiaTheme="minorEastAsia"/>
        </w:rPr>
        <w:t xml:space="preserve"> of each cloud is determined by its moisture sink rate parameter.</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7"/>
                    <a:stretch>
                      <a:fillRect/>
                    </a:stretch>
                  </pic:blipFill>
                  <pic:spPr>
                    <a:xfrm>
                      <a:off x="0" y="0"/>
                      <a:ext cx="3619500" cy="2908300"/>
                    </a:xfrm>
                    <a:prstGeom prst="rect">
                      <a:avLst/>
                    </a:prstGeom>
                  </pic:spPr>
                </pic:pic>
              </a:graphicData>
            </a:graphic>
          </wp:inline>
        </w:drawing>
      </w:r>
    </w:p>
    <w:p w14:paraId="1B20B512" w14:textId="2E3F74F0"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r w:rsidR="00E97BBB">
        <w:rPr>
          <w:rFonts w:ascii="Aptos Narrow" w:eastAsia="Times New Roman" w:hAnsi="Aptos Narrow" w:cstheme="minorHAnsi"/>
          <w:color w:val="323130"/>
        </w:rPr>
        <w:t>.</w:t>
      </w:r>
    </w:p>
    <w:p w14:paraId="0D2694EE" w14:textId="1131B5E9" w:rsidR="00550467" w:rsidRPr="007B690B" w:rsidRDefault="002D1FBA" w:rsidP="007B690B">
      <w:pPr>
        <w:pStyle w:val="Heading2"/>
        <w:rPr>
          <w:rFonts w:eastAsiaTheme="minorEastAsia"/>
        </w:rPr>
      </w:pPr>
      <w:r>
        <w:rPr>
          <w:rFonts w:eastAsiaTheme="minorEastAsia"/>
        </w:rPr>
        <w:t>M</w:t>
      </w:r>
      <w:r w:rsidR="00550467">
        <w:rPr>
          <w:rFonts w:eastAsiaTheme="minorEastAsia"/>
        </w:rPr>
        <w:t>odel</w:t>
      </w:r>
    </w:p>
    <w:p w14:paraId="5D0B8983" w14:textId="7808F635" w:rsidR="002D1FBA" w:rsidRPr="002D1FBA" w:rsidRDefault="002D1FBA" w:rsidP="002D1FBA">
      <w:pPr>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77777777" w:rsidR="002D1FBA" w:rsidRDefault="002D1FBA" w:rsidP="002D1FBA">
      <w:pPr>
        <w:pStyle w:val="Heading30"/>
      </w:pPr>
      <w:r>
        <w:t>Clouds</w:t>
      </w:r>
    </w:p>
    <w:p w14:paraId="10AA8CC9"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and water vapor in the cloud are</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79E7C26C"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eastAsiaTheme="minorEastAsia" w:hAnsi="Cambria Math" w:cs="Times New Roman"/>
          </w:rPr>
          <m:t>γ</m:t>
        </m:r>
      </m:oMath>
      <w:r w:rsidRPr="002D1FBA">
        <w:rPr>
          <w:rFonts w:ascii="Aptos" w:eastAsiaTheme="minorEastAsia" w:hAnsi="Aptos" w:cs="Times New Roman"/>
        </w:rPr>
        <w:t xml:space="preserve"> (&lt;0) is the moist adiabatic condensation rate of water vapor (in a parcel) per unit height,</w:t>
      </w:r>
      <w:bookmarkStart w:id="3" w:name="_Hlk198736622"/>
      <w:r w:rsidRPr="002D1FBA">
        <w:rPr>
          <w:rFonts w:ascii="Aptos" w:hAnsi="Aptos"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3"/>
      <w:r w:rsidRPr="002D1FBA">
        <w:rPr>
          <w:rFonts w:ascii="Aptos" w:eastAsiaTheme="minorEastAsia" w:hAnsi="Aptos" w:cs="Times New Roman"/>
        </w:rPr>
        <w:t xml:space="preserve"> The dependence on this condensation rate is eliminated in the total cloud water balance equation. Summing the liquid and </w:t>
      </w:r>
      <w:proofErr w:type="gramStart"/>
      <w:r w:rsidRPr="002D1FBA">
        <w:rPr>
          <w:rFonts w:ascii="Aptos" w:eastAsiaTheme="minorEastAsia" w:hAnsi="Aptos" w:cs="Times New Roman"/>
        </w:rPr>
        <w:t>vapor, and</w:t>
      </w:r>
      <w:proofErr w:type="gramEnd"/>
      <w:r w:rsidRPr="002D1FBA">
        <w:rPr>
          <w:rFonts w:ascii="Aptos" w:eastAsiaTheme="minorEastAsia" w:hAnsi="Aptos" w:cs="Times New Roman"/>
        </w:rPr>
        <w:t xml:space="preserve"> taking the Eulerian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to be steady,</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QTBALANCE</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Though the total water is insensitive to the condensation rate </w:t>
      </w:r>
      <m:oMath>
        <m:r>
          <w:rPr>
            <w:rFonts w:ascii="Cambria Math" w:eastAsiaTheme="minorEastAsia" w:hAnsi="Cambria Math" w:cs="Times New Roman"/>
          </w:rPr>
          <m:t>γ</m:t>
        </m:r>
      </m:oMath>
      <w:r w:rsidRPr="002D1FBA">
        <w:rPr>
          <w:rFonts w:ascii="Aptos" w:eastAsiaTheme="minorEastAsia" w:hAnsi="Aptos"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in the cloud. The updraft </w:t>
      </w:r>
      <w:proofErr w:type="spellStart"/>
      <w:r w:rsidRPr="002D1FBA">
        <w:rPr>
          <w:rFonts w:ascii="Aptos" w:eastAsiaTheme="minorEastAsia" w:hAnsi="Aptos" w:cs="Times New Roman"/>
        </w:rPr>
        <w:t>advects</w:t>
      </w:r>
      <w:proofErr w:type="spellEnd"/>
      <w:r w:rsidRPr="002D1FBA">
        <w:rPr>
          <w:rFonts w:ascii="Aptos" w:eastAsiaTheme="minorEastAsia" w:hAnsi="Aptos" w:cs="Times New Roman"/>
        </w:rPr>
        <w:t xml:space="preserve"> moisture upwards, but the solution is quantitatively insensitive to the updraft velocity.</w:t>
      </w:r>
    </w:p>
    <w:p w14:paraId="4B1AAD68" w14:textId="77777777" w:rsidR="002D1FBA" w:rsidRPr="002D1FBA" w:rsidRDefault="002D1FBA" w:rsidP="002D1FBA">
      <w:pPr>
        <w:rPr>
          <w:rFonts w:ascii="Aptos" w:eastAsiaTheme="minorEastAsia" w:hAnsi="Aptos" w:cs="Times New Roman"/>
        </w:rPr>
      </w:pPr>
      <w:r w:rsidRPr="002D1FBA">
        <w:rPr>
          <w:rFonts w:ascii="Aptos" w:eastAsiaTheme="minorEastAsia" w:hAnsi="Aptos" w:cs="Times New Roman"/>
          <w:i/>
          <w:iCs/>
        </w:rPr>
        <w:t>Above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Pr="002D1FBA">
        <w:rPr>
          <w:rFonts w:ascii="Aptos" w:eastAsiaTheme="minorEastAsia" w:hAnsi="Aptos" w:cs="Times New Roman"/>
        </w:rPr>
        <w:t>, so there is no autoconversion. Only entrainment relaxes humidity to that of the environment:</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m:oMathPara>
    </w:p>
    <w:p w14:paraId="4ADC3323" w14:textId="23774F9B" w:rsidR="00892C83" w:rsidRDefault="002D1FBA" w:rsidP="002D1FBA">
      <w:pPr>
        <w:rPr>
          <w:rFonts w:ascii="Aptos" w:eastAsiaTheme="minorEastAsia" w:hAnsi="Aptos" w:cs="Times New Roman"/>
        </w:rPr>
      </w:pPr>
      <w:r w:rsidRPr="002D1FBA">
        <w:rPr>
          <w:rFonts w:ascii="Aptos" w:eastAsiaTheme="minorEastAsia" w:hAnsi="Aptos" w:cs="Times New Roman"/>
          <w:i/>
          <w:iCs/>
        </w:rPr>
        <w:t>In the cloud</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 written</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relaxes </w:t>
      </w:r>
      <w:r w:rsidR="00892C83">
        <w:rPr>
          <w:rFonts w:ascii="Aptos" w:eastAsiaTheme="minorEastAsia" w:hAnsi="Aptos" w:cs="Times New Roman"/>
        </w:rPr>
        <w:t xml:space="preserve">at the total vertical sink rate </w:t>
      </w:r>
      <m:oMath>
        <m:r>
          <w:rPr>
            <w:rFonts w:ascii="Cambria Math" w:eastAsiaTheme="minorEastAsia" w:hAnsi="Cambria Math" w:cs="Times New Roman"/>
          </w:rPr>
          <m:t>ϵ+α</m:t>
        </m:r>
      </m:oMath>
      <w:r w:rsidR="00892C83">
        <w:rPr>
          <w:rFonts w:ascii="Aptos" w:eastAsiaTheme="minorEastAsia" w:hAnsi="Aptos" w:cs="Times New Roman"/>
        </w:rPr>
        <w:t>,</w:t>
      </w:r>
      <w:r w:rsidR="00892C83" w:rsidRPr="002D1FBA">
        <w:rPr>
          <w:rFonts w:ascii="Aptos" w:eastAsiaTheme="minorEastAsia" w:hAnsi="Aptos" w:cs="Times New Roman"/>
        </w:rPr>
        <w:t xml:space="preserve"> </w:t>
      </w:r>
      <w:r w:rsidRPr="002D1FBA">
        <w:rPr>
          <w:rFonts w:ascii="Aptos" w:eastAsiaTheme="minorEastAsia" w:hAnsi="Aptos" w:cs="Times New Roman"/>
        </w:rPr>
        <w:t xml:space="preserve">toward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T</w:t>
      </w:r>
      <w:r w:rsidRPr="002D1FBA">
        <w:rPr>
          <w:rFonts w:ascii="Aptos" w:eastAsiaTheme="minorEastAsia" w:hAnsi="Aptos" w:cs="Times New Roman"/>
        </w:rPr>
        <w:t>he intermediate humidity</w:t>
      </w:r>
      <w:r w:rsidR="00892C83">
        <w:rPr>
          <w:rFonts w:ascii="Aptos" w:eastAsiaTheme="minorEastAsia" w:hAnsi="Aptos" w:cs="Times New Roman"/>
        </w:rPr>
        <w:t>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oMath>
      <w:r w:rsidR="00892C83">
        <w:rPr>
          <w:rFonts w:ascii="Aptos" w:eastAsiaTheme="minorEastAsia" w:hAnsi="Aptos" w:cs="Times New Roman"/>
        </w:rPr>
        <w:t xml:space="preserve"> </w:t>
      </w:r>
      <w:r w:rsidRPr="002D1FBA">
        <w:rPr>
          <w:rFonts w:ascii="Aptos" w:eastAsiaTheme="minorEastAsia" w:hAnsi="Aptos" w:cs="Times New Roman"/>
        </w:rPr>
        <w:t xml:space="preserve">between </w:t>
      </w:r>
      <m:oMath>
        <m:r>
          <w:rPr>
            <w:rFonts w:ascii="Cambria Math" w:eastAsiaTheme="minorEastAsia" w:hAnsi="Cambria Math" w:cs="Times New Roman"/>
          </w:rPr>
          <m:t xml:space="preserve">q </m:t>
        </m:r>
      </m:oMath>
      <w:r w:rsidRPr="002D1FBA">
        <w:rPr>
          <w:rFonts w:ascii="Aptos" w:eastAsiaTheme="minorEastAsia" w:hAnsi="Aptos"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892C83">
        <w:rPr>
          <w:rFonts w:ascii="Aptos" w:eastAsiaTheme="minorEastAsia" w:hAnsi="Aptos" w:cs="Times New Roman"/>
        </w:rPr>
        <w:t xml:space="preserve"> is</w:t>
      </w:r>
      <w:r w:rsidRPr="002D1FBA">
        <w:rPr>
          <w:rFonts w:ascii="Aptos" w:eastAsiaTheme="minorEastAsia" w:hAnsi="Aptos" w:cs="Times New Roman"/>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QTILDE</w:t>
      </w:r>
      <w:r w:rsidRPr="002D1FBA">
        <w:rPr>
          <w:rFonts w:ascii="Aptos" w:eastAsiaTheme="minorEastAsia" w:hAnsi="Aptos" w:cs="Times New Roman"/>
        </w:rPr>
        <w:br/>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is a key parameter, which determines the cloud water, water flux, and cloud top height. Cloud liquid and water vapor profiles are computed for a handful of total sink rates in Fig. MOISTURECLOUDS.</w:t>
      </w: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12C93EF0">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8"/>
                    <a:stretch>
                      <a:fillRect/>
                    </a:stretch>
                  </pic:blipFill>
                  <pic:spPr>
                    <a:xfrm>
                      <a:off x="0" y="0"/>
                      <a:ext cx="4636934" cy="3702994"/>
                    </a:xfrm>
                    <a:prstGeom prst="rect">
                      <a:avLst/>
                    </a:prstGeom>
                  </pic:spPr>
                </pic:pic>
              </a:graphicData>
            </a:graphic>
          </wp:inline>
        </w:drawing>
      </w:r>
    </w:p>
    <w:p w14:paraId="0681DADD" w14:textId="77777777"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 </w:t>
      </w:r>
      <w:proofErr w:type="gramStart"/>
      <w:r w:rsidRPr="00256720">
        <w:rPr>
          <w:rFonts w:ascii="Aptos Narrow" w:eastAsiaTheme="minorEastAsia" w:hAnsi="Aptos Narrow" w:cs="Times New Roman"/>
        </w:rPr>
        <w:t>/home/deszoeks/Projects/ATOMIC/ATOMIC_GOES/julia/RHB/sonde/moisture_clouds.pdf ]</w:t>
      </w:r>
      <w:proofErr w:type="gramEnd"/>
    </w:p>
    <w:p w14:paraId="78F3A257" w14:textId="0826A7B8" w:rsidR="00892C83" w:rsidRPr="00892C83" w:rsidRDefault="00892C83" w:rsidP="00892C83">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6BFF3204" w14:textId="77777777" w:rsidR="002D1FBA" w:rsidRPr="002D1FBA" w:rsidRDefault="002D1FBA" w:rsidP="002D1FBA">
      <w:pPr>
        <w:pStyle w:val="Heading30"/>
        <w:rPr>
          <w:rFonts w:ascii="Aptos" w:eastAsiaTheme="minorEastAsia" w:hAnsi="Aptos"/>
        </w:rPr>
      </w:pPr>
      <w:r w:rsidRPr="002D1FBA">
        <w:rPr>
          <w:rFonts w:ascii="Aptos" w:eastAsiaTheme="minorEastAsia" w:hAnsi="Aptos"/>
        </w:rPr>
        <w:t>Precipitation and updraft fluxes</w:t>
      </w:r>
    </w:p>
    <w:p w14:paraId="382EA589"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sidRPr="002D1FBA">
        <w:rPr>
          <w:rFonts w:ascii="Aptos" w:eastAsiaTheme="minorEastAsia" w:hAnsi="Aptos" w:cs="Times New Roman"/>
        </w:rPr>
        <w:t xml:space="preserve"> is the </w:t>
      </w:r>
      <w:r w:rsidRPr="00892C83">
        <w:rPr>
          <w:rFonts w:ascii="Aptos" w:eastAsiaTheme="minorEastAsia" w:hAnsi="Aptos" w:cs="Times New Roman"/>
          <w:i/>
          <w:iCs/>
        </w:rPr>
        <w:t>precipitation efficiency</w:t>
      </w:r>
      <w:r w:rsidRPr="002D1FBA">
        <w:rPr>
          <w:rFonts w:ascii="Aptos" w:eastAsiaTheme="minorEastAsia" w:hAnsi="Aptos" w:cs="Times New Roman"/>
        </w:rPr>
        <w:t>.</w:t>
      </w:r>
    </w:p>
    <w:p w14:paraId="709149C4" w14:textId="77777777"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sink,</w:t>
      </w:r>
      <w:r w:rsidRPr="002D1FBA">
        <w:rPr>
          <w:rFonts w:ascii="Aptos" w:eastAsiaTheme="minorEastAsia" w:hAnsi="Aptos"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instantaneously removes liquid water from the cloud and the column. </w:t>
      </w:r>
    </w:p>
    <w:p w14:paraId="01B97CFB" w14:textId="77777777"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2C5845BA"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9"/>
                    <a:stretch>
                      <a:fillRect/>
                    </a:stretch>
                  </pic:blipFill>
                  <pic:spPr>
                    <a:xfrm>
                      <a:off x="0" y="0"/>
                      <a:ext cx="2205243" cy="3950735"/>
                    </a:xfrm>
                    <a:prstGeom prst="rect">
                      <a:avLst/>
                    </a:prstGeom>
                  </pic:spPr>
                </pic:pic>
              </a:graphicData>
            </a:graphic>
          </wp:inline>
        </w:drawing>
      </w:r>
    </w:p>
    <w:p w14:paraId="72F4C0B8" w14:textId="77777777"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 Total moisture flux to balance the large-scale moisture sink (blue), cloud moisture flux (orange), and (downward) precipitation flux (green), and mass flux (red) from the model.</w:t>
      </w:r>
    </w:p>
    <w:p w14:paraId="5E3CBC7E" w14:textId="7905E503"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r>
        <w:rPr>
          <w:rFonts w:ascii="Aptos" w:eastAsiaTheme="minorEastAsia" w:hAnsi="Aptos" w:cs="Times New Roman"/>
        </w:rPr>
        <w:t xml:space="preserve">is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cloud-mean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0"/>
                    <a:stretch>
                      <a:fillRect/>
                    </a:stretch>
                  </pic:blipFill>
                  <pic:spPr>
                    <a:xfrm>
                      <a:off x="0" y="0"/>
                      <a:ext cx="2870200" cy="4356100"/>
                    </a:xfrm>
                    <a:prstGeom prst="rect">
                      <a:avLst/>
                    </a:prstGeom>
                  </pic:spPr>
                </pic:pic>
              </a:graphicData>
            </a:graphic>
          </wp:inline>
        </w:drawing>
      </w:r>
    </w:p>
    <w:p w14:paraId="4AA7BF45" w14:textId="77777777"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59296BD3" w14:textId="77777777" w:rsidR="005C66F7" w:rsidRDefault="005C66F7" w:rsidP="005C66F7">
      <w:pPr>
        <w:pStyle w:val="BodyText"/>
        <w:rPr>
          <w:rFonts w:ascii="Aptos Narrow" w:eastAsiaTheme="minorEastAsia" w:hAnsi="Aptos Narrow" w:cs="Times New Roman"/>
        </w:rPr>
      </w:pPr>
      <w:r w:rsidRPr="00526DA5">
        <w:rPr>
          <w:rFonts w:ascii="Aptos Narrow" w:eastAsiaTheme="minorEastAsia" w:hAnsi="Aptos Narrow" w:cs="Times New Roman"/>
          <w:noProof/>
        </w:rPr>
        <w:drawing>
          <wp:inline distT="0" distB="0" distL="0" distR="0" wp14:anchorId="6A10348B" wp14:editId="0ABCB3A5">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1"/>
                    <a:stretch>
                      <a:fillRect/>
                    </a:stretch>
                  </pic:blipFill>
                  <pic:spPr>
                    <a:xfrm>
                      <a:off x="0" y="0"/>
                      <a:ext cx="3759200" cy="2971800"/>
                    </a:xfrm>
                    <a:prstGeom prst="rect">
                      <a:avLst/>
                    </a:prstGeom>
                  </pic:spPr>
                </pic:pic>
              </a:graphicData>
            </a:graphic>
          </wp:inline>
        </w:drawing>
      </w:r>
    </w:p>
    <w:p w14:paraId="251A649B" w14:textId="77777777" w:rsidR="005C66F7" w:rsidRPr="008550E2" w:rsidRDefault="005C66F7" w:rsidP="005C66F7">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Pr="00CB4888">
        <w:rPr>
          <w:rFonts w:ascii="Aptos Narrow" w:eastAsiaTheme="minorEastAsia" w:hAnsi="Aptos Narrow" w:cs="Times New Roman"/>
          <w:vertAlign w:val="superscript"/>
        </w:rPr>
        <w:t>–3</w:t>
      </w:r>
      <w:r>
        <w:rPr>
          <w:rFonts w:ascii="Aptos Narrow" w:eastAsiaTheme="minorEastAsia" w:hAnsi="Aptos Narrow" w:cs="Times New Roman"/>
        </w:rPr>
        <w:t>) of scenes in each 0.025 reflectance bin.</w:t>
      </w:r>
    </w:p>
    <w:p w14:paraId="300D2EDE" w14:textId="77777777" w:rsidR="002D1FBA" w:rsidRDefault="002D1FBA" w:rsidP="00E97BBB">
      <w:pPr>
        <w:pStyle w:val="BodyText"/>
        <w:rPr>
          <w:rFonts w:ascii="Aptos" w:eastAsiaTheme="minorEastAsia" w:hAnsi="Aptos" w:cs="Times New Roman"/>
          <w:iCs/>
        </w:rPr>
      </w:pPr>
    </w:p>
    <w:p w14:paraId="0A8B3A0B" w14:textId="77777777" w:rsidR="002D1FBA" w:rsidRPr="006114F2" w:rsidRDefault="002D1FBA" w:rsidP="002D1FBA">
      <w:pPr>
        <w:pStyle w:val="Heading30"/>
        <w:rPr>
          <w:rFonts w:eastAsiaTheme="minorEastAsia"/>
        </w:rPr>
      </w:pPr>
      <w:r>
        <w:rPr>
          <w:rFonts w:eastAsiaTheme="minorEastAsia"/>
        </w:rPr>
        <w:t>Appendix: n</w:t>
      </w:r>
      <w:r w:rsidRPr="006114F2">
        <w:rPr>
          <w:rFonts w:eastAsiaTheme="minorEastAsia"/>
        </w:rPr>
        <w:t xml:space="preserve">umerical </w:t>
      </w:r>
      <w:r>
        <w:rPr>
          <w:rFonts w:eastAsiaTheme="minorEastAsia"/>
        </w:rPr>
        <w:t>solution</w:t>
      </w:r>
    </w:p>
    <w:p w14:paraId="17F76FDD" w14:textId="2D95634D"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Pr="00445B91">
        <w:rPr>
          <w:rFonts w:ascii="Aptos" w:eastAsiaTheme="minorEastAsia" w:hAnsi="Aptos"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 as</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 dz.</m:t>
          </m:r>
          <m:r>
            <m:rPr>
              <m:sty m:val="p"/>
            </m:rPr>
            <w:rPr>
              <w:rFonts w:ascii="Cambria Math" w:eastAsiaTheme="minorEastAsia" w:hAnsi="Cambria Math" w:cs="Times New Roman"/>
            </w:rPr>
            <w:br/>
          </m:r>
        </m:oMath>
      </m:oMathPara>
      <w:r w:rsidRPr="00445B91">
        <w:rPr>
          <w:rFonts w:ascii="Aptos" w:eastAsiaTheme="minorEastAsia" w:hAnsi="Aptos" w:cs="Times New Roman"/>
        </w:rPr>
        <w:t xml:space="preserve">We integrate precipitation downward from the top of each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Pr="00445B91">
        <w:rPr>
          <w:rFonts w:ascii="Aptos" w:eastAsiaTheme="minorEastAsia" w:hAnsi="Aptos" w:cs="Times New Roman"/>
        </w:rPr>
        <w:t xml:space="preserve">, in trapezoidal vertical steps denoted by superscripts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k+1</m:t>
                  </m:r>
                </m:sup>
              </m:sSup>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r>
          <w:rPr>
            <w:rFonts w:ascii="Cambria Math" w:eastAsiaTheme="minorEastAsia" w:hAnsi="Cambria Math" w:cs="Times New Roman"/>
          </w:rPr>
          <m:t>]</m:t>
        </m:r>
      </m:oMath>
      <w:r w:rsidRPr="00445B91">
        <w:rPr>
          <w:rFonts w:ascii="Aptos" w:eastAsiaTheme="minorEastAsia" w:hAnsi="Aptos" w:cs="Times New Roman"/>
        </w:rPr>
        <w:t>.</w:t>
      </w:r>
    </w:p>
    <w:p w14:paraId="02807639" w14:textId="77777777" w:rsidR="00445B91" w:rsidRPr="00445B91" w:rsidRDefault="00445B91" w:rsidP="00E97BBB">
      <w:pPr>
        <w:pStyle w:val="BodyText"/>
        <w:rPr>
          <w:rFonts w:ascii="Aptos" w:eastAsiaTheme="minorEastAsia" w:hAnsi="Aptos" w:cs="Times New Roman"/>
        </w:rPr>
      </w:pPr>
    </w:p>
    <w:p w14:paraId="18FB9C63" w14:textId="17360CCB" w:rsidR="002D1FBA" w:rsidRPr="002D1FBA" w:rsidRDefault="002D1FBA" w:rsidP="002D1FBA">
      <w:pPr>
        <w:pStyle w:val="Heading30"/>
        <w:rPr>
          <w:rFonts w:eastAsiaTheme="minorEastAsia"/>
        </w:rPr>
      </w:pPr>
      <w:r>
        <w:rPr>
          <w:rFonts w:eastAsiaTheme="minorEastAsia"/>
        </w:rPr>
        <w:t>Appendix: buoyancy</w:t>
      </w:r>
    </w:p>
    <w:p w14:paraId="2C2EC4E9" w14:textId="28FFB139" w:rsidR="00583AA5" w:rsidRPr="00583AA5" w:rsidRDefault="00480606" w:rsidP="00583AA5">
      <w:pPr>
        <w:rPr>
          <w:rFonts w:eastAsiaTheme="minorEastAsia"/>
        </w:rPr>
      </w:pPr>
      <w:r>
        <w:rPr>
          <w:rFonts w:eastAsiaTheme="minorEastAsia"/>
        </w:rPr>
        <w:t xml:space="preserve">The </w:t>
      </w:r>
      <w:r w:rsidR="007B690B">
        <w:rPr>
          <w:rFonts w:eastAsiaTheme="minorEastAsia"/>
        </w:rPr>
        <w:t xml:space="preserve">moisture flux constraint replaces a buoyancy closure for </w:t>
      </w:r>
      <w:r>
        <w:rPr>
          <w:rFonts w:eastAsiaTheme="minorEastAsia"/>
        </w:rPr>
        <w:t xml:space="preserve">cloud model. </w:t>
      </w:r>
      <w:r w:rsidR="007B690B">
        <w:rPr>
          <w:rFonts w:eastAsiaTheme="minorEastAsia"/>
        </w:rPr>
        <w:t xml:space="preserve">The moisture closure is good </w:t>
      </w:r>
      <w:r w:rsidR="005718D2">
        <w:rPr>
          <w:rFonts w:eastAsiaTheme="minorEastAsia"/>
        </w:rPr>
        <w:t>for</w:t>
      </w:r>
      <w:r w:rsidR="007B690B">
        <w:rPr>
          <w:rFonts w:eastAsiaTheme="minorEastAsia"/>
        </w:rPr>
        <w:t xml:space="preserve"> climate and seasonal time scales, but buoyancy should be used on weather time scales. </w:t>
      </w:r>
      <w:r w:rsidR="005718D2">
        <w:rPr>
          <w:rFonts w:eastAsiaTheme="minorEastAsia"/>
        </w:rPr>
        <w:t>Without doing anything to predict it, b</w:t>
      </w:r>
      <w:r w:rsidR="00583AA5" w:rsidRPr="00583AA5">
        <w:rPr>
          <w:rFonts w:ascii="Aptos" w:eastAsiaTheme="minorEastAsia" w:hAnsi="Aptos" w:cs="Calibri"/>
        </w:rPr>
        <w:t>uoyancy</w:t>
      </w:r>
      <w:r w:rsidR="00583AA5">
        <w:rPr>
          <w:rFonts w:ascii="Aptos" w:eastAsiaTheme="minorEastAsia" w:hAnsi="Aptos" w:cs="Calibri"/>
        </w:rPr>
        <w:t xml:space="preserve"> in our</w:t>
      </w:r>
      <w:r w:rsidR="00583AA5" w:rsidRPr="00583AA5">
        <w:rPr>
          <w:rFonts w:ascii="Aptos" w:eastAsiaTheme="minorEastAsia" w:hAnsi="Aptos" w:cs="Calibri"/>
        </w:rPr>
        <w:t xml:space="preserve"> </w:t>
      </w:r>
      <w:r w:rsidR="00583AA5">
        <w:rPr>
          <w:rFonts w:ascii="Aptos" w:eastAsiaTheme="minorEastAsia" w:hAnsi="Aptos" w:cs="Calibri"/>
        </w:rPr>
        <w:t xml:space="preserve">cloud model </w:t>
      </w:r>
      <w:r w:rsidR="00583AA5" w:rsidRPr="00583AA5">
        <w:rPr>
          <w:rFonts w:ascii="Aptos" w:eastAsiaTheme="minorEastAsia" w:hAnsi="Aptos" w:cs="Calibri"/>
        </w:rPr>
        <w:t xml:space="preserve">is diagnosed from the density potential temperature </w:t>
      </w:r>
      <m:oMath>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oMath>
      <w:r w:rsidR="00583AA5" w:rsidRPr="00583AA5">
        <w:rPr>
          <w:rFonts w:ascii="Aptos" w:eastAsiaTheme="minorEastAsia" w:hAnsi="Aptos" w:cs="Calibri"/>
        </w:rPr>
        <w:t xml:space="preserve"> (</w:t>
      </w:r>
      <w:r w:rsidR="005718D2">
        <w:rPr>
          <w:rFonts w:ascii="Aptos" w:eastAsiaTheme="minorEastAsia" w:hAnsi="Aptos" w:cs="Calibri"/>
        </w:rPr>
        <w:t xml:space="preserve">i.e., “virtual temperature,” </w:t>
      </w:r>
      <w:r w:rsidR="00583AA5" w:rsidRPr="00583AA5">
        <w:rPr>
          <w:rFonts w:ascii="Aptos" w:eastAsiaTheme="minorEastAsia" w:hAnsi="Aptos" w:cs="Calibri"/>
        </w:rPr>
        <w:t xml:space="preserve">including the effect of the modeled water vapor and liquid water on density) of the entraining updraft parcel. The cloud height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oMath>
      <w:r w:rsidR="00710CAA">
        <w:rPr>
          <w:rFonts w:ascii="Aptos" w:eastAsiaTheme="minorEastAsia" w:hAnsi="Aptos" w:cs="Calibri"/>
        </w:rPr>
        <w:t xml:space="preserve"> </w:t>
      </w:r>
      <w:r w:rsidR="00583AA5" w:rsidRPr="00583AA5">
        <w:rPr>
          <w:rFonts w:ascii="Aptos" w:eastAsiaTheme="minorEastAsia" w:hAnsi="Aptos" w:cs="Calibri"/>
        </w:rPr>
        <w:t xml:space="preserve">is comparable to the height at which the buoyancy </w:t>
      </w:r>
      <m:oMath>
        <m:r>
          <w:rPr>
            <w:rFonts w:ascii="Cambria Math" w:eastAsiaTheme="minorEastAsia" w:hAnsi="Cambria Math" w:cs="Calibri"/>
          </w:rPr>
          <m:t>b=g(</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oMath>
      <w:r w:rsidR="00583AA5" w:rsidRPr="00583AA5">
        <w:rPr>
          <w:rFonts w:ascii="Aptos" w:eastAsiaTheme="minorEastAsia" w:hAnsi="Aptos" w:cs="Calibri"/>
        </w:rPr>
        <w:t xml:space="preserve"> integrates to zero.</w:t>
      </w:r>
    </w:p>
    <w:p w14:paraId="1944D858" w14:textId="77777777" w:rsidR="00583AA5" w:rsidRDefault="00583AA5" w:rsidP="00583AA5">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1CF3BF24" wp14:editId="4DF88F09">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2"/>
                    <a:stretch>
                      <a:fillRect/>
                    </a:stretch>
                  </pic:blipFill>
                  <pic:spPr>
                    <a:xfrm>
                      <a:off x="0" y="0"/>
                      <a:ext cx="4430155" cy="3533009"/>
                    </a:xfrm>
                    <a:prstGeom prst="rect">
                      <a:avLst/>
                    </a:prstGeom>
                  </pic:spPr>
                </pic:pic>
              </a:graphicData>
            </a:graphic>
          </wp:inline>
        </w:drawing>
      </w:r>
    </w:p>
    <w:p w14:paraId="012C5634" w14:textId="5CB78F2B" w:rsidR="00583AA5" w:rsidRPr="00583AA5" w:rsidRDefault="00583AA5" w:rsidP="00583AA5">
      <w:pPr>
        <w:rPr>
          <w:rFonts w:ascii="Aptos" w:eastAsiaTheme="minorEastAsia" w:hAnsi="Aptos" w:cs="Calibri"/>
        </w:rPr>
      </w:pPr>
      <w:r w:rsidRPr="00583AA5">
        <w:rPr>
          <w:rFonts w:ascii="Aptos" w:eastAsiaTheme="minorEastAsia" w:hAnsi="Aptos" w:cs="Calibri"/>
        </w:rPr>
        <w:t>Fig will not be shown.</w:t>
      </w:r>
      <w:r w:rsidR="00710CAA">
        <w:rPr>
          <w:rFonts w:ascii="Aptos" w:eastAsiaTheme="minorEastAsia" w:hAnsi="Aptos" w:cs="Calibri"/>
        </w:rPr>
        <w:t xml:space="preserve"> Buoyancy integral is zero at the squares.</w:t>
      </w:r>
    </w:p>
    <w:p w14:paraId="66FD2277" w14:textId="77777777" w:rsidR="00C655AB" w:rsidRDefault="00C655AB" w:rsidP="00550467">
      <w:pPr>
        <w:rPr>
          <w:rFonts w:eastAsiaTheme="minorEastAsia"/>
        </w:rPr>
      </w:pPr>
    </w:p>
    <w:sectPr w:rsidR="00C65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31814"/>
    <w:rsid w:val="0011468E"/>
    <w:rsid w:val="001B6269"/>
    <w:rsid w:val="00200C25"/>
    <w:rsid w:val="002D1FBA"/>
    <w:rsid w:val="002E0CDF"/>
    <w:rsid w:val="003B1BDD"/>
    <w:rsid w:val="00445B91"/>
    <w:rsid w:val="00480606"/>
    <w:rsid w:val="004F0AC4"/>
    <w:rsid w:val="00550467"/>
    <w:rsid w:val="005718D2"/>
    <w:rsid w:val="00583AA5"/>
    <w:rsid w:val="005B2CCA"/>
    <w:rsid w:val="005B6A45"/>
    <w:rsid w:val="005C66F7"/>
    <w:rsid w:val="00673354"/>
    <w:rsid w:val="006A04E5"/>
    <w:rsid w:val="006A7240"/>
    <w:rsid w:val="00710CAA"/>
    <w:rsid w:val="007B690B"/>
    <w:rsid w:val="007C14C6"/>
    <w:rsid w:val="00892C83"/>
    <w:rsid w:val="009105FB"/>
    <w:rsid w:val="00987BA2"/>
    <w:rsid w:val="009E426D"/>
    <w:rsid w:val="009F7889"/>
    <w:rsid w:val="00A074CA"/>
    <w:rsid w:val="00AF689C"/>
    <w:rsid w:val="00B05A3E"/>
    <w:rsid w:val="00C35AC8"/>
    <w:rsid w:val="00C655AB"/>
    <w:rsid w:val="00CE09F6"/>
    <w:rsid w:val="00E1600C"/>
    <w:rsid w:val="00E34A43"/>
    <w:rsid w:val="00E97BBB"/>
    <w:rsid w:val="00F2441D"/>
    <w:rsid w:val="00F6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7</cp:revision>
  <dcterms:created xsi:type="dcterms:W3CDTF">2026-04-24T21:56:00Z</dcterms:created>
  <dcterms:modified xsi:type="dcterms:W3CDTF">2026-04-26T03:51:00Z</dcterms:modified>
</cp:coreProperties>
</file>