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5543E3" w14:textId="12BADC6B" w:rsidR="003C1732" w:rsidRDefault="00C7581E" w:rsidP="003C1732">
      <w:pPr>
        <w:rPr>
          <w:b/>
          <w:bCs/>
          <w:sz w:val="28"/>
          <w:szCs w:val="28"/>
        </w:rPr>
      </w:pPr>
      <w:r w:rsidRPr="00C7581E">
        <w:rPr>
          <w:b/>
          <w:bCs/>
          <w:sz w:val="28"/>
          <w:szCs w:val="28"/>
        </w:rPr>
        <w:t>Mesoscale circulation</w:t>
      </w:r>
      <w:r w:rsidR="00E1634D">
        <w:rPr>
          <w:b/>
          <w:bCs/>
          <w:sz w:val="28"/>
          <w:szCs w:val="28"/>
        </w:rPr>
        <w:t>s</w:t>
      </w:r>
      <w:r w:rsidRPr="00C7581E">
        <w:rPr>
          <w:b/>
          <w:bCs/>
          <w:sz w:val="28"/>
          <w:szCs w:val="28"/>
        </w:rPr>
        <w:t xml:space="preserve"> associated with shallow marine convection derived from infrared GOES measurements</w:t>
      </w:r>
    </w:p>
    <w:p w14:paraId="773B1C2A" w14:textId="5BF64B7D" w:rsidR="00C7581E" w:rsidRPr="00C7581E" w:rsidRDefault="00C7581E" w:rsidP="003C1732">
      <w:r>
        <w:t>Last updated 6/1</w:t>
      </w:r>
      <w:r w:rsidR="00E1634D">
        <w:t>6</w:t>
      </w:r>
      <w:r>
        <w:t>/26</w:t>
      </w:r>
    </w:p>
    <w:p w14:paraId="04044FCB" w14:textId="77777777" w:rsidR="003C1732" w:rsidRPr="00E23706" w:rsidRDefault="003C1732" w:rsidP="003C1732">
      <w:pPr>
        <w:rPr>
          <w:b/>
          <w:bCs/>
        </w:rPr>
      </w:pPr>
    </w:p>
    <w:p w14:paraId="4DEDFED8" w14:textId="77777777" w:rsidR="003C1732" w:rsidRPr="00D36C05" w:rsidRDefault="003C1732" w:rsidP="003C1732">
      <w:pPr>
        <w:rPr>
          <w:rFonts w:eastAsiaTheme="minorEastAsia"/>
          <w:b/>
          <w:bCs/>
        </w:rPr>
      </w:pPr>
      <w:r w:rsidRPr="00D36C05">
        <w:rPr>
          <w:rFonts w:eastAsiaTheme="minorEastAsia"/>
          <w:b/>
          <w:bCs/>
        </w:rPr>
        <w:t>Observations (ATOMIC/EUREC4a)</w:t>
      </w:r>
      <w:r>
        <w:rPr>
          <w:rFonts w:eastAsiaTheme="minorEastAsia"/>
          <w:b/>
          <w:bCs/>
        </w:rPr>
        <w:t xml:space="preserve"> and Vogel et al. 2022</w:t>
      </w:r>
    </w:p>
    <w:p w14:paraId="5D29293F" w14:textId="6C1DC534" w:rsidR="00FA7702" w:rsidRDefault="002935FA" w:rsidP="00276815">
      <w:pPr>
        <w:ind w:firstLine="720"/>
        <w:rPr>
          <w:rFonts w:cs="Open Sans"/>
        </w:rPr>
      </w:pPr>
      <w:r>
        <w:rPr>
          <w:rFonts w:eastAsiaTheme="minorEastAsia"/>
        </w:rPr>
        <w:t xml:space="preserve">The </w:t>
      </w:r>
      <w:r w:rsidR="003C1732" w:rsidRPr="00CA2C0A">
        <w:rPr>
          <w:rFonts w:cs="Open Sans"/>
        </w:rPr>
        <w:t>EUREC4A</w:t>
      </w:r>
      <w:r>
        <w:rPr>
          <w:rFonts w:cs="Open Sans"/>
        </w:rPr>
        <w:t xml:space="preserve"> </w:t>
      </w:r>
      <w:r w:rsidR="00C52389">
        <w:rPr>
          <w:rFonts w:eastAsiaTheme="minorEastAsia"/>
        </w:rPr>
        <w:t>field c</w:t>
      </w:r>
      <w:r w:rsidRPr="00CA2C0A">
        <w:rPr>
          <w:rFonts w:eastAsiaTheme="minorEastAsia"/>
        </w:rPr>
        <w:t>ampaign, the European counterpart to the American-led ATOMIC,</w:t>
      </w:r>
      <w:r w:rsidR="003C1732" w:rsidRPr="00CA2C0A">
        <w:rPr>
          <w:rFonts w:cs="Open Sans"/>
        </w:rPr>
        <w:t xml:space="preserve"> took place from January – February 2020 over the </w:t>
      </w:r>
      <w:r w:rsidR="003C1732">
        <w:rPr>
          <w:rFonts w:cs="Open Sans"/>
        </w:rPr>
        <w:t xml:space="preserve">tropical </w:t>
      </w:r>
      <w:r w:rsidR="003C1732" w:rsidRPr="00CA2C0A">
        <w:rPr>
          <w:rFonts w:cs="Open Sans"/>
        </w:rPr>
        <w:t xml:space="preserve">North Atlantic </w:t>
      </w:r>
      <w:r w:rsidR="003C1732">
        <w:rPr>
          <w:rFonts w:cs="Open Sans"/>
        </w:rPr>
        <w:t>near</w:t>
      </w:r>
      <w:r w:rsidR="003C1732" w:rsidRPr="00CA2C0A">
        <w:rPr>
          <w:rFonts w:cs="Open Sans"/>
        </w:rPr>
        <w:t xml:space="preserve"> Barbados</w:t>
      </w:r>
      <w:r>
        <w:rPr>
          <w:rFonts w:cs="Open Sans"/>
        </w:rPr>
        <w:t>.</w:t>
      </w:r>
      <w:r w:rsidR="003C1732">
        <w:rPr>
          <w:rFonts w:cs="Open Sans"/>
        </w:rPr>
        <w:t xml:space="preserve"> </w:t>
      </w:r>
      <w:r>
        <w:rPr>
          <w:rFonts w:cs="Open Sans"/>
        </w:rPr>
        <w:t>The intent of the campaign was to</w:t>
      </w:r>
      <w:r w:rsidR="003C1732" w:rsidRPr="00CA2C0A">
        <w:rPr>
          <w:rFonts w:cs="Open Sans"/>
        </w:rPr>
        <w:t xml:space="preserve"> </w:t>
      </w:r>
      <w:r w:rsidR="00C52389">
        <w:rPr>
          <w:rFonts w:cs="Open Sans"/>
        </w:rPr>
        <w:t>observe</w:t>
      </w:r>
      <w:r>
        <w:rPr>
          <w:rFonts w:cs="Open Sans"/>
        </w:rPr>
        <w:t xml:space="preserve"> the </w:t>
      </w:r>
      <w:r w:rsidR="003C1732" w:rsidRPr="00CA2C0A">
        <w:rPr>
          <w:rFonts w:cs="Open Sans"/>
        </w:rPr>
        <w:t xml:space="preserve">atmospheric conditions associated with marine shallow convection embedded within </w:t>
      </w:r>
      <w:r w:rsidR="003C1732">
        <w:rPr>
          <w:rFonts w:cs="Open Sans"/>
        </w:rPr>
        <w:t>a</w:t>
      </w:r>
      <w:r w:rsidR="003C1732" w:rsidRPr="00CA2C0A">
        <w:rPr>
          <w:rFonts w:cs="Open Sans"/>
        </w:rPr>
        <w:t xml:space="preserve"> trade wind regime</w:t>
      </w:r>
      <w:r w:rsidR="00C52389">
        <w:rPr>
          <w:rFonts w:cs="Open Sans"/>
        </w:rPr>
        <w:t xml:space="preserve">. Shallow marine clouds are </w:t>
      </w:r>
      <w:r>
        <w:rPr>
          <w:rFonts w:cs="Open Sans"/>
        </w:rPr>
        <w:t>an important component of the global energy balance</w:t>
      </w:r>
      <w:r w:rsidR="00C52389">
        <w:rPr>
          <w:rFonts w:cs="Open Sans"/>
        </w:rPr>
        <w:t xml:space="preserve">, reflecting downwelling solar radiation back out to space, and </w:t>
      </w:r>
      <w:r w:rsidR="000D2EA4">
        <w:rPr>
          <w:rFonts w:cs="Open Sans"/>
        </w:rPr>
        <w:t>contribute to</w:t>
      </w:r>
      <w:r w:rsidR="00C52389">
        <w:rPr>
          <w:rFonts w:cs="Open Sans"/>
        </w:rPr>
        <w:t xml:space="preserve"> model spread in global warming</w:t>
      </w:r>
      <w:r w:rsidR="00E1634D">
        <w:rPr>
          <w:rFonts w:cs="Open Sans"/>
        </w:rPr>
        <w:t xml:space="preserve"> </w:t>
      </w:r>
      <w:r w:rsidR="00E1634D">
        <w:rPr>
          <w:rFonts w:cs="Open Sans"/>
        </w:rPr>
        <w:t>projections</w:t>
      </w:r>
      <w:r w:rsidR="003C1732" w:rsidRPr="00CA2C0A">
        <w:rPr>
          <w:rFonts w:cs="Open Sans"/>
        </w:rPr>
        <w:t>.</w:t>
      </w:r>
      <w:r w:rsidR="003C1732">
        <w:rPr>
          <w:rFonts w:cs="Open Sans"/>
        </w:rPr>
        <w:t xml:space="preserve"> For this campaign,</w:t>
      </w:r>
      <w:r w:rsidR="003C1732" w:rsidRPr="00CA2C0A">
        <w:rPr>
          <w:rFonts w:cs="Open Sans"/>
        </w:rPr>
        <w:t xml:space="preserve"> multiple types of aircraft</w:t>
      </w:r>
      <w:r w:rsidR="003C1732">
        <w:rPr>
          <w:rFonts w:cs="Open Sans"/>
        </w:rPr>
        <w:t xml:space="preserve"> were chartered,</w:t>
      </w:r>
      <w:r w:rsidR="003C1732" w:rsidRPr="00CA2C0A">
        <w:rPr>
          <w:rFonts w:cs="Open Sans"/>
        </w:rPr>
        <w:t xml:space="preserve"> </w:t>
      </w:r>
      <w:r w:rsidR="003C1732">
        <w:rPr>
          <w:rFonts w:cs="Open Sans"/>
        </w:rPr>
        <w:t xml:space="preserve">each </w:t>
      </w:r>
      <w:r w:rsidR="003C1732" w:rsidRPr="00CA2C0A">
        <w:rPr>
          <w:rFonts w:cs="Open Sans"/>
        </w:rPr>
        <w:t>equipped with a variety of sensors including dropsondes</w:t>
      </w:r>
      <w:r w:rsidR="003C1732">
        <w:rPr>
          <w:rFonts w:cs="Open Sans"/>
        </w:rPr>
        <w:t>, lidar, and radar.</w:t>
      </w:r>
      <w:r w:rsidR="003C1732" w:rsidRPr="00CA2C0A">
        <w:rPr>
          <w:rFonts w:cs="Open Sans"/>
        </w:rPr>
        <w:t xml:space="preserve"> A major component of the campaign involved deploying dropsonde</w:t>
      </w:r>
      <w:r w:rsidR="003C1732">
        <w:rPr>
          <w:rFonts w:cs="Open Sans"/>
        </w:rPr>
        <w:t xml:space="preserve"> batches from the HALO aircraft</w:t>
      </w:r>
      <w:r w:rsidR="003C1732" w:rsidRPr="00CA2C0A">
        <w:rPr>
          <w:rFonts w:cs="Open Sans"/>
        </w:rPr>
        <w:t xml:space="preserve"> around the perimeter of a 220km diameter</w:t>
      </w:r>
      <w:r w:rsidR="003C1732">
        <w:rPr>
          <w:rFonts w:cs="Open Sans"/>
        </w:rPr>
        <w:t xml:space="preserve"> circular area</w:t>
      </w:r>
      <w:r w:rsidR="003C1732" w:rsidRPr="00CA2C0A">
        <w:rPr>
          <w:rFonts w:cs="Open Sans"/>
        </w:rPr>
        <w:t xml:space="preserve"> </w:t>
      </w:r>
      <w:r w:rsidR="003C1732">
        <w:rPr>
          <w:rFonts w:cs="Open Sans"/>
        </w:rPr>
        <w:t xml:space="preserve">over the course of </w:t>
      </w:r>
      <w:r w:rsidR="00E1634D">
        <w:rPr>
          <w:rFonts w:cs="Open Sans"/>
        </w:rPr>
        <w:t>a</w:t>
      </w:r>
      <w:r w:rsidR="003C1732">
        <w:rPr>
          <w:rFonts w:cs="Open Sans"/>
        </w:rPr>
        <w:t xml:space="preserve"> month</w:t>
      </w:r>
      <w:r w:rsidR="003C1732" w:rsidRPr="00CA2C0A">
        <w:rPr>
          <w:rFonts w:cs="Open Sans"/>
        </w:rPr>
        <w:t>.</w:t>
      </w:r>
      <w:r w:rsidR="003C1732">
        <w:rPr>
          <w:rFonts w:cs="Open Sans"/>
        </w:rPr>
        <w:t xml:space="preserve"> T</w:t>
      </w:r>
      <w:r w:rsidR="003C1732" w:rsidRPr="00CA2C0A">
        <w:rPr>
          <w:rFonts w:cs="Open Sans"/>
        </w:rPr>
        <w:t>o capture a wide range of conditions</w:t>
      </w:r>
      <w:r w:rsidR="003C1732">
        <w:rPr>
          <w:rFonts w:cs="Open Sans"/>
        </w:rPr>
        <w:t>, the aircraft flew at varying times of day, taking the same circular path each time.</w:t>
      </w:r>
      <w:r w:rsidR="003C1732" w:rsidRPr="00CA2C0A">
        <w:rPr>
          <w:rFonts w:cs="Open Sans"/>
        </w:rPr>
        <w:t xml:space="preserve"> One lap around the circle t</w:t>
      </w:r>
      <w:r w:rsidR="003C1732">
        <w:rPr>
          <w:rFonts w:cs="Open Sans"/>
        </w:rPr>
        <w:t>ook</w:t>
      </w:r>
      <w:r w:rsidR="003C1732" w:rsidRPr="00CA2C0A">
        <w:rPr>
          <w:rFonts w:cs="Open Sans"/>
        </w:rPr>
        <w:t xml:space="preserve"> a</w:t>
      </w:r>
      <w:r w:rsidR="003C1732">
        <w:rPr>
          <w:rFonts w:cs="Open Sans"/>
        </w:rPr>
        <w:t>pproximately</w:t>
      </w:r>
      <w:r w:rsidR="003C1732" w:rsidRPr="00CA2C0A">
        <w:rPr>
          <w:rFonts w:cs="Open Sans"/>
        </w:rPr>
        <w:t xml:space="preserve"> 80 minutes.</w:t>
      </w:r>
      <w:r w:rsidR="003C1732">
        <w:rPr>
          <w:rFonts w:cs="Open Sans"/>
        </w:rPr>
        <w:t xml:space="preserve"> </w:t>
      </w:r>
      <w:r w:rsidRPr="00CA2C0A">
        <w:rPr>
          <w:rFonts w:eastAsiaTheme="minorEastAsia"/>
        </w:rPr>
        <w:t>Results from the EUREC4A campaign</w:t>
      </w:r>
      <w:r w:rsidR="000D2EA4">
        <w:rPr>
          <w:rFonts w:eastAsiaTheme="minorEastAsia"/>
        </w:rPr>
        <w:t xml:space="preserve"> </w:t>
      </w:r>
      <w:r w:rsidRPr="00CA2C0A">
        <w:rPr>
          <w:rFonts w:eastAsiaTheme="minorEastAsia"/>
        </w:rPr>
        <w:t xml:space="preserve">are published in the JOANNE dataset and available here: </w:t>
      </w:r>
      <w:hyperlink r:id="rId5" w:history="1">
        <w:r w:rsidRPr="00CA2C0A">
          <w:rPr>
            <w:rStyle w:val="Hyperlink"/>
            <w:rFonts w:cs="Open Sans"/>
          </w:rPr>
          <w:t>https://doi.org/10.25326/246</w:t>
        </w:r>
      </w:hyperlink>
      <w:r w:rsidRPr="00CA2C0A">
        <w:rPr>
          <w:rFonts w:cs="Open Sans"/>
        </w:rPr>
        <w:t>.</w:t>
      </w:r>
    </w:p>
    <w:p w14:paraId="3E568773" w14:textId="34955ABB" w:rsidR="003C1732" w:rsidRDefault="000D2EA4" w:rsidP="00276815">
      <w:pPr>
        <w:ind w:firstLine="720"/>
        <w:rPr>
          <w:rFonts w:cs="Open Sans"/>
        </w:rPr>
      </w:pPr>
      <w:r>
        <w:rPr>
          <w:rFonts w:cs="Open Sans"/>
        </w:rPr>
        <w:t>In the JOANNE dataset, d</w:t>
      </w:r>
      <w:r w:rsidR="003C1732" w:rsidRPr="00CA2C0A">
        <w:rPr>
          <w:rFonts w:cs="Open Sans"/>
        </w:rPr>
        <w:t>ropsonde measurements of horizontal wind</w:t>
      </w:r>
      <w:r w:rsidR="003C1732">
        <w:rPr>
          <w:rFonts w:cs="Open Sans"/>
        </w:rPr>
        <w:t xml:space="preserve"> velocities</w:t>
      </w:r>
      <w:r w:rsidR="003C1732" w:rsidRPr="00CA2C0A">
        <w:rPr>
          <w:rFonts w:cs="Open Sans"/>
        </w:rPr>
        <w:t xml:space="preserve"> </w:t>
      </w:r>
      <w:r w:rsidR="00FA7702">
        <w:rPr>
          <w:rFonts w:cs="Open Sans"/>
        </w:rPr>
        <w:t>are</w:t>
      </w:r>
      <w:r w:rsidR="003C1732" w:rsidRPr="00CA2C0A">
        <w:rPr>
          <w:rFonts w:cs="Open Sans"/>
        </w:rPr>
        <w:t xml:space="preserve"> used to compute the</w:t>
      </w:r>
      <w:r w:rsidR="00E1634D">
        <w:rPr>
          <w:rFonts w:cs="Open Sans"/>
        </w:rPr>
        <w:t xml:space="preserve"> circle-averaged</w:t>
      </w:r>
      <w:r w:rsidR="003C1732" w:rsidRPr="00CA2C0A">
        <w:rPr>
          <w:rFonts w:cs="Open Sans"/>
        </w:rPr>
        <w:t xml:space="preserve"> vertical </w:t>
      </w:r>
      <w:r w:rsidR="003C1732">
        <w:rPr>
          <w:rFonts w:cs="Open Sans"/>
        </w:rPr>
        <w:t xml:space="preserve">velocity (W) and wind </w:t>
      </w:r>
      <w:r w:rsidR="00FA7702">
        <w:rPr>
          <w:rFonts w:cs="Open Sans"/>
        </w:rPr>
        <w:t>di</w:t>
      </w:r>
      <w:r w:rsidR="003C1732">
        <w:rPr>
          <w:rFonts w:cs="Open Sans"/>
        </w:rPr>
        <w:t>vergence</w:t>
      </w:r>
      <w:r w:rsidR="00FA7702">
        <w:rPr>
          <w:rFonts w:cs="Open Sans"/>
        </w:rPr>
        <w:t xml:space="preserve"> (D)</w:t>
      </w:r>
      <w:r w:rsidR="003C1732">
        <w:rPr>
          <w:rFonts w:cs="Open Sans"/>
        </w:rPr>
        <w:t xml:space="preserve"> </w:t>
      </w:r>
      <w:r w:rsidR="003C1732" w:rsidRPr="00CA2C0A">
        <w:rPr>
          <w:rFonts w:cs="Open Sans"/>
        </w:rPr>
        <w:t xml:space="preserve">from the </w:t>
      </w:r>
      <w:r>
        <w:rPr>
          <w:rFonts w:cs="Open Sans"/>
        </w:rPr>
        <w:t>altitude</w:t>
      </w:r>
      <w:r w:rsidR="003C1732" w:rsidRPr="00CA2C0A">
        <w:rPr>
          <w:rFonts w:cs="Open Sans"/>
        </w:rPr>
        <w:t xml:space="preserve"> of deployment (~10 km) to the surface</w:t>
      </w:r>
      <w:r w:rsidR="003C1732">
        <w:rPr>
          <w:rFonts w:cs="Open Sans"/>
        </w:rPr>
        <w:t>.</w:t>
      </w:r>
      <w:r>
        <w:rPr>
          <w:rFonts w:cs="Open Sans"/>
        </w:rPr>
        <w:t xml:space="preserve"> Vertical velocity was first </w:t>
      </w:r>
      <w:r w:rsidR="00FA7702">
        <w:rPr>
          <w:rFonts w:cs="Open Sans"/>
        </w:rPr>
        <w:t xml:space="preserve">calculated in </w:t>
      </w:r>
      <w:r w:rsidR="00FA7702">
        <w:rPr>
          <w:rFonts w:cs="Open Sans"/>
        </w:rPr>
        <w:t>Vogel et al. 2022 (</w:t>
      </w:r>
      <w:hyperlink r:id="rId6" w:history="1">
        <w:r w:rsidR="00FA7702" w:rsidRPr="00B40ABE">
          <w:rPr>
            <w:rStyle w:val="Hyperlink"/>
            <w:rFonts w:cs="Open Sans"/>
          </w:rPr>
          <w:t>https://doi.org/10.1038/s41586-022-05364-y</w:t>
        </w:r>
      </w:hyperlink>
      <w:r w:rsidR="00FA7702">
        <w:rPr>
          <w:rFonts w:cs="Open Sans"/>
        </w:rPr>
        <w:t xml:space="preserve">) </w:t>
      </w:r>
      <w:r w:rsidR="00FA7702">
        <w:rPr>
          <w:rFonts w:cs="Open Sans"/>
        </w:rPr>
        <w:t xml:space="preserve">before </w:t>
      </w:r>
      <w:r w:rsidR="007B3D77">
        <w:rPr>
          <w:rFonts w:cs="Open Sans"/>
        </w:rPr>
        <w:t>its</w:t>
      </w:r>
      <w:r w:rsidR="00FA7702">
        <w:rPr>
          <w:rFonts w:cs="Open Sans"/>
        </w:rPr>
        <w:t xml:space="preserve"> publication in the JOANNE</w:t>
      </w:r>
      <w:r>
        <w:rPr>
          <w:rFonts w:cs="Open Sans"/>
        </w:rPr>
        <w:t xml:space="preserve"> dataset</w:t>
      </w:r>
      <w:r w:rsidR="00FA7702">
        <w:rPr>
          <w:rFonts w:cs="Open Sans"/>
        </w:rPr>
        <w:t xml:space="preserve">. </w:t>
      </w:r>
      <w:r w:rsidR="003C1732">
        <w:rPr>
          <w:rFonts w:cs="Open Sans"/>
        </w:rPr>
        <w:t>Note that the JOANNE-derived W and the Vogel-derived W</w:t>
      </w:r>
      <w:r w:rsidR="00276815">
        <w:rPr>
          <w:rFonts w:cs="Open Sans"/>
        </w:rPr>
        <w:t xml:space="preserve"> </w:t>
      </w:r>
      <w:r w:rsidR="003C1732">
        <w:rPr>
          <w:rFonts w:cs="Open Sans"/>
        </w:rPr>
        <w:t xml:space="preserve">are nearly </w:t>
      </w:r>
      <w:r w:rsidR="007B3D77">
        <w:rPr>
          <w:rFonts w:cs="Open Sans"/>
        </w:rPr>
        <w:t>identical</w:t>
      </w:r>
      <w:r w:rsidR="003C1732">
        <w:rPr>
          <w:rFonts w:cs="Open Sans"/>
        </w:rPr>
        <w:t xml:space="preserve"> and may be used interchangeably (r=0.98, p &lt;0.001).</w:t>
      </w:r>
    </w:p>
    <w:p w14:paraId="18971E99" w14:textId="221DDCBD" w:rsidR="003C1732" w:rsidRDefault="003C1732" w:rsidP="00276815">
      <w:pPr>
        <w:ind w:firstLine="720"/>
        <w:rPr>
          <w:rFonts w:cs="Open Sans"/>
        </w:rPr>
      </w:pPr>
      <w:r>
        <w:rPr>
          <w:rFonts w:cs="Open Sans"/>
        </w:rPr>
        <w:t>In addition to W, the authors compute the sub-cloud la</w:t>
      </w:r>
      <w:r w:rsidR="00276815">
        <w:rPr>
          <w:rFonts w:cs="Open Sans"/>
        </w:rPr>
        <w:t>y</w:t>
      </w:r>
      <w:r>
        <w:rPr>
          <w:rFonts w:cs="Open Sans"/>
        </w:rPr>
        <w:t>er entrainment (E) as the ratio of observed buoyancy flux</w:t>
      </w:r>
      <w:r w:rsidR="00276815">
        <w:rPr>
          <w:rFonts w:cs="Open Sans"/>
        </w:rPr>
        <w:t>es</w:t>
      </w:r>
      <w:r>
        <w:rPr>
          <w:rFonts w:cs="Open Sans"/>
        </w:rPr>
        <w:t xml:space="preserve"> </w:t>
      </w:r>
      <w:r w:rsidR="00276815">
        <w:rPr>
          <w:rFonts w:cs="Open Sans"/>
        </w:rPr>
        <w:t>at the surface and the</w:t>
      </w:r>
      <w:r>
        <w:rPr>
          <w:rFonts w:cs="Open Sans"/>
        </w:rPr>
        <w:t xml:space="preserve"> top of the sub-cloud layer. </w:t>
      </w:r>
      <w:r w:rsidR="00395483">
        <w:rPr>
          <w:rFonts w:cs="Open Sans"/>
        </w:rPr>
        <w:t>To calculate the fluxes, o</w:t>
      </w:r>
      <w:r>
        <w:rPr>
          <w:rFonts w:cs="Open Sans"/>
        </w:rPr>
        <w:t>bserved values of humidity, temperature and</w:t>
      </w:r>
      <w:r w:rsidR="00395483">
        <w:rPr>
          <w:rFonts w:cs="Open Sans"/>
        </w:rPr>
        <w:t xml:space="preserve"> the</w:t>
      </w:r>
      <w:r>
        <w:rPr>
          <w:rFonts w:cs="Open Sans"/>
        </w:rPr>
        <w:t xml:space="preserve"> horizontal wind from the EUREC4A campaign are</w:t>
      </w:r>
      <w:r w:rsidR="00276815">
        <w:rPr>
          <w:rFonts w:cs="Open Sans"/>
        </w:rPr>
        <w:t xml:space="preserve"> </w:t>
      </w:r>
      <w:r>
        <w:rPr>
          <w:rFonts w:cs="Open Sans"/>
        </w:rPr>
        <w:t xml:space="preserve">treated with a bulk flux algorithm and observed SSTs are </w:t>
      </w:r>
      <w:r w:rsidR="00276815">
        <w:rPr>
          <w:rFonts w:cs="Open Sans"/>
        </w:rPr>
        <w:t xml:space="preserve">sourced </w:t>
      </w:r>
      <w:r>
        <w:rPr>
          <w:rFonts w:cs="Open Sans"/>
        </w:rPr>
        <w:t>from the RV Meteor or AutoNaut Caravela</w:t>
      </w:r>
      <w:r w:rsidR="00276815">
        <w:rPr>
          <w:rFonts w:cs="Open Sans"/>
        </w:rPr>
        <w:t>.</w:t>
      </w:r>
      <w:r w:rsidR="007B3D77">
        <w:rPr>
          <w:rFonts w:cs="Open Sans"/>
        </w:rPr>
        <w:t xml:space="preserve"> </w:t>
      </w:r>
    </w:p>
    <w:p w14:paraId="2F25F6AC" w14:textId="71412F3E" w:rsidR="00C12B3A" w:rsidRDefault="00C12B3A" w:rsidP="00276815">
      <w:pPr>
        <w:ind w:firstLine="720"/>
        <w:rPr>
          <w:rFonts w:cs="Open Sans"/>
        </w:rPr>
      </w:pPr>
      <w:r>
        <w:rPr>
          <w:rFonts w:cs="Open Sans"/>
        </w:rPr>
        <w:t xml:space="preserve">In Vogel et al. 2022, </w:t>
      </w:r>
      <w:r w:rsidR="00395483">
        <w:rPr>
          <w:rFonts w:cs="Open Sans"/>
        </w:rPr>
        <w:t xml:space="preserve">the </w:t>
      </w:r>
      <w:r>
        <w:rPr>
          <w:rFonts w:cs="Open Sans"/>
        </w:rPr>
        <w:t xml:space="preserve">calculation of </w:t>
      </w:r>
      <w:r w:rsidR="00395483">
        <w:rPr>
          <w:rFonts w:cs="Open Sans"/>
        </w:rPr>
        <w:t>W and E</w:t>
      </w:r>
      <w:r>
        <w:rPr>
          <w:rFonts w:cs="Open Sans"/>
        </w:rPr>
        <w:t xml:space="preserve"> serves to evaluate the mixing-desiccation hypothesis which theorizes that </w:t>
      </w:r>
      <w:r w:rsidR="00D777A7">
        <w:rPr>
          <w:rFonts w:cs="Open Sans"/>
        </w:rPr>
        <w:t>an increase</w:t>
      </w:r>
      <w:r>
        <w:rPr>
          <w:rFonts w:cs="Open Sans"/>
        </w:rPr>
        <w:t xml:space="preserve"> in E</w:t>
      </w:r>
      <w:r w:rsidR="00595162">
        <w:rPr>
          <w:rFonts w:cs="Open Sans"/>
        </w:rPr>
        <w:t xml:space="preserve"> in the sub-cloud layer</w:t>
      </w:r>
      <w:r>
        <w:rPr>
          <w:rFonts w:cs="Open Sans"/>
        </w:rPr>
        <w:t xml:space="preserve"> </w:t>
      </w:r>
      <w:r w:rsidR="00D777A7">
        <w:rPr>
          <w:rFonts w:cs="Open Sans"/>
        </w:rPr>
        <w:t xml:space="preserve">should follow </w:t>
      </w:r>
      <w:r w:rsidR="00D777A7">
        <w:rPr>
          <w:rFonts w:cs="Open Sans"/>
        </w:rPr>
        <w:t xml:space="preserve">an increase in the upwards mass flux (M) </w:t>
      </w:r>
      <w:r w:rsidR="007B3D77">
        <w:rPr>
          <w:rFonts w:cs="Open Sans"/>
        </w:rPr>
        <w:t>produced</w:t>
      </w:r>
      <w:r w:rsidR="00AC1CB6">
        <w:rPr>
          <w:rFonts w:cs="Open Sans"/>
        </w:rPr>
        <w:t xml:space="preserve"> </w:t>
      </w:r>
      <w:r w:rsidR="007B3D77">
        <w:rPr>
          <w:rFonts w:cs="Open Sans"/>
        </w:rPr>
        <w:t>by</w:t>
      </w:r>
      <w:r w:rsidR="00AC1CB6">
        <w:rPr>
          <w:rFonts w:cs="Open Sans"/>
        </w:rPr>
        <w:t xml:space="preserve"> </w:t>
      </w:r>
      <w:r w:rsidR="00D777A7">
        <w:rPr>
          <w:rFonts w:cs="Open Sans"/>
        </w:rPr>
        <w:t>shallow convection</w:t>
      </w:r>
      <w:r>
        <w:rPr>
          <w:rFonts w:cs="Open Sans"/>
        </w:rPr>
        <w:t xml:space="preserve">. This </w:t>
      </w:r>
      <w:r w:rsidR="00D777A7">
        <w:rPr>
          <w:rFonts w:cs="Open Sans"/>
        </w:rPr>
        <w:t xml:space="preserve">would drive </w:t>
      </w:r>
      <w:r>
        <w:rPr>
          <w:rFonts w:cs="Open Sans"/>
        </w:rPr>
        <w:t xml:space="preserve">a reduction in </w:t>
      </w:r>
      <w:r w:rsidR="00AC1CB6">
        <w:rPr>
          <w:rFonts w:cs="Open Sans"/>
        </w:rPr>
        <w:t xml:space="preserve">sub-cloud-layer </w:t>
      </w:r>
      <w:r>
        <w:rPr>
          <w:rFonts w:cs="Open Sans"/>
        </w:rPr>
        <w:t>relative humidity and</w:t>
      </w:r>
      <w:r w:rsidR="00AC1CB6">
        <w:rPr>
          <w:rFonts w:cs="Open Sans"/>
        </w:rPr>
        <w:t xml:space="preserve"> thus, low-level</w:t>
      </w:r>
      <w:r w:rsidR="00D777A7">
        <w:rPr>
          <w:rFonts w:cs="Open Sans"/>
        </w:rPr>
        <w:t xml:space="preserve"> </w:t>
      </w:r>
      <w:r w:rsidR="00AC1CB6">
        <w:rPr>
          <w:rFonts w:cs="Open Sans"/>
        </w:rPr>
        <w:t xml:space="preserve">cloud </w:t>
      </w:r>
      <w:r w:rsidR="00AC1CB6">
        <w:rPr>
          <w:rFonts w:cs="Open Sans"/>
        </w:rPr>
        <w:lastRenderedPageBreak/>
        <w:t>fraction</w:t>
      </w:r>
      <w:r w:rsidR="00D777A7">
        <w:rPr>
          <w:rFonts w:cs="Open Sans"/>
        </w:rPr>
        <w:t>,</w:t>
      </w:r>
      <w:r w:rsidR="00AC1CB6">
        <w:rPr>
          <w:rFonts w:cs="Open Sans"/>
        </w:rPr>
        <w:t xml:space="preserve"> indicating</w:t>
      </w:r>
      <w:r w:rsidR="00D777A7">
        <w:rPr>
          <w:rFonts w:cs="Open Sans"/>
        </w:rPr>
        <w:t xml:space="preserve"> a negative feedback </w:t>
      </w:r>
      <w:r w:rsidR="00E36DC2">
        <w:rPr>
          <w:rFonts w:cs="Open Sans"/>
        </w:rPr>
        <w:t xml:space="preserve">exists </w:t>
      </w:r>
      <w:r w:rsidR="00D777A7">
        <w:rPr>
          <w:rFonts w:cs="Open Sans"/>
        </w:rPr>
        <w:t xml:space="preserve">between the </w:t>
      </w:r>
      <w:r w:rsidR="00AC1CB6">
        <w:rPr>
          <w:rFonts w:cs="Open Sans"/>
        </w:rPr>
        <w:t>convective mass flux</w:t>
      </w:r>
      <w:r w:rsidR="00D777A7">
        <w:rPr>
          <w:rFonts w:cs="Open Sans"/>
        </w:rPr>
        <w:t xml:space="preserve"> and low-level</w:t>
      </w:r>
      <w:r>
        <w:rPr>
          <w:rFonts w:cs="Open Sans"/>
        </w:rPr>
        <w:t xml:space="preserve"> cloudiness</w:t>
      </w:r>
      <w:r w:rsidR="00D777A7">
        <w:rPr>
          <w:rFonts w:cs="Open Sans"/>
        </w:rPr>
        <w:t>.</w:t>
      </w:r>
    </w:p>
    <w:p w14:paraId="4DC4E590" w14:textId="4D6AABFF" w:rsidR="00AC1CB6" w:rsidRDefault="00AC1CB6" w:rsidP="00276815">
      <w:pPr>
        <w:ind w:firstLine="720"/>
        <w:rPr>
          <w:rFonts w:cs="Open Sans"/>
        </w:rPr>
      </w:pPr>
      <w:r>
        <w:rPr>
          <w:rFonts w:cs="Open Sans"/>
        </w:rPr>
        <w:t>The mass budget is written in terms of the height of sub-cloud-layer height (h), which would increase</w:t>
      </w:r>
      <w:r w:rsidR="00E36DC2">
        <w:rPr>
          <w:rFonts w:cs="Open Sans"/>
        </w:rPr>
        <w:t xml:space="preserve"> (decrease)</w:t>
      </w:r>
      <w:r>
        <w:rPr>
          <w:rFonts w:cs="Open Sans"/>
        </w:rPr>
        <w:t xml:space="preserve"> in height as relative humidity decreases</w:t>
      </w:r>
      <w:r w:rsidR="00E36DC2">
        <w:rPr>
          <w:rFonts w:cs="Open Sans"/>
        </w:rPr>
        <w:t xml:space="preserve"> (increases) </w:t>
      </w:r>
    </w:p>
    <w:p w14:paraId="480A425E" w14:textId="4AA19B86" w:rsidR="00AC1CB6" w:rsidRDefault="00AC1CB6" w:rsidP="00276815">
      <w:pPr>
        <w:ind w:firstLine="720"/>
        <w:rPr>
          <w:rFonts w:cs="Open Sans"/>
        </w:rPr>
      </w:pPr>
      <m:oMathPara>
        <m:oMath>
          <m:f>
            <m:fPr>
              <m:ctrlPr>
                <w:rPr>
                  <w:rFonts w:ascii="Cambria Math" w:hAnsi="Cambria Math" w:cs="Open Sans"/>
                  <w:i/>
                </w:rPr>
              </m:ctrlPr>
            </m:fPr>
            <m:num>
              <m:r>
                <w:rPr>
                  <w:rFonts w:ascii="Cambria Math" w:hAnsi="Cambria Math" w:cs="Open Sans"/>
                </w:rPr>
                <m:t>∂h</m:t>
              </m:r>
            </m:num>
            <m:den>
              <m:r>
                <w:rPr>
                  <w:rFonts w:ascii="Cambria Math" w:hAnsi="Cambria Math" w:cs="Open Sans"/>
                </w:rPr>
                <m:t>∂t</m:t>
              </m:r>
            </m:den>
          </m:f>
          <m:r>
            <w:rPr>
              <w:rFonts w:ascii="Cambria Math" w:hAnsi="Cambria Math" w:cs="Open Sans"/>
            </w:rPr>
            <m:t>+</m:t>
          </m:r>
          <m:sSub>
            <m:sSubPr>
              <m:ctrlPr>
                <w:rPr>
                  <w:rFonts w:ascii="Cambria Math" w:hAnsi="Cambria Math" w:cs="Open Sans"/>
                  <w:i/>
                </w:rPr>
              </m:ctrlPr>
            </m:sSubPr>
            <m:e>
              <m:acc>
                <m:accPr>
                  <m:chr m:val="⃗"/>
                  <m:ctrlPr>
                    <w:rPr>
                      <w:rFonts w:ascii="Cambria Math" w:hAnsi="Cambria Math" w:cs="Open Sans"/>
                      <w:i/>
                    </w:rPr>
                  </m:ctrlPr>
                </m:accPr>
                <m:e>
                  <m:r>
                    <w:rPr>
                      <w:rFonts w:ascii="Cambria Math" w:hAnsi="Cambria Math" w:cs="Open Sans"/>
                    </w:rPr>
                    <m:t>v</m:t>
                  </m:r>
                </m:e>
              </m:acc>
            </m:e>
            <m:sub>
              <m:r>
                <w:rPr>
                  <w:rFonts w:ascii="Cambria Math" w:hAnsi="Cambria Math" w:cs="Open Sans"/>
                </w:rPr>
                <m:t>h</m:t>
              </m:r>
            </m:sub>
          </m:sSub>
          <m:r>
            <w:rPr>
              <w:rFonts w:ascii="Cambria Math" w:hAnsi="Cambria Math" w:cs="Open Sans"/>
            </w:rPr>
            <m:t>∙</m:t>
          </m:r>
          <m:r>
            <m:rPr>
              <m:sty m:val="p"/>
            </m:rPr>
            <w:rPr>
              <w:rFonts w:ascii="Cambria Math" w:hAnsi="Cambria Math" w:cs="Open Sans"/>
            </w:rPr>
            <m:t>∇</m:t>
          </m:r>
          <m:r>
            <w:rPr>
              <w:rFonts w:ascii="Cambria Math" w:hAnsi="Cambria Math" w:cs="Open Sans"/>
            </w:rPr>
            <m:t>h</m:t>
          </m:r>
          <m:r>
            <w:rPr>
              <w:rFonts w:ascii="Cambria Math" w:eastAsiaTheme="minorEastAsia" w:hAnsi="Cambria Math" w:cs="Open Sans"/>
            </w:rPr>
            <m:t>=E+W-M</m:t>
          </m:r>
        </m:oMath>
      </m:oMathPara>
    </w:p>
    <w:p w14:paraId="6977698F" w14:textId="0F1FBEC4" w:rsidR="00AC1CB6" w:rsidRDefault="00AC1CB6" w:rsidP="007B3D77">
      <w:pPr>
        <w:rPr>
          <w:rFonts w:cs="Open Sans"/>
        </w:rPr>
      </w:pPr>
      <w:r>
        <w:rPr>
          <w:rFonts w:cs="Open Sans"/>
        </w:rPr>
        <w:t>In equilibrium, or on climatological scales, this can be simplified to:</w:t>
      </w:r>
    </w:p>
    <w:p w14:paraId="0206A3E2" w14:textId="77777777" w:rsidR="003C1732" w:rsidRPr="00E36DC2" w:rsidRDefault="003C1732" w:rsidP="003C1732">
      <w:pPr>
        <w:jc w:val="center"/>
        <w:rPr>
          <w:rFonts w:eastAsiaTheme="minorEastAsia" w:cs="Open Sans"/>
        </w:rPr>
      </w:pPr>
      <m:oMathPara>
        <m:oMath>
          <m:r>
            <w:rPr>
              <w:rFonts w:ascii="Cambria Math" w:hAnsi="Cambria Math" w:cs="Open Sans"/>
            </w:rPr>
            <m:t>M=E+W</m:t>
          </m:r>
        </m:oMath>
      </m:oMathPara>
    </w:p>
    <w:p w14:paraId="2EFFAD83" w14:textId="29DB3815" w:rsidR="00E36DC2" w:rsidRDefault="00E36DC2" w:rsidP="00E36DC2">
      <w:pPr>
        <w:rPr>
          <w:rFonts w:cs="Open Sans"/>
        </w:rPr>
      </w:pPr>
      <w:r>
        <w:rPr>
          <w:rFonts w:eastAsiaTheme="minorEastAsia" w:cs="Open Sans"/>
        </w:rPr>
        <w:t>allowing for M to be computed through the s</w:t>
      </w:r>
      <w:r w:rsidR="007B3D77">
        <w:rPr>
          <w:rFonts w:eastAsiaTheme="minorEastAsia" w:cs="Open Sans"/>
        </w:rPr>
        <w:t>um</w:t>
      </w:r>
      <w:r>
        <w:rPr>
          <w:rFonts w:eastAsiaTheme="minorEastAsia" w:cs="Open Sans"/>
        </w:rPr>
        <w:t xml:space="preserve"> of the E and W terms.</w:t>
      </w:r>
    </w:p>
    <w:p w14:paraId="53C9D936" w14:textId="4CF86985" w:rsidR="003C1732" w:rsidRDefault="007B3D77" w:rsidP="007B3D77">
      <w:pPr>
        <w:ind w:firstLine="720"/>
        <w:rPr>
          <w:rFonts w:cs="Open Sans"/>
        </w:rPr>
      </w:pPr>
      <w:r>
        <w:rPr>
          <w:rFonts w:cs="Open Sans"/>
        </w:rPr>
        <w:t>On average,</w:t>
      </w:r>
      <w:r w:rsidR="003C1732">
        <w:rPr>
          <w:rFonts w:cs="Open Sans"/>
        </w:rPr>
        <w:t xml:space="preserve"> </w:t>
      </w:r>
      <w:r>
        <w:rPr>
          <w:rFonts w:cs="Open Sans"/>
        </w:rPr>
        <w:t xml:space="preserve">the authors </w:t>
      </w:r>
      <w:r w:rsidR="003C1732">
        <w:rPr>
          <w:rFonts w:cs="Open Sans"/>
        </w:rPr>
        <w:t>f</w:t>
      </w:r>
      <w:r>
        <w:rPr>
          <w:rFonts w:cs="Open Sans"/>
        </w:rPr>
        <w:t>ind</w:t>
      </w:r>
      <w:r w:rsidR="003C1732">
        <w:rPr>
          <w:rFonts w:cs="Open Sans"/>
        </w:rPr>
        <w:t xml:space="preserve"> M to approximate E, and variability in M </w:t>
      </w:r>
      <w:r>
        <w:rPr>
          <w:rFonts w:cs="Open Sans"/>
        </w:rPr>
        <w:t>to be</w:t>
      </w:r>
      <w:r w:rsidR="003C1732">
        <w:rPr>
          <w:rFonts w:cs="Open Sans"/>
        </w:rPr>
        <w:t xml:space="preserve"> contributed by both E and W. At the hourly level, </w:t>
      </w:r>
      <w:r w:rsidR="003C1732" w:rsidRPr="005E2D2E">
        <w:rPr>
          <w:rFonts w:cs="Open Sans"/>
          <w:u w:val="single"/>
        </w:rPr>
        <w:t xml:space="preserve">M and E are </w:t>
      </w:r>
      <w:r w:rsidR="00FB4F4C">
        <w:rPr>
          <w:rFonts w:cs="Open Sans"/>
          <w:u w:val="single"/>
        </w:rPr>
        <w:t xml:space="preserve">significantly </w:t>
      </w:r>
      <w:r w:rsidR="003C1732" w:rsidRPr="005E2D2E">
        <w:rPr>
          <w:rFonts w:cs="Open Sans"/>
          <w:u w:val="single"/>
        </w:rPr>
        <w:t>correlated</w:t>
      </w:r>
      <w:r w:rsidR="003C1732">
        <w:rPr>
          <w:rFonts w:cs="Open Sans"/>
        </w:rPr>
        <w:t xml:space="preserve"> (r =</w:t>
      </w:r>
      <w:r w:rsidR="003C1732" w:rsidRPr="001D31D8">
        <w:rPr>
          <w:rFonts w:cs="Open Sans"/>
        </w:rPr>
        <w:t xml:space="preserve"> 0.</w:t>
      </w:r>
      <w:r w:rsidR="00FB4F4C">
        <w:rPr>
          <w:rFonts w:cs="Open Sans"/>
        </w:rPr>
        <w:t>6</w:t>
      </w:r>
      <w:r w:rsidR="003C1732" w:rsidRPr="001D31D8">
        <w:rPr>
          <w:rFonts w:cs="Open Sans"/>
        </w:rPr>
        <w:t>, R</w:t>
      </w:r>
      <w:r w:rsidR="003C1732" w:rsidRPr="001D31D8">
        <w:rPr>
          <w:rFonts w:cs="Open Sans"/>
          <w:vertAlign w:val="superscript"/>
        </w:rPr>
        <w:t>2</w:t>
      </w:r>
      <w:r w:rsidR="003C1732">
        <w:rPr>
          <w:rFonts w:cs="Open Sans"/>
        </w:rPr>
        <w:t xml:space="preserve"> = 0.3</w:t>
      </w:r>
      <w:r w:rsidR="00FB4F4C">
        <w:rPr>
          <w:rFonts w:cs="Open Sans"/>
        </w:rPr>
        <w:t>6</w:t>
      </w:r>
      <w:r w:rsidR="003C1732">
        <w:rPr>
          <w:rFonts w:cs="Open Sans"/>
        </w:rPr>
        <w:t>, p &lt; 0.001</w:t>
      </w:r>
      <w:r w:rsidR="00FB4F4C">
        <w:rPr>
          <w:rFonts w:cs="Open Sans"/>
        </w:rPr>
        <w:t>, slope = 1.22 [1.05, 1.39]</w:t>
      </w:r>
      <w:r w:rsidR="003C1732">
        <w:rPr>
          <w:rFonts w:cs="Open Sans"/>
        </w:rPr>
        <w:t xml:space="preserve">) according to </w:t>
      </w:r>
      <w:r w:rsidR="00FB4F4C">
        <w:rPr>
          <w:rFonts w:cs="Open Sans"/>
        </w:rPr>
        <w:t xml:space="preserve">a total </w:t>
      </w:r>
      <w:r w:rsidR="003C1732">
        <w:rPr>
          <w:rFonts w:cs="Open Sans"/>
        </w:rPr>
        <w:t>least squares analysis</w:t>
      </w:r>
      <w:r>
        <w:rPr>
          <w:rFonts w:cs="Open Sans"/>
        </w:rPr>
        <w:t>, while 3</w:t>
      </w:r>
      <w:r w:rsidR="003C1732">
        <w:rPr>
          <w:rFonts w:cs="Open Sans"/>
        </w:rPr>
        <w:t xml:space="preserve">-hour averages yield slightly </w:t>
      </w:r>
      <w:r w:rsidR="00FB4F4C">
        <w:rPr>
          <w:rFonts w:cs="Open Sans"/>
        </w:rPr>
        <w:t>lower</w:t>
      </w:r>
      <w:r w:rsidR="003C1732">
        <w:rPr>
          <w:rFonts w:cs="Open Sans"/>
        </w:rPr>
        <w:t xml:space="preserve"> correlations (r = 0.</w:t>
      </w:r>
      <w:r w:rsidR="00FB4F4C">
        <w:rPr>
          <w:rFonts w:cs="Open Sans"/>
        </w:rPr>
        <w:t>55</w:t>
      </w:r>
      <w:r w:rsidR="003C1732">
        <w:rPr>
          <w:rFonts w:cs="Open Sans"/>
        </w:rPr>
        <w:t xml:space="preserve">, </w:t>
      </w:r>
      <w:r w:rsidR="003C1732" w:rsidRPr="001D31D8">
        <w:rPr>
          <w:rFonts w:cs="Open Sans"/>
        </w:rPr>
        <w:t>R</w:t>
      </w:r>
      <w:r w:rsidR="003C1732" w:rsidRPr="001D31D8">
        <w:rPr>
          <w:rFonts w:cs="Open Sans"/>
          <w:vertAlign w:val="superscript"/>
        </w:rPr>
        <w:t>2</w:t>
      </w:r>
      <w:r w:rsidR="003C1732">
        <w:rPr>
          <w:rFonts w:cs="Open Sans"/>
        </w:rPr>
        <w:t xml:space="preserve"> = 0.3</w:t>
      </w:r>
      <w:r w:rsidR="00FB4F4C">
        <w:rPr>
          <w:rFonts w:cs="Open Sans"/>
        </w:rPr>
        <w:t>0</w:t>
      </w:r>
      <w:r w:rsidR="003C1732">
        <w:rPr>
          <w:rFonts w:cs="Open Sans"/>
        </w:rPr>
        <w:t>, p = 0.00</w:t>
      </w:r>
      <w:r w:rsidR="00FB4F4C">
        <w:rPr>
          <w:rFonts w:cs="Open Sans"/>
        </w:rPr>
        <w:t>4</w:t>
      </w:r>
      <w:r w:rsidR="003C1732">
        <w:rPr>
          <w:rFonts w:cs="Open Sans"/>
        </w:rPr>
        <w:t xml:space="preserve">, slope </w:t>
      </w:r>
      <w:r w:rsidR="00FB4F4C">
        <w:rPr>
          <w:rFonts w:cs="Open Sans"/>
        </w:rPr>
        <w:t>1.29</w:t>
      </w:r>
      <w:r w:rsidR="003C1732">
        <w:rPr>
          <w:rFonts w:cs="Open Sans"/>
        </w:rPr>
        <w:t xml:space="preserve"> [0.</w:t>
      </w:r>
      <w:r w:rsidR="00FB4F4C">
        <w:rPr>
          <w:rFonts w:cs="Open Sans"/>
        </w:rPr>
        <w:t>99</w:t>
      </w:r>
      <w:r w:rsidR="003C1732">
        <w:rPr>
          <w:rFonts w:cs="Open Sans"/>
        </w:rPr>
        <w:t xml:space="preserve">, </w:t>
      </w:r>
      <w:r w:rsidR="00FB4F4C">
        <w:rPr>
          <w:rFonts w:cs="Open Sans"/>
        </w:rPr>
        <w:t>1.59</w:t>
      </w:r>
      <w:r w:rsidR="003C1732">
        <w:rPr>
          <w:rFonts w:cs="Open Sans"/>
        </w:rPr>
        <w:t xml:space="preserve">]). </w:t>
      </w:r>
      <w:r w:rsidR="003C1732" w:rsidRPr="00522DE2">
        <w:rPr>
          <w:rFonts w:cs="Open Sans"/>
          <w:u w:val="single"/>
        </w:rPr>
        <w:t xml:space="preserve">M and W are </w:t>
      </w:r>
      <w:r w:rsidR="00E36DC2">
        <w:rPr>
          <w:rFonts w:cs="Open Sans"/>
          <w:u w:val="single"/>
        </w:rPr>
        <w:t>also</w:t>
      </w:r>
      <w:r w:rsidR="003C1732" w:rsidRPr="00522DE2">
        <w:rPr>
          <w:rFonts w:cs="Open Sans"/>
          <w:u w:val="single"/>
        </w:rPr>
        <w:t xml:space="preserve"> moderately correlated</w:t>
      </w:r>
      <w:r w:rsidR="003C1732">
        <w:rPr>
          <w:rFonts w:cs="Open Sans"/>
        </w:rPr>
        <w:t xml:space="preserve"> at</w:t>
      </w:r>
      <w:r w:rsidR="00E36DC2">
        <w:rPr>
          <w:rFonts w:cs="Open Sans"/>
        </w:rPr>
        <w:t xml:space="preserve"> both</w:t>
      </w:r>
      <w:r w:rsidR="003C1732">
        <w:rPr>
          <w:rFonts w:cs="Open Sans"/>
        </w:rPr>
        <w:t xml:space="preserve"> the 1-hourly </w:t>
      </w:r>
      <w:r w:rsidR="00E36DC2">
        <w:rPr>
          <w:rFonts w:cs="Open Sans"/>
        </w:rPr>
        <w:t xml:space="preserve">level </w:t>
      </w:r>
      <w:r w:rsidR="003C1732">
        <w:rPr>
          <w:rFonts w:cs="Open Sans"/>
        </w:rPr>
        <w:t>(r = 0.</w:t>
      </w:r>
      <w:r w:rsidR="00FB4F4C">
        <w:rPr>
          <w:rFonts w:cs="Open Sans"/>
        </w:rPr>
        <w:t>61</w:t>
      </w:r>
      <w:r w:rsidR="003C1732">
        <w:rPr>
          <w:rFonts w:cs="Open Sans"/>
        </w:rPr>
        <w:t xml:space="preserve">, </w:t>
      </w:r>
      <w:r w:rsidR="00FB4F4C" w:rsidRPr="001D31D8">
        <w:rPr>
          <w:rFonts w:cs="Open Sans"/>
        </w:rPr>
        <w:t>R</w:t>
      </w:r>
      <w:r w:rsidR="00FB4F4C" w:rsidRPr="001D31D8">
        <w:rPr>
          <w:rFonts w:cs="Open Sans"/>
          <w:vertAlign w:val="superscript"/>
        </w:rPr>
        <w:t>2</w:t>
      </w:r>
      <w:r w:rsidR="00FB4F4C">
        <w:rPr>
          <w:rFonts w:cs="Open Sans"/>
        </w:rPr>
        <w:t xml:space="preserve"> = </w:t>
      </w:r>
      <w:r w:rsidR="00FB4F4C">
        <w:rPr>
          <w:rFonts w:cs="Open Sans"/>
        </w:rPr>
        <w:t xml:space="preserve">0.38, </w:t>
      </w:r>
      <w:r w:rsidR="003C1732">
        <w:rPr>
          <w:rFonts w:cs="Open Sans"/>
        </w:rPr>
        <w:t xml:space="preserve">p &lt; 0.001, slope = </w:t>
      </w:r>
      <w:r w:rsidR="00FB4F4C">
        <w:rPr>
          <w:rFonts w:cs="Open Sans"/>
        </w:rPr>
        <w:t>1.20</w:t>
      </w:r>
      <w:r w:rsidR="003C1732">
        <w:rPr>
          <w:rFonts w:cs="Open Sans"/>
        </w:rPr>
        <w:t xml:space="preserve"> [</w:t>
      </w:r>
      <w:r w:rsidR="00FB4F4C">
        <w:rPr>
          <w:rFonts w:cs="Open Sans"/>
        </w:rPr>
        <w:t>1.04</w:t>
      </w:r>
      <w:r w:rsidR="003C1732">
        <w:rPr>
          <w:rFonts w:cs="Open Sans"/>
        </w:rPr>
        <w:t>, 1.</w:t>
      </w:r>
      <w:r w:rsidR="00FB4F4C">
        <w:rPr>
          <w:rFonts w:cs="Open Sans"/>
        </w:rPr>
        <w:t>37</w:t>
      </w:r>
      <w:r w:rsidR="003C1732">
        <w:rPr>
          <w:rFonts w:cs="Open Sans"/>
        </w:rPr>
        <w:t>]) and 3-hourly level (r = 0.</w:t>
      </w:r>
      <w:r w:rsidR="00FB4F4C">
        <w:rPr>
          <w:rFonts w:cs="Open Sans"/>
        </w:rPr>
        <w:t xml:space="preserve">66, </w:t>
      </w:r>
      <w:r w:rsidR="00FB4F4C" w:rsidRPr="001D31D8">
        <w:rPr>
          <w:rFonts w:cs="Open Sans"/>
        </w:rPr>
        <w:t>R</w:t>
      </w:r>
      <w:r w:rsidR="00FB4F4C" w:rsidRPr="001D31D8">
        <w:rPr>
          <w:rFonts w:cs="Open Sans"/>
          <w:vertAlign w:val="superscript"/>
        </w:rPr>
        <w:t>2</w:t>
      </w:r>
      <w:r w:rsidR="00FB4F4C">
        <w:rPr>
          <w:rFonts w:cs="Open Sans"/>
        </w:rPr>
        <w:t xml:space="preserve"> =</w:t>
      </w:r>
      <w:r w:rsidR="00FB4F4C">
        <w:rPr>
          <w:rFonts w:cs="Open Sans"/>
        </w:rPr>
        <w:t xml:space="preserve"> 0.44, </w:t>
      </w:r>
      <w:r w:rsidR="007F485D">
        <w:rPr>
          <w:rFonts w:cs="Open Sans"/>
        </w:rPr>
        <w:t>p &lt; 0.001, slope = 1.16 [0.91, 1.41]</w:t>
      </w:r>
      <w:r w:rsidR="003C1732">
        <w:rPr>
          <w:rFonts w:cs="Open Sans"/>
        </w:rPr>
        <w:t>).</w:t>
      </w:r>
    </w:p>
    <w:p w14:paraId="57585DD1" w14:textId="7268C720" w:rsidR="00AA4CD2" w:rsidRDefault="007B3D77" w:rsidP="0061710E">
      <w:pPr>
        <w:ind w:firstLine="720"/>
        <w:rPr>
          <w:rFonts w:cs="Open Sans"/>
        </w:rPr>
      </w:pPr>
      <w:r>
        <w:rPr>
          <w:rFonts w:cs="Open Sans"/>
        </w:rPr>
        <w:t>These results indicate that</w:t>
      </w:r>
      <w:r w:rsidR="00E36DC2">
        <w:rPr>
          <w:rFonts w:cs="Open Sans"/>
        </w:rPr>
        <w:t xml:space="preserve"> while E and relative humidity are negatively correlated as expected</w:t>
      </w:r>
      <w:r w:rsidR="00B941EE">
        <w:rPr>
          <w:rFonts w:cs="Open Sans"/>
        </w:rPr>
        <w:t xml:space="preserve"> (M </w:t>
      </w:r>
      <m:oMath>
        <m:r>
          <w:rPr>
            <w:rFonts w:ascii="Cambria Math" w:hAnsi="Cambria Math" w:cs="Open Sans"/>
          </w:rPr>
          <m:t>∝</m:t>
        </m:r>
      </m:oMath>
      <w:r w:rsidR="00B941EE">
        <w:rPr>
          <w:rFonts w:eastAsiaTheme="minorEastAsia" w:cs="Open Sans"/>
        </w:rPr>
        <w:t xml:space="preserve"> relative humidity)</w:t>
      </w:r>
      <w:r w:rsidR="00E36DC2">
        <w:rPr>
          <w:rFonts w:cs="Open Sans"/>
        </w:rPr>
        <w:t xml:space="preserve">, W is </w:t>
      </w:r>
      <w:r w:rsidR="00E36DC2" w:rsidRPr="007B3D77">
        <w:rPr>
          <w:rFonts w:cs="Open Sans"/>
          <w:i/>
          <w:iCs/>
        </w:rPr>
        <w:t>positively</w:t>
      </w:r>
      <w:r w:rsidR="00E36DC2">
        <w:rPr>
          <w:rFonts w:cs="Open Sans"/>
        </w:rPr>
        <w:t xml:space="preserve"> correlated with humidity</w:t>
      </w:r>
      <w:r w:rsidR="0061710E">
        <w:rPr>
          <w:rFonts w:cs="Open Sans"/>
        </w:rPr>
        <w:t xml:space="preserve">, suggesting that the negative feedback induced thermodynamically by E is balanced dynamically by W. Furthermore, measurements of cloud fraction show </w:t>
      </w:r>
      <w:r>
        <w:rPr>
          <w:rFonts w:cs="Open Sans"/>
        </w:rPr>
        <w:t>a</w:t>
      </w:r>
      <w:r w:rsidR="00B941EE">
        <w:rPr>
          <w:rFonts w:cs="Open Sans"/>
        </w:rPr>
        <w:t xml:space="preserve"> strong</w:t>
      </w:r>
      <w:r w:rsidR="0061710E">
        <w:rPr>
          <w:rFonts w:cs="Open Sans"/>
        </w:rPr>
        <w:t xml:space="preserve"> positive correlat</w:t>
      </w:r>
      <w:r>
        <w:rPr>
          <w:rFonts w:cs="Open Sans"/>
        </w:rPr>
        <w:t>ion</w:t>
      </w:r>
      <w:r w:rsidR="0061710E">
        <w:rPr>
          <w:rFonts w:cs="Open Sans"/>
        </w:rPr>
        <w:t xml:space="preserve"> to M (r = 0.72), not </w:t>
      </w:r>
      <w:r>
        <w:rPr>
          <w:rFonts w:cs="Open Sans"/>
        </w:rPr>
        <w:t xml:space="preserve">a </w:t>
      </w:r>
      <w:r w:rsidR="0061710E">
        <w:rPr>
          <w:rFonts w:cs="Open Sans"/>
        </w:rPr>
        <w:t>negative</w:t>
      </w:r>
      <w:r>
        <w:rPr>
          <w:rFonts w:cs="Open Sans"/>
        </w:rPr>
        <w:t xml:space="preserve"> one</w:t>
      </w:r>
      <w:r w:rsidR="0061710E">
        <w:rPr>
          <w:rFonts w:cs="Open Sans"/>
        </w:rPr>
        <w:t>. The authors note that</w:t>
      </w:r>
      <w:r w:rsidR="003C1732">
        <w:rPr>
          <w:rFonts w:cs="Open Sans"/>
        </w:rPr>
        <w:t xml:space="preserve"> cloud fraction (which is observed separately from W and E using the BASTILIAS radar aboard the ATR aircraft) is</w:t>
      </w:r>
      <w:r w:rsidR="0061710E">
        <w:rPr>
          <w:rFonts w:cs="Open Sans"/>
        </w:rPr>
        <w:t xml:space="preserve"> only</w:t>
      </w:r>
      <w:r w:rsidR="003C1732">
        <w:rPr>
          <w:rFonts w:cs="Open Sans"/>
        </w:rPr>
        <w:t xml:space="preserve"> highly correlated to their calculated mass flux when averaged over 3-hr </w:t>
      </w:r>
      <w:r w:rsidR="0061710E">
        <w:rPr>
          <w:rFonts w:cs="Open Sans"/>
        </w:rPr>
        <w:t>intervals and</w:t>
      </w:r>
      <w:r w:rsidR="00B941EE">
        <w:rPr>
          <w:rFonts w:cs="Open Sans"/>
        </w:rPr>
        <w:t xml:space="preserve"> that</w:t>
      </w:r>
      <w:r w:rsidR="003C1732">
        <w:rPr>
          <w:rFonts w:cs="Open Sans"/>
        </w:rPr>
        <w:t xml:space="preserve"> </w:t>
      </w:r>
      <w:r w:rsidR="0061710E">
        <w:rPr>
          <w:rFonts w:cs="Open Sans"/>
        </w:rPr>
        <w:t>the correlation</w:t>
      </w:r>
      <w:r w:rsidR="003C1732">
        <w:rPr>
          <w:rFonts w:cs="Open Sans"/>
        </w:rPr>
        <w:t xml:space="preserve"> may be weaker at shorter timescales</w:t>
      </w:r>
      <w:r w:rsidR="0061710E">
        <w:rPr>
          <w:rFonts w:cs="Open Sans"/>
        </w:rPr>
        <w:t>.</w:t>
      </w:r>
      <w:r w:rsidR="003C1732">
        <w:rPr>
          <w:rFonts w:cs="Open Sans"/>
        </w:rPr>
        <w:t xml:space="preserve"> </w:t>
      </w:r>
      <w:r w:rsidR="0061710E">
        <w:rPr>
          <w:rFonts w:cs="Open Sans"/>
        </w:rPr>
        <w:t>This is because</w:t>
      </w:r>
      <w:r w:rsidR="003C1732">
        <w:rPr>
          <w:rFonts w:cs="Open Sans"/>
        </w:rPr>
        <w:t xml:space="preserve"> although the ATR flies concurrently with the HALO aircraft</w:t>
      </w:r>
      <w:r w:rsidR="0061710E">
        <w:rPr>
          <w:rFonts w:cs="Open Sans"/>
        </w:rPr>
        <w:t xml:space="preserve"> which measures W</w:t>
      </w:r>
      <w:r w:rsidR="003C1732">
        <w:rPr>
          <w:rFonts w:cs="Open Sans"/>
        </w:rPr>
        <w:t>, it is restricted to a much smaller portion of the western averaging circle. Therefore, the observed cloud fraction is not directly comparable to the mass flux which is calculated over the entirety of the averaging area.</w:t>
      </w:r>
      <w:r w:rsidR="003C1732" w:rsidRPr="003B56E0">
        <w:rPr>
          <w:rFonts w:cs="Open Sans"/>
        </w:rPr>
        <w:t xml:space="preserve"> </w:t>
      </w:r>
    </w:p>
    <w:p w14:paraId="5C3B7C42" w14:textId="45AA3D49" w:rsidR="00AA4CD2" w:rsidRDefault="00473997" w:rsidP="0061710E">
      <w:pPr>
        <w:ind w:firstLine="720"/>
        <w:rPr>
          <w:rFonts w:cs="Open Sans"/>
        </w:rPr>
      </w:pPr>
      <w:r>
        <w:rPr>
          <w:rFonts w:cs="Open Sans"/>
        </w:rPr>
        <w:t xml:space="preserve">The EUREC4A campaign </w:t>
      </w:r>
      <w:r>
        <w:rPr>
          <w:rFonts w:cs="Open Sans"/>
        </w:rPr>
        <w:t>–</w:t>
      </w:r>
      <w:r>
        <w:rPr>
          <w:rFonts w:cs="Open Sans"/>
        </w:rPr>
        <w:t xml:space="preserve"> which has provided invaluable in situ observations of shallow marine cumul</w:t>
      </w:r>
      <w:r w:rsidR="000D0EC3">
        <w:rPr>
          <w:rFonts w:cs="Open Sans"/>
        </w:rPr>
        <w:t>i</w:t>
      </w:r>
      <w:r>
        <w:rPr>
          <w:rFonts w:cs="Open Sans"/>
        </w:rPr>
        <w:t xml:space="preserve"> </w:t>
      </w:r>
      <w:r>
        <w:rPr>
          <w:rFonts w:cs="Open Sans"/>
        </w:rPr>
        <w:t>–</w:t>
      </w:r>
      <w:r>
        <w:rPr>
          <w:rFonts w:cs="Open Sans"/>
        </w:rPr>
        <w:t xml:space="preserve"> is limited </w:t>
      </w:r>
      <w:r w:rsidR="009840ED">
        <w:rPr>
          <w:rFonts w:cs="Open Sans"/>
        </w:rPr>
        <w:t>by its</w:t>
      </w:r>
      <w:r w:rsidR="00E020F4">
        <w:rPr>
          <w:rFonts w:cs="Open Sans"/>
        </w:rPr>
        <w:t xml:space="preserve"> relatively small temporal and spatial scale</w:t>
      </w:r>
      <w:r w:rsidR="00D32D0B">
        <w:rPr>
          <w:rFonts w:cs="Open Sans"/>
        </w:rPr>
        <w:t>s</w:t>
      </w:r>
      <w:r>
        <w:rPr>
          <w:rFonts w:cs="Open Sans"/>
        </w:rPr>
        <w:t xml:space="preserve">. </w:t>
      </w:r>
      <w:r w:rsidR="000D0EC3">
        <w:rPr>
          <w:rFonts w:cs="Open Sans"/>
        </w:rPr>
        <w:t>Geostationary satellites, such as the GOES constellation, however, offer broad spatial coverage and a continuous record spanning several decades back. With a reasonable mathematical model, satellite measurements</w:t>
      </w:r>
      <w:r w:rsidR="00C7581E">
        <w:rPr>
          <w:rFonts w:cs="Open Sans"/>
        </w:rPr>
        <w:t xml:space="preserve"> of cloud top height and cloud-top brightness</w:t>
      </w:r>
      <w:r w:rsidR="000D0EC3">
        <w:rPr>
          <w:rFonts w:cs="Open Sans"/>
        </w:rPr>
        <w:t xml:space="preserve"> </w:t>
      </w:r>
      <w:r w:rsidR="000D0EC3">
        <w:rPr>
          <w:rFonts w:cs="Open Sans"/>
        </w:rPr>
        <w:lastRenderedPageBreak/>
        <w:t xml:space="preserve">could be tuned and constrained by the EUREC4A observations to </w:t>
      </w:r>
      <w:r w:rsidR="00C7581E">
        <w:rPr>
          <w:rFonts w:cs="Open Sans"/>
        </w:rPr>
        <w:t>estimate the mesoscale circulation of shallow marine convective systems.</w:t>
      </w:r>
    </w:p>
    <w:p w14:paraId="1BE53DF0" w14:textId="77777777" w:rsidR="00AA4CD2" w:rsidRDefault="00AA4CD2" w:rsidP="0061710E">
      <w:pPr>
        <w:ind w:firstLine="720"/>
        <w:rPr>
          <w:rFonts w:cs="Open Sans"/>
        </w:rPr>
      </w:pPr>
    </w:p>
    <w:p w14:paraId="48F69DA5" w14:textId="77777777" w:rsidR="00C7581E" w:rsidRDefault="00C7581E" w:rsidP="0061710E">
      <w:pPr>
        <w:ind w:firstLine="720"/>
        <w:rPr>
          <w:rFonts w:cs="Open Sans"/>
        </w:rPr>
      </w:pPr>
    </w:p>
    <w:p w14:paraId="51BCAA51" w14:textId="77777777" w:rsidR="00C7581E" w:rsidRPr="00E23706" w:rsidRDefault="00C7581E" w:rsidP="00C7581E">
      <w:pPr>
        <w:rPr>
          <w:b/>
          <w:bCs/>
        </w:rPr>
      </w:pPr>
      <w:r w:rsidRPr="00E23706">
        <w:rPr>
          <w:b/>
          <w:bCs/>
        </w:rPr>
        <w:t>Calculating</w:t>
      </w:r>
      <w:r>
        <w:rPr>
          <w:b/>
          <w:bCs/>
        </w:rPr>
        <w:t xml:space="preserve"> divergence and</w:t>
      </w:r>
      <w:r w:rsidRPr="00E23706">
        <w:rPr>
          <w:b/>
          <w:bCs/>
        </w:rPr>
        <w:t xml:space="preserve"> the </w:t>
      </w:r>
      <w:r>
        <w:rPr>
          <w:b/>
          <w:bCs/>
        </w:rPr>
        <w:t>d</w:t>
      </w:r>
      <w:r w:rsidRPr="00E23706">
        <w:rPr>
          <w:b/>
          <w:bCs/>
        </w:rPr>
        <w:t xml:space="preserve">ivergent </w:t>
      </w:r>
      <w:r>
        <w:rPr>
          <w:b/>
          <w:bCs/>
        </w:rPr>
        <w:t>w</w:t>
      </w:r>
      <w:r w:rsidRPr="00E23706">
        <w:rPr>
          <w:b/>
          <w:bCs/>
        </w:rPr>
        <w:t xml:space="preserve">ind </w:t>
      </w:r>
      <w:r>
        <w:rPr>
          <w:b/>
          <w:bCs/>
        </w:rPr>
        <w:t>f</w:t>
      </w:r>
      <w:r w:rsidRPr="00E23706">
        <w:rPr>
          <w:b/>
          <w:bCs/>
        </w:rPr>
        <w:t xml:space="preserve">ield associated with shallow marine convection from GOES IR measurements </w:t>
      </w:r>
    </w:p>
    <w:p w14:paraId="4DDECCFA" w14:textId="77777777" w:rsidR="00C7581E" w:rsidRDefault="00C7581E" w:rsidP="00C7581E"/>
    <w:p w14:paraId="776A84B5" w14:textId="4A4FC870" w:rsidR="00C7581E" w:rsidRDefault="00C7581E" w:rsidP="000B479D">
      <w:pPr>
        <w:ind w:firstLine="720"/>
      </w:pPr>
      <w:r w:rsidRPr="000E3EB1">
        <w:t xml:space="preserve">The GOES satellite network provides </w:t>
      </w:r>
      <w:r>
        <w:t>infrared (IR)</w:t>
      </w:r>
      <w:r w:rsidRPr="000E3EB1">
        <w:t xml:space="preserve"> measurements of cloud top reflectivity and cloud top height at a 2-km horizontal resolution every 20 minutes</w:t>
      </w:r>
      <w:r>
        <w:t>. U</w:t>
      </w:r>
      <w:r w:rsidRPr="000E3EB1">
        <w:t xml:space="preserve">sing </w:t>
      </w:r>
      <w:r>
        <w:t>a</w:t>
      </w:r>
      <w:r w:rsidRPr="000E3EB1">
        <w:t xml:space="preserve"> cloud moisture balance model</w:t>
      </w:r>
      <w:r>
        <w:t>,</w:t>
      </w:r>
      <w:r w:rsidRPr="000E3EB1">
        <w:t xml:space="preserve"> </w:t>
      </w:r>
      <w:r>
        <w:t xml:space="preserve">these </w:t>
      </w:r>
      <w:r w:rsidRPr="000E3EB1">
        <w:t>can be used to compute the mesoscale</w:t>
      </w:r>
      <w:r>
        <w:t xml:space="preserve"> divergence and</w:t>
      </w:r>
      <w:r w:rsidRPr="000E3EB1">
        <w:t xml:space="preserve"> divergent wind field. ∆x and ∆y are used in the computation to normalize differences in pixel size across the GOES domain due to beam divergence.</w:t>
      </w:r>
    </w:p>
    <w:p w14:paraId="0ACCDF30" w14:textId="77777777" w:rsidR="00C7581E" w:rsidRDefault="00C7581E" w:rsidP="0061710E">
      <w:pPr>
        <w:ind w:firstLine="720"/>
        <w:rPr>
          <w:rFonts w:cs="Open Sans"/>
        </w:rPr>
      </w:pPr>
    </w:p>
    <w:p w14:paraId="3628A870" w14:textId="0988BD5C" w:rsidR="000B479D" w:rsidRDefault="000B479D" w:rsidP="000B479D">
      <w:pPr>
        <w:rPr>
          <w:b/>
          <w:bCs/>
        </w:rPr>
      </w:pPr>
      <w:r w:rsidRPr="00E23706">
        <w:rPr>
          <w:b/>
          <w:bCs/>
        </w:rPr>
        <w:t>M</w:t>
      </w:r>
      <w:r>
        <w:rPr>
          <w:b/>
          <w:bCs/>
        </w:rPr>
        <w:t>ethodology</w:t>
      </w:r>
    </w:p>
    <w:p w14:paraId="095B0DB4" w14:textId="3EAE4EC4" w:rsidR="00B303BA" w:rsidRDefault="000B479D" w:rsidP="000B479D">
      <w:pPr>
        <w:ind w:firstLine="720"/>
      </w:pPr>
      <w:r>
        <w:t xml:space="preserve">In the model, </w:t>
      </w:r>
      <w:r w:rsidR="00B303BA">
        <w:t>mass fluxes are diagnosed through a vertical water budget with widespread subsidence in clear-sky areas balancing shallow cloud updrafts. Cloud updrafts</w:t>
      </w:r>
      <w:r w:rsidR="00DE6C14">
        <w:t xml:space="preserve"> (</w:t>
      </w:r>
      <m:oMath>
        <m:sSub>
          <m:sSubPr>
            <m:ctrlPr>
              <w:rPr>
                <w:rFonts w:ascii="Cambria Math" w:hAnsi="Cambria Math"/>
                <w:i/>
              </w:rPr>
            </m:ctrlPr>
          </m:sSubPr>
          <m:e>
            <m:r>
              <w:rPr>
                <w:rFonts w:ascii="Cambria Math" w:hAnsi="Cambria Math"/>
              </w:rPr>
              <m:t>F</m:t>
            </m:r>
          </m:e>
          <m:sub>
            <m:r>
              <w:rPr>
                <w:rFonts w:ascii="Cambria Math" w:hAnsi="Cambria Math"/>
              </w:rPr>
              <m:t>cld</m:t>
            </m:r>
          </m:sub>
        </m:sSub>
      </m:oMath>
      <w:r w:rsidR="00DE6C14">
        <w:rPr>
          <w:rFonts w:eastAsiaTheme="minorEastAsia"/>
        </w:rPr>
        <w:t>)</w:t>
      </w:r>
      <w:r w:rsidR="00B303BA">
        <w:t xml:space="preserve"> contribute the vast majority of the climatological eddy flux and are defined as:</w:t>
      </w:r>
    </w:p>
    <w:p w14:paraId="3FC72ACB" w14:textId="06A32309" w:rsidR="00B303BA" w:rsidRPr="00DE6C14" w:rsidRDefault="00B303BA" w:rsidP="00B303BA">
      <w:pPr>
        <w:ind w:firstLine="720"/>
        <w:jc w:val="center"/>
        <w:rPr>
          <w:rFonts w:eastAsiaTheme="minorEastAsia"/>
        </w:rPr>
      </w:pPr>
      <m:oMathPara>
        <m:oMath>
          <m:sSub>
            <m:sSubPr>
              <m:ctrlPr>
                <w:rPr>
                  <w:rFonts w:ascii="Cambria Math" w:hAnsi="Cambria Math"/>
                  <w:i/>
                </w:rPr>
              </m:ctrlPr>
            </m:sSubPr>
            <m:e>
              <m:r>
                <w:rPr>
                  <w:rFonts w:ascii="Cambria Math" w:hAnsi="Cambria Math"/>
                </w:rPr>
                <m:t>F</m:t>
              </m:r>
            </m:e>
            <m:sub>
              <m:r>
                <w:rPr>
                  <w:rFonts w:ascii="Cambria Math" w:hAnsi="Cambria Math"/>
                </w:rPr>
                <m:t>cld</m:t>
              </m:r>
            </m:sub>
          </m:sSub>
          <m:r>
            <w:rPr>
              <w:rFonts w:ascii="Cambria Math" w:hAnsi="Cambria Math"/>
            </w:rPr>
            <m:t>=</m:t>
          </m:r>
          <m:r>
            <w:rPr>
              <w:rFonts w:ascii="Cambria Math" w:hAnsi="Cambria Math"/>
            </w:rPr>
            <m:t>W(</m:t>
          </m:r>
          <m:sSub>
            <m:sSubPr>
              <m:ctrlPr>
                <w:rPr>
                  <w:rFonts w:ascii="Cambria Math" w:hAnsi="Cambria Math"/>
                  <w:i/>
                </w:rPr>
              </m:ctrlPr>
            </m:sSubPr>
            <m:e>
              <m:r>
                <w:rPr>
                  <w:rFonts w:ascii="Cambria Math" w:hAnsi="Cambria Math"/>
                </w:rPr>
                <m:t>q</m:t>
              </m:r>
            </m:e>
            <m:sub>
              <m:r>
                <w:rPr>
                  <w:rFonts w:ascii="Cambria Math" w:hAnsi="Cambria Math"/>
                </w:rPr>
                <m:t>up</m:t>
              </m:r>
            </m:sub>
          </m:sSub>
          <m:r>
            <w:rPr>
              <w:rFonts w:ascii="Cambria Math" w:hAnsi="Cambria Math"/>
            </w:rPr>
            <m:t>-q)</m:t>
          </m:r>
        </m:oMath>
      </m:oMathPara>
    </w:p>
    <w:p w14:paraId="23F9AB0E" w14:textId="5B07187D" w:rsidR="00C36A0C" w:rsidRDefault="00DE6C14" w:rsidP="0031609F">
      <w:pPr>
        <w:ind w:firstLine="720"/>
      </w:pPr>
      <w:r>
        <w:rPr>
          <w:rFonts w:eastAsiaTheme="minorEastAsia"/>
        </w:rPr>
        <w:t xml:space="preserve">where </w:t>
      </w:r>
      <m:oMath>
        <m:r>
          <w:rPr>
            <w:rFonts w:ascii="Cambria Math" w:hAnsi="Cambria Math"/>
          </w:rPr>
          <m:t>W</m:t>
        </m:r>
      </m:oMath>
      <w:r>
        <w:rPr>
          <w:rFonts w:eastAsiaTheme="minorEastAsia"/>
        </w:rPr>
        <w:t xml:space="preserve"> is vertical velocity (m/s)</w:t>
      </w:r>
      <w:r w:rsidR="0031609F">
        <w:rPr>
          <w:rFonts w:eastAsiaTheme="minorEastAsia"/>
        </w:rPr>
        <w:t xml:space="preserve"> multiplied by the cloud fraction</w:t>
      </w:r>
      <w:r>
        <w:rPr>
          <w:rFonts w:eastAsiaTheme="minorEastAsia"/>
        </w:rPr>
        <w:t xml:space="preserve">, </w:t>
      </w:r>
      <m:oMath>
        <m:sSub>
          <m:sSubPr>
            <m:ctrlPr>
              <w:rPr>
                <w:rFonts w:ascii="Cambria Math" w:hAnsi="Cambria Math"/>
                <w:i/>
              </w:rPr>
            </m:ctrlPr>
          </m:sSubPr>
          <m:e>
            <m:r>
              <w:rPr>
                <w:rFonts w:ascii="Cambria Math" w:hAnsi="Cambria Math"/>
              </w:rPr>
              <m:t>q</m:t>
            </m:r>
          </m:e>
          <m:sub>
            <m:r>
              <w:rPr>
                <w:rFonts w:ascii="Cambria Math" w:hAnsi="Cambria Math"/>
              </w:rPr>
              <m:t>up</m:t>
            </m:r>
          </m:sub>
        </m:sSub>
      </m:oMath>
      <w:r>
        <w:rPr>
          <w:rFonts w:eastAsiaTheme="minorEastAsia"/>
        </w:rPr>
        <w:t xml:space="preserve"> is the </w:t>
      </w:r>
      <w:commentRangeStart w:id="0"/>
      <w:r>
        <w:rPr>
          <w:rFonts w:eastAsiaTheme="minorEastAsia"/>
        </w:rPr>
        <w:t>updraft specific humidity</w:t>
      </w:r>
      <w:commentRangeEnd w:id="0"/>
      <w:r>
        <w:rPr>
          <w:rStyle w:val="CommentReference"/>
          <w:rFonts w:eastAsiaTheme="minorEastAsia"/>
          <w:sz w:val="24"/>
          <w:szCs w:val="24"/>
        </w:rPr>
        <w:commentReference w:id="0"/>
      </w:r>
      <w:r>
        <w:rPr>
          <w:rFonts w:eastAsiaTheme="minorEastAsia"/>
        </w:rPr>
        <w:t xml:space="preserve"> (g/kg), and </w:t>
      </w:r>
      <m:oMath>
        <m:r>
          <w:rPr>
            <w:rFonts w:ascii="Cambria Math" w:hAnsi="Cambria Math"/>
          </w:rPr>
          <m:t>q</m:t>
        </m:r>
      </m:oMath>
      <w:r>
        <w:rPr>
          <w:rFonts w:eastAsiaTheme="minorEastAsia"/>
        </w:rPr>
        <w:t xml:space="preserve"> is the environmental specific humidity (</w:t>
      </w:r>
      <w:commentRangeStart w:id="1"/>
      <w:r>
        <w:rPr>
          <w:rFonts w:eastAsiaTheme="minorEastAsia"/>
        </w:rPr>
        <w:t>g/kg</w:t>
      </w:r>
      <w:commentRangeEnd w:id="1"/>
      <w:r>
        <w:rPr>
          <w:rStyle w:val="CommentReference"/>
          <w:rFonts w:eastAsiaTheme="minorEastAsia"/>
          <w:sz w:val="24"/>
          <w:szCs w:val="24"/>
        </w:rPr>
        <w:commentReference w:id="1"/>
      </w:r>
      <w:r>
        <w:rPr>
          <w:rFonts w:eastAsiaTheme="minorEastAsia"/>
        </w:rPr>
        <w:t>)</w:t>
      </w:r>
      <w:r w:rsidR="0031609F">
        <w:rPr>
          <w:rFonts w:eastAsiaTheme="minorEastAsia"/>
        </w:rPr>
        <w:t>. Solving for the cloud specific humidity</w:t>
      </w:r>
      <w:r w:rsidR="00C36A0C">
        <w:rPr>
          <w:rFonts w:eastAsiaTheme="minorEastAsia"/>
        </w:rPr>
        <w:t xml:space="preserve"> can yield a variety of cloud-top heights as determined through the </w:t>
      </w:r>
      <w:r w:rsidR="0031609F">
        <w:rPr>
          <w:rFonts w:eastAsiaTheme="minorEastAsia"/>
        </w:rPr>
        <w:t>the total sink rate</w:t>
      </w:r>
      <w:r w:rsidR="00B75BB3">
        <w:rPr>
          <w:rFonts w:eastAsiaTheme="minorEastAsia"/>
        </w:rPr>
        <w:t xml:space="preserve">, which </w:t>
      </w:r>
      <w:r w:rsidR="0031609F">
        <w:rPr>
          <w:rFonts w:eastAsiaTheme="minorEastAsia"/>
        </w:rPr>
        <w:t xml:space="preserve">is calculated by prescribing scalar values to the </w:t>
      </w:r>
      <w:r w:rsidR="000B479D" w:rsidRPr="000E3EB1">
        <w:t>autoconversion of cloud liquid water to precipitation and</w:t>
      </w:r>
      <w:r w:rsidR="000B479D">
        <w:t xml:space="preserve"> </w:t>
      </w:r>
      <w:r w:rsidR="00B75BB3">
        <w:t>to</w:t>
      </w:r>
      <w:r w:rsidR="000B479D" w:rsidRPr="000E3EB1">
        <w:t xml:space="preserve"> </w:t>
      </w:r>
      <w:r w:rsidR="00C36A0C" w:rsidRPr="000E3EB1">
        <w:t>entrainment</w:t>
      </w:r>
      <w:r w:rsidR="00B75BB3">
        <w:t>.</w:t>
      </w:r>
      <w:r w:rsidR="00C36A0C">
        <w:t xml:space="preserve"> </w:t>
      </w:r>
      <w:r w:rsidR="00B75BB3">
        <w:t>Weaker</w:t>
      </w:r>
      <w:r w:rsidR="000B479D">
        <w:t xml:space="preserve"> total</w:t>
      </w:r>
      <w:r w:rsidR="000B479D">
        <w:t xml:space="preserve"> sink rates </w:t>
      </w:r>
      <w:r w:rsidR="00B75BB3">
        <w:t xml:space="preserve">will produce </w:t>
      </w:r>
      <w:r w:rsidR="000B479D">
        <w:t xml:space="preserve">taller cloud tops due to </w:t>
      </w:r>
      <w:r w:rsidR="000B479D">
        <w:t>a reduction in cloud column drying</w:t>
      </w:r>
      <w:r w:rsidR="00B75BB3">
        <w:t>, and vice versa</w:t>
      </w:r>
      <w:r w:rsidR="000B479D">
        <w:t xml:space="preserve">. </w:t>
      </w:r>
    </w:p>
    <w:p w14:paraId="50D2A1D6" w14:textId="7B057FDC" w:rsidR="000B479D" w:rsidRPr="0031609F" w:rsidRDefault="000B479D" w:rsidP="0031609F">
      <w:pPr>
        <w:ind w:firstLine="720"/>
        <w:rPr>
          <w:rFonts w:eastAsiaTheme="minorEastAsia"/>
        </w:rPr>
      </w:pPr>
      <w:r>
        <w:t>For each sink rate and</w:t>
      </w:r>
      <w:r>
        <w:t xml:space="preserve"> its</w:t>
      </w:r>
      <w:r>
        <w:t xml:space="preserve"> corresponding cloud-top height value, a </w:t>
      </w:r>
      <w:r>
        <w:t>vertical velocity (w)</w:t>
      </w:r>
      <w:r>
        <w:t xml:space="preserve"> </w:t>
      </w:r>
      <w:r w:rsidR="00160308">
        <w:t xml:space="preserve">vertical </w:t>
      </w:r>
      <w:r>
        <w:t>profile</w:t>
      </w:r>
      <w:r w:rsidR="00C823C8">
        <w:t xml:space="preserve"> for the cloud</w:t>
      </w:r>
      <w:r>
        <w:t xml:space="preserve"> can be computed</w:t>
      </w:r>
      <w:r w:rsidR="007E4759">
        <w:t xml:space="preserve">. Thus, </w:t>
      </w:r>
      <w:r w:rsidR="00B75BB3">
        <w:t>a vertical velocity value can be determined directly from</w:t>
      </w:r>
      <w:r w:rsidR="007E4759">
        <w:t xml:space="preserve"> </w:t>
      </w:r>
      <w:r>
        <w:t>GOES observation of cloud top height.</w:t>
      </w:r>
      <w:r w:rsidR="00C823C8">
        <w:t xml:space="preserve"> Because w is only computed</w:t>
      </w:r>
      <w:r w:rsidR="00160308">
        <w:t xml:space="preserve"> for cloudy pixels </w:t>
      </w:r>
      <w:r w:rsidR="00C823C8">
        <w:t>and does not resolve inter-cloud eddies, all w values are positive</w:t>
      </w:r>
      <w:r w:rsidR="00AD7E16">
        <w:t xml:space="preserve"> (upwards)</w:t>
      </w:r>
      <w:r w:rsidR="00C823C8">
        <w:t>.</w:t>
      </w:r>
      <w:r>
        <w:t xml:space="preserve"> Note that</w:t>
      </w:r>
      <w:r w:rsidR="00C823C8">
        <w:t xml:space="preserve"> the lower-case ‘w’ here denotes an instantaneous, pixel-sized</w:t>
      </w:r>
      <w:r w:rsidR="00160308">
        <w:t>,</w:t>
      </w:r>
      <w:r w:rsidR="00C823C8">
        <w:t xml:space="preserve"> upward vertical velocity whereas in the above section, the upper-case ‘W’ used in the Vogel paper and JOANNE dataset denotes a spatially-large, time-averaged value of both upward and downward fluxes.</w:t>
      </w:r>
      <w:r w:rsidR="007E4759">
        <w:t xml:space="preserve"> The large W in the cloud eddy flux is technically a mass flux. </w:t>
      </w:r>
    </w:p>
    <w:p w14:paraId="3B975DB8" w14:textId="490F93A8" w:rsidR="000B479D" w:rsidRDefault="00B75BB3" w:rsidP="009858B5">
      <w:pPr>
        <w:ind w:firstLine="720"/>
      </w:pPr>
      <w:r>
        <w:lastRenderedPageBreak/>
        <w:t>To calculate divergence</w:t>
      </w:r>
      <w:r w:rsidR="00AD7E16">
        <w:t xml:space="preserve">, </w:t>
      </w:r>
      <w:r w:rsidR="000B479D">
        <w:t>GOES c</w:t>
      </w:r>
      <w:r w:rsidR="000B479D" w:rsidRPr="000E3EB1">
        <w:t>loud top heights are masked out above 3.6km to limit the cloud field to shallow convection, and cloud base is uniformly assumed to be 0.6km above the surface.</w:t>
      </w:r>
      <w:r w:rsidR="00160308">
        <w:t xml:space="preserve"> Cloud base</w:t>
      </w:r>
      <w:r w:rsidR="009858B5">
        <w:t xml:space="preserve"> height</w:t>
      </w:r>
      <w:r w:rsidR="00160308">
        <w:t>, or the lifting condensation level, fluctuates little in marine environments (ref?).</w:t>
      </w:r>
      <w:r w:rsidR="000B479D">
        <w:t xml:space="preserve"> </w:t>
      </w:r>
      <w:commentRangeStart w:id="2"/>
      <w:r w:rsidR="00AD7E16">
        <w:t>A</w:t>
      </w:r>
      <w:r w:rsidR="00160308">
        <w:t xml:space="preserve"> computed</w:t>
      </w:r>
      <w:r w:rsidR="000B479D" w:rsidRPr="000E3EB1">
        <w:t xml:space="preserve"> vertical velocity value (m/s)</w:t>
      </w:r>
      <w:r w:rsidR="00160308">
        <w:t xml:space="preserve"> at cloud base</w:t>
      </w:r>
      <w:r w:rsidR="000B479D" w:rsidRPr="000E3EB1">
        <w:t xml:space="preserve"> is then assigned </w:t>
      </w:r>
      <w:r w:rsidR="009858B5">
        <w:t>to</w:t>
      </w:r>
      <w:r w:rsidR="000B479D" w:rsidRPr="000E3EB1">
        <w:t xml:space="preserve"> each cloud</w:t>
      </w:r>
      <w:r w:rsidR="009858B5">
        <w:t>y</w:t>
      </w:r>
      <w:r w:rsidR="000B479D" w:rsidRPr="000E3EB1">
        <w:t xml:space="preserve"> grid point</w:t>
      </w:r>
      <w:r w:rsidR="009858B5">
        <w:t xml:space="preserve">, </w:t>
      </w:r>
      <w:r w:rsidR="000B479D">
        <w:t>correspond</w:t>
      </w:r>
      <w:r w:rsidR="009858B5">
        <w:t>ing</w:t>
      </w:r>
      <w:r w:rsidR="000B479D">
        <w:t xml:space="preserve"> to its</w:t>
      </w:r>
      <w:r w:rsidR="000B479D" w:rsidRPr="000E3EB1">
        <w:t xml:space="preserve"> cloud top height</w:t>
      </w:r>
      <w:r w:rsidR="000B479D">
        <w:t>.</w:t>
      </w:r>
      <w:commentRangeEnd w:id="2"/>
      <w:r>
        <w:rPr>
          <w:rStyle w:val="CommentReference"/>
          <w:sz w:val="24"/>
          <w:szCs w:val="24"/>
        </w:rPr>
        <w:commentReference w:id="2"/>
      </w:r>
    </w:p>
    <w:p w14:paraId="38F3208E" w14:textId="7E83BEEB" w:rsidR="000B479D" w:rsidRPr="000E3EB1" w:rsidRDefault="00AD7E16" w:rsidP="00AD7E16">
      <w:pPr>
        <w:ind w:firstLine="720"/>
      </w:pPr>
      <w:r>
        <w:t>The</w:t>
      </w:r>
      <w:r w:rsidR="000B479D" w:rsidRPr="000E3EB1">
        <w:t xml:space="preserve"> vertical velocity</w:t>
      </w:r>
      <w:r w:rsidR="000B479D">
        <w:t xml:space="preserve"> field</w:t>
      </w:r>
      <w:r w:rsidR="000B479D" w:rsidRPr="000E3EB1">
        <w:t xml:space="preserve"> is</w:t>
      </w:r>
      <w:r>
        <w:t xml:space="preserve"> then</w:t>
      </w:r>
      <w:r w:rsidR="000B479D" w:rsidRPr="000E3EB1">
        <w:t xml:space="preserve"> multiplied by the cloud-top reflectivity and normalized by pixel size</w:t>
      </w:r>
      <w:r>
        <w:t>, yielding a</w:t>
      </w:r>
      <w:r w:rsidR="009E52A7">
        <w:t xml:space="preserve"> convective</w:t>
      </w:r>
      <w:r>
        <w:t xml:space="preserve"> mass flux</w:t>
      </w:r>
      <m:oMath>
        <m:r>
          <w:rPr>
            <w:rFonts w:ascii="Cambria Math" w:hAnsi="Cambria Math"/>
          </w:rPr>
          <m:t>:</m:t>
        </m:r>
      </m:oMath>
    </w:p>
    <w:p w14:paraId="6234B0B7" w14:textId="77777777" w:rsidR="000B479D" w:rsidRPr="000E3EB1" w:rsidRDefault="000B479D" w:rsidP="000B479D">
      <m:oMathPara>
        <m:oMath>
          <m:sSub>
            <m:sSubPr>
              <m:ctrlPr>
                <w:rPr>
                  <w:rFonts w:ascii="Cambria Math" w:hAnsi="Cambria Math"/>
                  <w:i/>
                </w:rPr>
              </m:ctrlPr>
            </m:sSubPr>
            <m:e>
              <m:r>
                <w:rPr>
                  <w:rFonts w:ascii="Cambria Math" w:hAnsi="Cambria Math"/>
                </w:rPr>
                <m:t>M</m:t>
              </m:r>
            </m:e>
            <m:sub>
              <m:r>
                <w:rPr>
                  <w:rFonts w:ascii="Cambria Math" w:hAnsi="Cambria Math"/>
                </w:rPr>
                <m:t>GOES</m:t>
              </m:r>
            </m:sub>
          </m:sSub>
          <m:r>
            <w:rPr>
              <w:rFonts w:ascii="Cambria Math" w:hAnsi="Cambria Math"/>
            </w:rPr>
            <m:t>=</m:t>
          </m:r>
          <m:f>
            <m:fPr>
              <m:ctrlPr>
                <w:rPr>
                  <w:rFonts w:ascii="Cambria Math" w:hAnsi="Cambria Math"/>
                  <w:i/>
                </w:rPr>
              </m:ctrlPr>
            </m:fPr>
            <m:num>
              <m:sSub>
                <m:sSubPr>
                  <m:ctrlPr>
                    <w:rPr>
                      <w:rFonts w:ascii="Cambria Math" w:hAnsi="Cambria Math"/>
                      <w:i/>
                    </w:rPr>
                  </m:ctrlPr>
                </m:sSubPr>
                <m:e>
                  <m:r>
                    <w:rPr>
                      <w:rFonts w:ascii="Cambria Math" w:hAnsi="Cambria Math"/>
                    </w:rPr>
                    <m:t>w</m:t>
                  </m:r>
                </m:e>
                <m:sub>
                  <m:r>
                    <w:rPr>
                      <w:rFonts w:ascii="Cambria Math" w:hAnsi="Cambria Math"/>
                    </w:rPr>
                    <m:t>GOES</m:t>
                  </m:r>
                </m:sub>
              </m:sSub>
              <m:r>
                <w:rPr>
                  <w:rFonts w:ascii="Cambria Math" w:hAnsi="Cambria Math"/>
                </w:rPr>
                <m:t>*</m:t>
              </m:r>
              <m:sSub>
                <m:sSubPr>
                  <m:ctrlPr>
                    <w:rPr>
                      <w:rFonts w:ascii="Cambria Math" w:hAnsi="Cambria Math"/>
                      <w:i/>
                    </w:rPr>
                  </m:ctrlPr>
                </m:sSubPr>
                <m:e>
                  <m:r>
                    <w:rPr>
                      <w:rFonts w:ascii="Cambria Math" w:hAnsi="Cambria Math"/>
                    </w:rPr>
                    <m:t>a</m:t>
                  </m:r>
                </m:e>
                <m:sub>
                  <m:r>
                    <w:rPr>
                      <w:rFonts w:ascii="Cambria Math" w:hAnsi="Cambria Math"/>
                    </w:rPr>
                    <m:t>refl.</m:t>
                  </m:r>
                </m:sub>
              </m:sSub>
            </m:num>
            <m:den>
              <m:sSub>
                <m:sSubPr>
                  <m:ctrlPr>
                    <w:rPr>
                      <w:rFonts w:ascii="Cambria Math" w:hAnsi="Cambria Math"/>
                      <w:i/>
                    </w:rPr>
                  </m:ctrlPr>
                </m:sSubPr>
                <m:e>
                  <m:r>
                    <w:rPr>
                      <w:rFonts w:ascii="Cambria Math" w:hAnsi="Cambria Math"/>
                    </w:rPr>
                    <m:t>a</m:t>
                  </m:r>
                </m:e>
                <m:sub>
                  <m:r>
                    <w:rPr>
                      <w:rFonts w:ascii="Cambria Math" w:hAnsi="Cambria Math"/>
                    </w:rPr>
                    <m:t>pixel</m:t>
                  </m:r>
                </m:sub>
              </m:sSub>
            </m:den>
          </m:f>
        </m:oMath>
      </m:oMathPara>
    </w:p>
    <w:p w14:paraId="1A6C411D" w14:textId="5551F476" w:rsidR="000B479D" w:rsidRPr="00054167" w:rsidRDefault="00AD7E16" w:rsidP="001F7AA2">
      <w:r>
        <w:rPr>
          <w:rFonts w:eastAsiaTheme="minorEastAsia"/>
        </w:rPr>
        <w:t>GOES</w:t>
      </w:r>
      <w:r>
        <w:rPr>
          <w:rFonts w:eastAsiaTheme="minorEastAsia"/>
        </w:rPr>
        <w:t xml:space="preserve"> reflect</w:t>
      </w:r>
      <w:r>
        <w:rPr>
          <w:rFonts w:eastAsiaTheme="minorEastAsia"/>
        </w:rPr>
        <w:t>ivity</w:t>
      </w:r>
      <w:r w:rsidR="009E52A7">
        <w:rPr>
          <w:rFonts w:eastAsiaTheme="minorEastAsia"/>
        </w:rPr>
        <w:t xml:space="preserve"> acts as a proxy for cloud fraction</w:t>
      </w:r>
      <w:r w:rsidR="004237B3">
        <w:rPr>
          <w:rFonts w:eastAsiaTheme="minorEastAsia"/>
        </w:rPr>
        <w:t>, and they are</w:t>
      </w:r>
      <w:r>
        <w:rPr>
          <w:rFonts w:eastAsiaTheme="minorEastAsia"/>
        </w:rPr>
        <w:t xml:space="preserve"> strongly correlate</w:t>
      </w:r>
      <w:r w:rsidR="009E52A7">
        <w:rPr>
          <w:rFonts w:eastAsiaTheme="minorEastAsia"/>
        </w:rPr>
        <w:t xml:space="preserve">d </w:t>
      </w:r>
      <w:r>
        <w:rPr>
          <w:rFonts w:eastAsiaTheme="minorEastAsia"/>
        </w:rPr>
        <w:t>(r=0.79. r</w:t>
      </w:r>
      <w:r>
        <w:rPr>
          <w:rFonts w:eastAsiaTheme="minorEastAsia"/>
          <w:vertAlign w:val="superscript"/>
        </w:rPr>
        <w:t xml:space="preserve">2  </w:t>
      </w:r>
      <w:r>
        <w:rPr>
          <w:rFonts w:eastAsiaTheme="minorEastAsia"/>
        </w:rPr>
        <w:t>= 0.62, p &lt;0.001 with a slope close to 1).</w:t>
      </w:r>
      <w:r w:rsidR="009E52A7">
        <w:rPr>
          <w:rFonts w:eastAsiaTheme="minorEastAsia"/>
        </w:rPr>
        <w:t xml:space="preserve"> Cloud fraction values</w:t>
      </w:r>
      <w:r w:rsidR="00B75BB3">
        <w:rPr>
          <w:rFonts w:eastAsiaTheme="minorEastAsia"/>
        </w:rPr>
        <w:t xml:space="preserve"> </w:t>
      </w:r>
      <w:r w:rsidR="004237B3">
        <w:rPr>
          <w:rFonts w:eastAsiaTheme="minorEastAsia"/>
        </w:rPr>
        <w:t>are</w:t>
      </w:r>
      <w:r w:rsidR="009E52A7">
        <w:rPr>
          <w:rFonts w:eastAsiaTheme="minorEastAsia"/>
        </w:rPr>
        <w:t xml:space="preserve"> sourced from Vogel et al. 2022 and are detailed above.</w:t>
      </w:r>
      <w:r w:rsidR="00054167">
        <w:t xml:space="preserve"> </w:t>
      </w:r>
      <w:r w:rsidR="000B479D">
        <w:t>Units for m</w:t>
      </w:r>
      <w:r w:rsidR="000B479D" w:rsidRPr="000E3EB1">
        <w:t>ass flux</w:t>
      </w:r>
      <w:r w:rsidR="000B479D">
        <w:t xml:space="preserve"> are</w:t>
      </w:r>
      <w:r w:rsidR="000B479D" w:rsidRPr="000E3EB1">
        <w:t xml:space="preserve"> in m/s but could be changed to kg m</w:t>
      </w:r>
      <w:r w:rsidR="000B479D" w:rsidRPr="000E3EB1">
        <w:rPr>
          <w:vertAlign w:val="superscript"/>
        </w:rPr>
        <w:t>-2</w:t>
      </w:r>
      <w:r w:rsidR="000B479D" w:rsidRPr="000E3EB1">
        <w:t xml:space="preserve"> s</w:t>
      </w:r>
      <w:r w:rsidR="000B479D" w:rsidRPr="000E3EB1">
        <w:rPr>
          <w:vertAlign w:val="superscript"/>
        </w:rPr>
        <w:t>-1</w:t>
      </w:r>
      <w:r w:rsidR="000B479D" w:rsidRPr="000E3EB1">
        <w:t xml:space="preserve"> by multiplying in the density of air per unit volume (1.275 kg m</w:t>
      </w:r>
      <w:r w:rsidR="000B479D" w:rsidRPr="000E3EB1">
        <w:rPr>
          <w:vertAlign w:val="superscript"/>
        </w:rPr>
        <w:t>-3</w:t>
      </w:r>
      <w:r w:rsidR="000B479D" w:rsidRPr="000E3EB1">
        <w:t>).</w:t>
      </w:r>
      <w:r w:rsidR="000B479D">
        <w:t xml:space="preserve"> For </w:t>
      </w:r>
      <m:oMath>
        <m:sSub>
          <m:sSubPr>
            <m:ctrlPr>
              <w:rPr>
                <w:rFonts w:ascii="Cambria Math" w:hAnsi="Cambria Math"/>
                <w:i/>
              </w:rPr>
            </m:ctrlPr>
          </m:sSubPr>
          <m:e>
            <m:r>
              <w:rPr>
                <w:rFonts w:ascii="Cambria Math" w:hAnsi="Cambria Math"/>
              </w:rPr>
              <m:t>a</m:t>
            </m:r>
          </m:e>
          <m:sub>
            <m:r>
              <w:rPr>
                <w:rFonts w:ascii="Cambria Math" w:hAnsi="Cambria Math"/>
              </w:rPr>
              <m:t>refl.</m:t>
            </m:r>
          </m:sub>
        </m:sSub>
      </m:oMath>
      <w:r w:rsidR="000B479D">
        <w:rPr>
          <w:rFonts w:eastAsiaTheme="minorEastAsia"/>
        </w:rPr>
        <w:t>, values range from 0 – 1 and are unitless. The range of reflectivity values is normalized by the 5</w:t>
      </w:r>
      <w:r w:rsidR="000B479D" w:rsidRPr="000E3EB1">
        <w:rPr>
          <w:rFonts w:eastAsiaTheme="minorEastAsia"/>
          <w:vertAlign w:val="superscript"/>
        </w:rPr>
        <w:t>th</w:t>
      </w:r>
      <w:r w:rsidR="000B479D">
        <w:rPr>
          <w:rFonts w:eastAsiaTheme="minorEastAsia"/>
        </w:rPr>
        <w:t xml:space="preserve"> and 95</w:t>
      </w:r>
      <w:r w:rsidR="000B479D" w:rsidRPr="000E3EB1">
        <w:rPr>
          <w:rFonts w:eastAsiaTheme="minorEastAsia"/>
          <w:vertAlign w:val="superscript"/>
        </w:rPr>
        <w:t>th</w:t>
      </w:r>
      <w:r w:rsidR="000B479D">
        <w:rPr>
          <w:rFonts w:eastAsiaTheme="minorEastAsia"/>
        </w:rPr>
        <w:t xml:space="preserve"> percentiles to reduce the influence of extremely bright or dark pixels, and reflectivity values in excess of either percentile are clipped to 1 or 0, respectively.</w:t>
      </w:r>
      <w:r w:rsidR="000B479D">
        <w:t xml:space="preserve"> </w:t>
      </w:r>
      <m:oMath>
        <m:sSub>
          <m:sSubPr>
            <m:ctrlPr>
              <w:rPr>
                <w:rFonts w:ascii="Cambria Math" w:hAnsi="Cambria Math"/>
                <w:i/>
              </w:rPr>
            </m:ctrlPr>
          </m:sSubPr>
          <m:e>
            <m:r>
              <w:rPr>
                <w:rFonts w:ascii="Cambria Math" w:hAnsi="Cambria Math"/>
              </w:rPr>
              <m:t>a</m:t>
            </m:r>
          </m:e>
          <m:sub>
            <m:r>
              <w:rPr>
                <w:rFonts w:ascii="Cambria Math" w:hAnsi="Cambria Math"/>
              </w:rPr>
              <m:t>pixel</m:t>
            </m:r>
          </m:sub>
        </m:sSub>
      </m:oMath>
      <w:r w:rsidR="000B479D">
        <w:rPr>
          <w:rFonts w:eastAsiaTheme="minorEastAsia"/>
        </w:rPr>
        <w:t xml:space="preserve"> values range from ~0.90 to ~1.2 with a plurality of grid points receiving an adjustment of </w:t>
      </w:r>
      <w:r w:rsidR="00B75BB3">
        <w:rPr>
          <w:rFonts w:eastAsiaTheme="minorEastAsia"/>
        </w:rPr>
        <w:t>1 and</w:t>
      </w:r>
      <w:r w:rsidR="000B479D">
        <w:rPr>
          <w:rFonts w:eastAsiaTheme="minorEastAsia"/>
        </w:rPr>
        <w:t xml:space="preserve"> are unitless.</w:t>
      </w:r>
    </w:p>
    <w:p w14:paraId="460AA6D7" w14:textId="23F3E968" w:rsidR="000B479D" w:rsidRDefault="000B479D" w:rsidP="004237B3">
      <w:pPr>
        <w:ind w:firstLine="720"/>
        <w:rPr>
          <w:rFonts w:eastAsiaTheme="minorEastAsia"/>
        </w:rPr>
      </w:pPr>
      <w:r>
        <w:rPr>
          <w:rFonts w:eastAsiaTheme="minorEastAsia"/>
        </w:rPr>
        <w:t>Excluded grid points, such as high clouds (&gt;3.6km) and clear-sky pixels, have so far been treated</w:t>
      </w:r>
      <w:r w:rsidR="004237B3">
        <w:rPr>
          <w:rFonts w:eastAsiaTheme="minorEastAsia"/>
        </w:rPr>
        <w:t xml:space="preserve"> quantitatively</w:t>
      </w:r>
      <w:r>
        <w:rPr>
          <w:rFonts w:eastAsiaTheme="minorEastAsia"/>
        </w:rPr>
        <w:t xml:space="preserve"> as</w:t>
      </w:r>
      <w:r w:rsidR="004237B3">
        <w:rPr>
          <w:rFonts w:eastAsiaTheme="minorEastAsia"/>
        </w:rPr>
        <w:t xml:space="preserve"> being equal to</w:t>
      </w:r>
      <w:r>
        <w:rPr>
          <w:rFonts w:eastAsiaTheme="minorEastAsia"/>
        </w:rPr>
        <w:t xml:space="preserve"> 0 m/s. High clouds can take a range of forms (deep convection, cirr</w:t>
      </w:r>
      <w:r w:rsidR="004237B3">
        <w:rPr>
          <w:rFonts w:eastAsiaTheme="minorEastAsia"/>
        </w:rPr>
        <w:t>i</w:t>
      </w:r>
      <w:r>
        <w:rPr>
          <w:rFonts w:eastAsiaTheme="minorEastAsia"/>
        </w:rPr>
        <w:t>)</w:t>
      </w:r>
      <w:r w:rsidR="004237B3">
        <w:rPr>
          <w:rFonts w:eastAsiaTheme="minorEastAsia"/>
        </w:rPr>
        <w:t xml:space="preserve"> and we make no distinction between them</w:t>
      </w:r>
      <w:r>
        <w:rPr>
          <w:rFonts w:eastAsiaTheme="minorEastAsia"/>
        </w:rPr>
        <w:t>, making it unclear as to what their aggregate w magnitude or sign might be. For this reason, as well as to minimize their influence, pixels that qualify as ‘</w:t>
      </w:r>
      <w:r w:rsidR="004237B3">
        <w:rPr>
          <w:rFonts w:eastAsiaTheme="minorEastAsia"/>
        </w:rPr>
        <w:t>high cloud</w:t>
      </w:r>
      <w:r>
        <w:rPr>
          <w:rFonts w:eastAsiaTheme="minorEastAsia"/>
        </w:rPr>
        <w:t>’ are kept at 0 m/s.</w:t>
      </w:r>
    </w:p>
    <w:p w14:paraId="21AF4D84" w14:textId="5B049DF6" w:rsidR="000B479D" w:rsidRDefault="000B479D" w:rsidP="004237B3">
      <w:pPr>
        <w:ind w:firstLine="720"/>
        <w:rPr>
          <w:rFonts w:eastAsiaTheme="minorEastAsia"/>
        </w:rPr>
      </w:pPr>
      <w:r>
        <w:rPr>
          <w:rFonts w:eastAsiaTheme="minorEastAsia"/>
        </w:rPr>
        <w:t>Subsidence in clear-sky pixels, however, is needed to accurately compute the divergent field and to compute w at the synoptic scale</w:t>
      </w:r>
      <w:r w:rsidR="004237B3">
        <w:rPr>
          <w:rFonts w:eastAsiaTheme="minorEastAsia"/>
        </w:rPr>
        <w:t xml:space="preserve"> (upper-case W)</w:t>
      </w:r>
      <w:r>
        <w:rPr>
          <w:rFonts w:eastAsiaTheme="minorEastAsia"/>
        </w:rPr>
        <w:t xml:space="preserve"> for comparison with observations such as the EUREC4A field campaign. We assume that over large domains W ~ 0 and that the </w:t>
      </w:r>
      <m:oMath>
        <m:sSub>
          <m:sSubPr>
            <m:ctrlPr>
              <w:rPr>
                <w:rFonts w:ascii="Cambria Math" w:hAnsi="Cambria Math"/>
                <w:i/>
              </w:rPr>
            </m:ctrlPr>
          </m:sSubPr>
          <m:e>
            <m:r>
              <w:rPr>
                <w:rFonts w:ascii="Cambria Math" w:hAnsi="Cambria Math"/>
              </w:rPr>
              <m:t>M</m:t>
            </m:r>
          </m:e>
          <m:sub>
            <m:r>
              <w:rPr>
                <w:rFonts w:ascii="Cambria Math" w:hAnsi="Cambria Math"/>
              </w:rPr>
              <m:t>GOES</m:t>
            </m:r>
          </m:sub>
        </m:sSub>
      </m:oMath>
      <w:r>
        <w:rPr>
          <w:rFonts w:eastAsiaTheme="minorEastAsia"/>
        </w:rPr>
        <w:t xml:space="preserve"> upward flux must be compensated by sinking </w:t>
      </w:r>
      <w:r w:rsidR="004237B3">
        <w:rPr>
          <w:rFonts w:eastAsiaTheme="minorEastAsia"/>
        </w:rPr>
        <w:t>in</w:t>
      </w:r>
      <w:r>
        <w:rPr>
          <w:rFonts w:eastAsiaTheme="minorEastAsia"/>
        </w:rPr>
        <w:t xml:space="preserve"> clear sky pixels. The same subsidence value (</w:t>
      </w:r>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clear</m:t>
            </m:r>
          </m:sub>
        </m:sSub>
      </m:oMath>
      <w:r>
        <w:rPr>
          <w:rFonts w:eastAsiaTheme="minorEastAsia"/>
        </w:rPr>
        <w:t>) is a</w:t>
      </w:r>
      <w:r w:rsidR="001F7AA2">
        <w:rPr>
          <w:rFonts w:eastAsiaTheme="minorEastAsia"/>
        </w:rPr>
        <w:t>ssigned</w:t>
      </w:r>
      <w:r>
        <w:rPr>
          <w:rFonts w:eastAsiaTheme="minorEastAsia"/>
        </w:rPr>
        <w:t xml:space="preserve"> to every clear sky pixel in the domain and is calculated by:</w:t>
      </w:r>
    </w:p>
    <w:p w14:paraId="5D3D7866" w14:textId="77777777" w:rsidR="000B479D" w:rsidRDefault="000B479D" w:rsidP="000B479D">
      <w:pPr>
        <w:jc w:val="center"/>
        <w:rPr>
          <w:rFonts w:eastAsiaTheme="minorEastAsia"/>
        </w:rPr>
      </w:pPr>
      <m:oMathPara>
        <m:oMath>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clear</m:t>
              </m:r>
            </m:sub>
          </m:sSub>
          <m:r>
            <w:rPr>
              <w:rFonts w:ascii="Cambria Math" w:eastAsiaTheme="minorEastAsia" w:hAnsi="Cambria Math"/>
            </w:rPr>
            <m:t>=</m:t>
          </m:r>
          <m:f>
            <m:fPr>
              <m:ctrlPr>
                <w:rPr>
                  <w:rFonts w:ascii="Cambria Math" w:eastAsiaTheme="minorEastAsia" w:hAnsi="Cambria Math"/>
                  <w:i/>
                </w:rPr>
              </m:ctrlPr>
            </m:fPr>
            <m:num>
              <m:nary>
                <m:naryPr>
                  <m:chr m:val="∑"/>
                  <m:limLoc m:val="undOvr"/>
                  <m:subHide m:val="1"/>
                  <m:supHide m:val="1"/>
                  <m:ctrlPr>
                    <w:rPr>
                      <w:rFonts w:ascii="Cambria Math" w:eastAsiaTheme="minorEastAsia" w:hAnsi="Cambria Math"/>
                      <w:i/>
                    </w:rPr>
                  </m:ctrlPr>
                </m:naryPr>
                <m:sub/>
                <m:sup/>
                <m:e>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 xml:space="preserve"> cloud</m:t>
                      </m:r>
                    </m:sub>
                  </m:sSub>
                </m:e>
              </m:nary>
            </m:num>
            <m:den>
              <m:r>
                <w:rPr>
                  <w:rFonts w:ascii="Cambria Math" w:eastAsiaTheme="minorEastAsia" w:hAnsi="Cambria Math"/>
                </w:rPr>
                <m:t># of clear sky gridpoints</m:t>
              </m:r>
            </m:den>
          </m:f>
        </m:oMath>
      </m:oMathPara>
    </w:p>
    <w:p w14:paraId="1A40CAC8" w14:textId="68A10517" w:rsidR="000B479D" w:rsidRDefault="001F7AA2" w:rsidP="000B479D">
      <w:pPr>
        <w:rPr>
          <w:rFonts w:eastAsiaTheme="minorEastAsia"/>
        </w:rPr>
      </w:pPr>
      <w:r>
        <w:rPr>
          <w:rFonts w:eastAsiaTheme="minorEastAsia"/>
        </w:rPr>
        <w:t>where:</w:t>
      </w:r>
    </w:p>
    <w:p w14:paraId="42B01972" w14:textId="77777777" w:rsidR="000B479D" w:rsidRPr="00532FF5" w:rsidRDefault="000B479D" w:rsidP="000B479D">
      <w:pPr>
        <w:jc w:val="center"/>
        <w:rPr>
          <w:rFonts w:eastAsiaTheme="minorEastAsia"/>
        </w:rPr>
      </w:pPr>
      <m:oMathPara>
        <m:oMath>
          <m:r>
            <w:rPr>
              <w:rFonts w:ascii="Cambria Math" w:eastAsiaTheme="minorEastAsia" w:hAnsi="Cambria Math"/>
            </w:rPr>
            <m:t># of clear sky gridpoints=Total # of gridpoints-# of cloudy gridpoints</m:t>
          </m:r>
        </m:oMath>
      </m:oMathPara>
    </w:p>
    <w:p w14:paraId="6F5C70FE" w14:textId="4231F43C" w:rsidR="00A90070" w:rsidRDefault="000B479D" w:rsidP="001F7AA2">
      <w:pPr>
        <w:rPr>
          <w:rFonts w:eastAsiaTheme="minorEastAsia"/>
        </w:rPr>
      </w:pPr>
      <w:r>
        <w:rPr>
          <w:rFonts w:eastAsiaTheme="minorEastAsia"/>
        </w:rPr>
        <w:lastRenderedPageBreak/>
        <w:t xml:space="preserve">Note that the total </w:t>
      </w:r>
      <w:r w:rsidR="001F7AA2">
        <w:rPr>
          <w:rFonts w:eastAsiaTheme="minorEastAsia"/>
        </w:rPr>
        <w:t>number</w:t>
      </w:r>
      <w:r>
        <w:rPr>
          <w:rFonts w:eastAsiaTheme="minorEastAsia"/>
        </w:rPr>
        <w:t xml:space="preserve"> of </w:t>
      </w:r>
      <w:r w:rsidR="00B75BB3">
        <w:rPr>
          <w:rFonts w:eastAsiaTheme="minorEastAsia"/>
        </w:rPr>
        <w:t>grid points</w:t>
      </w:r>
      <w:r>
        <w:rPr>
          <w:rFonts w:eastAsiaTheme="minorEastAsia"/>
        </w:rPr>
        <w:t xml:space="preserve"> excludes high cloud grid points. Once the w field is comprised of both the cloud model-derived upward mass fluxes and the compensating downward flux, the divergence and divergent wind can be calculated.</w:t>
      </w:r>
    </w:p>
    <w:p w14:paraId="07DF1214" w14:textId="77777777" w:rsidR="001F7AA2" w:rsidRDefault="001F7AA2" w:rsidP="001F7AA2">
      <w:pPr>
        <w:ind w:firstLine="720"/>
        <w:rPr>
          <w:rFonts w:eastAsiaTheme="minorEastAsia"/>
        </w:rPr>
      </w:pPr>
    </w:p>
    <w:p w14:paraId="6698244D" w14:textId="13C54CA1" w:rsidR="001F7AA2" w:rsidRPr="00350C1C" w:rsidRDefault="001F7AA2" w:rsidP="001F7AA2">
      <w:pPr>
        <w:rPr>
          <w:rFonts w:eastAsiaTheme="minorEastAsia"/>
          <w:b/>
          <w:bCs/>
        </w:rPr>
      </w:pPr>
      <w:r w:rsidRPr="00350C1C">
        <w:rPr>
          <w:rFonts w:eastAsiaTheme="minorEastAsia"/>
          <w:b/>
          <w:bCs/>
        </w:rPr>
        <w:t>Calculating Divergence and the Divergent Wind</w:t>
      </w:r>
    </w:p>
    <w:p w14:paraId="75B57962" w14:textId="5D54DEA3" w:rsidR="001F7AA2" w:rsidRDefault="001F7AA2" w:rsidP="001F7AA2">
      <w:pPr>
        <w:ind w:firstLine="720"/>
        <w:rPr>
          <w:rFonts w:eastAsiaTheme="minorEastAsia"/>
        </w:rPr>
      </w:pPr>
      <w:r>
        <w:rPr>
          <w:rFonts w:eastAsiaTheme="minorEastAsia"/>
        </w:rPr>
        <w:t>Using mass continuity, the horizontal divergence</w:t>
      </w:r>
      <w:r>
        <w:rPr>
          <w:rFonts w:eastAsiaTheme="minorEastAsia"/>
        </w:rPr>
        <w:t xml:space="preserve"> (</w:t>
      </w:r>
      <m:oMath>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m:rPr>
                    <m:sty m:val="p"/>
                  </m:rPr>
                  <w:rPr>
                    <w:rFonts w:ascii="Cambria Math" w:eastAsiaTheme="minorEastAsia" w:hAnsi="Cambria Math"/>
                  </w:rPr>
                  <m:t>∇</m:t>
                </m:r>
              </m:e>
            </m:acc>
          </m:e>
          <m:sub>
            <m:r>
              <w:rPr>
                <w:rFonts w:ascii="Cambria Math" w:eastAsiaTheme="minorEastAsia" w:hAnsi="Cambria Math"/>
              </w:rPr>
              <m:t>H</m:t>
            </m:r>
          </m:sub>
        </m:sSub>
        <m:r>
          <w:rPr>
            <w:rFonts w:ascii="Cambria Math" w:eastAsiaTheme="minorEastAsia" w:hAnsi="Cambria Math"/>
          </w:rPr>
          <m:t>∙</m:t>
        </m:r>
        <m:acc>
          <m:accPr>
            <m:chr m:val="⃗"/>
            <m:ctrlPr>
              <w:rPr>
                <w:rFonts w:ascii="Cambria Math" w:eastAsiaTheme="minorEastAsia" w:hAnsi="Cambria Math"/>
                <w:i/>
              </w:rPr>
            </m:ctrlPr>
          </m:accPr>
          <m:e>
            <m:box>
              <m:boxPr>
                <m:opEmu m:val="1"/>
                <m:ctrlPr>
                  <w:rPr>
                    <w:rFonts w:ascii="Cambria Math" w:eastAsiaTheme="minorEastAsia" w:hAnsi="Cambria Math"/>
                    <w:i/>
                  </w:rPr>
                </m:ctrlPr>
              </m:boxPr>
              <m:e>
                <m:r>
                  <w:rPr>
                    <w:rFonts w:ascii="Cambria Math" w:eastAsiaTheme="minorEastAsia" w:hAnsi="Cambria Math"/>
                  </w:rPr>
                  <m:t>ν</m:t>
                </m:r>
              </m:e>
            </m:box>
          </m:e>
        </m:acc>
        <m:r>
          <w:rPr>
            <w:rFonts w:ascii="Cambria Math" w:eastAsiaTheme="minorEastAsia" w:hAnsi="Cambria Math"/>
          </w:rPr>
          <m:t>)</m:t>
        </m:r>
      </m:oMath>
      <w:r>
        <w:rPr>
          <w:rFonts w:eastAsiaTheme="minorEastAsia"/>
        </w:rPr>
        <w:t xml:space="preserve"> can be assumed to be equal to the vertical velocity:</w:t>
      </w:r>
    </w:p>
    <w:p w14:paraId="4DFE9585" w14:textId="77777777" w:rsidR="001F7AA2" w:rsidRPr="00204087" w:rsidRDefault="001F7AA2" w:rsidP="001F7AA2">
      <w:pPr>
        <w:jc w:val="center"/>
        <w:rPr>
          <w:rFonts w:eastAsiaTheme="minorEastAsia"/>
        </w:rPr>
      </w:pPr>
      <m:oMathPara>
        <m:oMath>
          <m:f>
            <m:fPr>
              <m:ctrlPr>
                <w:rPr>
                  <w:rFonts w:ascii="Cambria Math" w:eastAsiaTheme="minorEastAsia" w:hAnsi="Cambria Math"/>
                  <w:i/>
                </w:rPr>
              </m:ctrlPr>
            </m:fPr>
            <m:num>
              <m:r>
                <w:rPr>
                  <w:rFonts w:ascii="Cambria Math" w:eastAsiaTheme="minorEastAsia" w:hAnsi="Cambria Math"/>
                </w:rPr>
                <m:t>∂w</m:t>
              </m:r>
            </m:num>
            <m:den>
              <m:r>
                <w:rPr>
                  <w:rFonts w:ascii="Cambria Math" w:eastAsiaTheme="minorEastAsia" w:hAnsi="Cambria Math"/>
                </w:rPr>
                <m:t>∂z</m:t>
              </m:r>
            </m:den>
          </m:f>
          <m:r>
            <w:rPr>
              <w:rFonts w:ascii="Cambria Math" w:eastAsiaTheme="minorEastAsia" w:hAnsi="Cambria Math"/>
            </w:rPr>
            <m:t>=-</m:t>
          </m:r>
          <m:sSub>
            <m:sSubPr>
              <m:ctrlPr>
                <w:rPr>
                  <w:rFonts w:ascii="Cambria Math" w:eastAsiaTheme="minorEastAsia" w:hAnsi="Cambria Math"/>
                  <w:i/>
                </w:rPr>
              </m:ctrlPr>
            </m:sSubPr>
            <m:e>
              <m:acc>
                <m:accPr>
                  <m:chr m:val="⃗"/>
                  <m:ctrlPr>
                    <w:rPr>
                      <w:rFonts w:ascii="Cambria Math" w:eastAsiaTheme="minorEastAsia" w:hAnsi="Cambria Math"/>
                      <w:i/>
                    </w:rPr>
                  </m:ctrlPr>
                </m:accPr>
                <m:e>
                  <m:r>
                    <m:rPr>
                      <m:sty m:val="p"/>
                    </m:rPr>
                    <w:rPr>
                      <w:rFonts w:ascii="Cambria Math" w:eastAsiaTheme="minorEastAsia" w:hAnsi="Cambria Math"/>
                    </w:rPr>
                    <m:t>∇</m:t>
                  </m:r>
                </m:e>
              </m:acc>
            </m:e>
            <m:sub>
              <m:r>
                <w:rPr>
                  <w:rFonts w:ascii="Cambria Math" w:eastAsiaTheme="minorEastAsia" w:hAnsi="Cambria Math"/>
                </w:rPr>
                <m:t>H</m:t>
              </m:r>
            </m:sub>
          </m:sSub>
          <m:r>
            <w:rPr>
              <w:rFonts w:ascii="Cambria Math" w:eastAsiaTheme="minorEastAsia" w:hAnsi="Cambria Math"/>
            </w:rPr>
            <m:t>∙</m:t>
          </m:r>
          <m:acc>
            <m:accPr>
              <m:chr m:val="⃗"/>
              <m:ctrlPr>
                <w:rPr>
                  <w:rFonts w:ascii="Cambria Math" w:eastAsiaTheme="minorEastAsia" w:hAnsi="Cambria Math"/>
                  <w:i/>
                </w:rPr>
              </m:ctrlPr>
            </m:accPr>
            <m:e>
              <m:box>
                <m:boxPr>
                  <m:opEmu m:val="1"/>
                  <m:ctrlPr>
                    <w:rPr>
                      <w:rFonts w:ascii="Cambria Math" w:eastAsiaTheme="minorEastAsia" w:hAnsi="Cambria Math"/>
                      <w:i/>
                    </w:rPr>
                  </m:ctrlPr>
                </m:boxPr>
                <m:e>
                  <m:r>
                    <w:rPr>
                      <w:rFonts w:ascii="Cambria Math" w:eastAsiaTheme="minorEastAsia" w:hAnsi="Cambria Math"/>
                    </w:rPr>
                    <m:t>ν</m:t>
                  </m:r>
                </m:e>
              </m:box>
            </m:e>
          </m:acc>
        </m:oMath>
      </m:oMathPara>
    </w:p>
    <w:p w14:paraId="11FC8024" w14:textId="77777777" w:rsidR="001F7AA2" w:rsidRDefault="001F7AA2" w:rsidP="001F7AA2">
      <w:pPr>
        <w:rPr>
          <w:rFonts w:eastAsiaTheme="minorEastAsia"/>
        </w:rPr>
      </w:pPr>
      <w:r>
        <w:rPr>
          <w:rFonts w:eastAsiaTheme="minorEastAsia"/>
        </w:rPr>
        <w:t>If we parse</w:t>
      </w:r>
    </w:p>
    <w:p w14:paraId="29E8928D" w14:textId="78AF82CF" w:rsidR="001F7AA2" w:rsidRDefault="001F7AA2" w:rsidP="001F7AA2">
      <w:pPr>
        <w:jc w:val="center"/>
        <w:rPr>
          <w:rFonts w:eastAsiaTheme="minorEastAsia"/>
        </w:rPr>
      </w:pPr>
      <m:oMath>
        <m:f>
          <m:fPr>
            <m:ctrlPr>
              <w:rPr>
                <w:rFonts w:ascii="Cambria Math" w:eastAsiaTheme="minorEastAsia" w:hAnsi="Cambria Math"/>
                <w:i/>
              </w:rPr>
            </m:ctrlPr>
          </m:fPr>
          <m:num>
            <m:r>
              <w:rPr>
                <w:rFonts w:ascii="Cambria Math" w:eastAsiaTheme="minorEastAsia" w:hAnsi="Cambria Math"/>
              </w:rPr>
              <m:t>∂w</m:t>
            </m:r>
          </m:num>
          <m:den>
            <m:r>
              <w:rPr>
                <w:rFonts w:ascii="Cambria Math" w:eastAsiaTheme="minorEastAsia" w:hAnsi="Cambria Math"/>
              </w:rPr>
              <m:t>∂z</m:t>
            </m:r>
          </m:den>
        </m:f>
      </m:oMath>
      <w:r>
        <w:rPr>
          <w:rFonts w:eastAsiaTheme="minorEastAsia"/>
        </w:rPr>
        <w:t xml:space="preserve"> </w:t>
      </w:r>
      <w:r w:rsidRPr="001F7AA2">
        <w:rPr>
          <w:rFonts w:eastAsiaTheme="minorEastAsia"/>
        </w:rPr>
        <w:sym w:font="Wingdings" w:char="F0E0"/>
      </w:r>
      <w:r>
        <w:rPr>
          <w:rFonts w:eastAsiaTheme="minorEastAsia"/>
        </w:rPr>
        <w:t xml:space="preserve">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cloud base</m:t>
                </m:r>
              </m:sub>
            </m:sSub>
            <m:r>
              <w:rPr>
                <w:rFonts w:ascii="Cambria Math" w:eastAsiaTheme="minorEastAsia" w:hAnsi="Cambria Math"/>
              </w:rPr>
              <m:t>-</m:t>
            </m:r>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surface</m:t>
                </m:r>
              </m:sub>
            </m:sSub>
          </m:num>
          <m:den>
            <m:r>
              <w:rPr>
                <w:rFonts w:ascii="Cambria Math" w:eastAsiaTheme="minorEastAsia" w:hAnsi="Cambria Math"/>
              </w:rPr>
              <m:t>∆z</m:t>
            </m:r>
          </m:den>
        </m:f>
      </m:oMath>
    </w:p>
    <w:p w14:paraId="27E540C3" w14:textId="77777777" w:rsidR="001F7AA2" w:rsidRDefault="001F7AA2" w:rsidP="001F7AA2">
      <w:pPr>
        <w:rPr>
          <w:rFonts w:eastAsiaTheme="minorEastAsia"/>
        </w:rPr>
      </w:pPr>
      <w:r>
        <w:rPr>
          <w:rFonts w:eastAsiaTheme="minorEastAsia"/>
        </w:rPr>
        <w:t>and assume that w at the surface must be zero, then</w:t>
      </w:r>
    </w:p>
    <w:p w14:paraId="079D79F4" w14:textId="4E990953" w:rsidR="001F7AA2" w:rsidRDefault="001F7AA2" w:rsidP="001F7AA2">
      <w:pPr>
        <w:jc w:val="center"/>
        <w:rPr>
          <w:rFonts w:eastAsiaTheme="minorEastAsia"/>
        </w:rPr>
      </w:pPr>
      <m:oMath>
        <m:f>
          <m:fPr>
            <m:ctrlPr>
              <w:rPr>
                <w:rFonts w:ascii="Cambria Math" w:eastAsiaTheme="minorEastAsia" w:hAnsi="Cambria Math"/>
                <w:i/>
              </w:rPr>
            </m:ctrlPr>
          </m:fPr>
          <m:num>
            <m:r>
              <w:rPr>
                <w:rFonts w:ascii="Cambria Math" w:eastAsiaTheme="minorEastAsia" w:hAnsi="Cambria Math"/>
              </w:rPr>
              <m:t>∂w</m:t>
            </m:r>
          </m:num>
          <m:den>
            <m:r>
              <w:rPr>
                <w:rFonts w:ascii="Cambria Math" w:eastAsiaTheme="minorEastAsia" w:hAnsi="Cambria Math"/>
              </w:rPr>
              <m:t>∂z</m:t>
            </m:r>
          </m:den>
        </m:f>
      </m:oMath>
      <w:r>
        <w:rPr>
          <w:rFonts w:eastAsiaTheme="minorEastAsia"/>
        </w:rPr>
        <w:t xml:space="preserve">  </w:t>
      </w:r>
      <w:r w:rsidRPr="001F7AA2">
        <w:rPr>
          <w:rFonts w:eastAsiaTheme="minorEastAsia"/>
        </w:rPr>
        <w:sym w:font="Wingdings" w:char="F0E0"/>
      </w:r>
      <w:r>
        <w:rPr>
          <w:rFonts w:eastAsiaTheme="minorEastAsia"/>
        </w:rPr>
        <w:t xml:space="preserve"> </w:t>
      </w:r>
      <m:oMath>
        <m:f>
          <m:fPr>
            <m:ctrlPr>
              <w:rPr>
                <w:rFonts w:ascii="Cambria Math" w:eastAsiaTheme="minorEastAsia" w:hAnsi="Cambria Math"/>
                <w:i/>
              </w:rPr>
            </m:ctrlPr>
          </m:fPr>
          <m:num>
            <m:sSub>
              <m:sSubPr>
                <m:ctrlPr>
                  <w:rPr>
                    <w:rFonts w:ascii="Cambria Math" w:eastAsiaTheme="minorEastAsia" w:hAnsi="Cambria Math"/>
                    <w:i/>
                  </w:rPr>
                </m:ctrlPr>
              </m:sSubPr>
              <m:e>
                <m:r>
                  <w:rPr>
                    <w:rFonts w:ascii="Cambria Math" w:eastAsiaTheme="minorEastAsia" w:hAnsi="Cambria Math"/>
                  </w:rPr>
                  <m:t>w</m:t>
                </m:r>
              </m:e>
              <m:sub>
                <m:r>
                  <w:rPr>
                    <w:rFonts w:ascii="Cambria Math" w:eastAsiaTheme="minorEastAsia" w:hAnsi="Cambria Math"/>
                  </w:rPr>
                  <m:t>cloud base</m:t>
                </m:r>
              </m:sub>
            </m:sSub>
          </m:num>
          <m:den>
            <m:r>
              <w:rPr>
                <w:rFonts w:ascii="Cambria Math" w:eastAsiaTheme="minorEastAsia" w:hAnsi="Cambria Math"/>
              </w:rPr>
              <m:t>0.6km</m:t>
            </m:r>
          </m:den>
        </m:f>
      </m:oMath>
      <w:r>
        <w:rPr>
          <w:rFonts w:eastAsiaTheme="minorEastAsia"/>
        </w:rPr>
        <w:t>.</w:t>
      </w:r>
    </w:p>
    <w:p w14:paraId="3ABADEF7" w14:textId="5077AB34" w:rsidR="001F7AA2" w:rsidRDefault="001F7AA2" w:rsidP="001F7AA2">
      <w:pPr>
        <w:rPr>
          <w:rFonts w:eastAsiaTheme="minorEastAsia"/>
        </w:rPr>
      </w:pPr>
      <w:r>
        <w:rPr>
          <w:rFonts w:eastAsiaTheme="minorEastAsia"/>
        </w:rPr>
        <w:t xml:space="preserve">This </w:t>
      </w:r>
      <w:r>
        <w:rPr>
          <w:rFonts w:eastAsiaTheme="minorEastAsia"/>
        </w:rPr>
        <w:t>equation solves</w:t>
      </w:r>
      <w:r>
        <w:rPr>
          <w:rFonts w:eastAsiaTheme="minorEastAsia"/>
        </w:rPr>
        <w:t xml:space="preserve"> for</w:t>
      </w:r>
      <w:r>
        <w:rPr>
          <w:rFonts w:eastAsiaTheme="minorEastAsia"/>
        </w:rPr>
        <w:t xml:space="preserve"> horizontal</w:t>
      </w:r>
      <w:r>
        <w:rPr>
          <w:rFonts w:eastAsiaTheme="minorEastAsia"/>
        </w:rPr>
        <w:t xml:space="preserve"> divergence in the sub-cloud layer, which extends from the surface to cloud base. We can then solve for the irrotational portion of the sub-cloud divergent wind by solving Poisson’s equation:</w:t>
      </w:r>
    </w:p>
    <w:p w14:paraId="2E0886CB" w14:textId="77777777" w:rsidR="001F7AA2" w:rsidRPr="00655336" w:rsidRDefault="001F7AA2" w:rsidP="001F7AA2">
      <w:pPr>
        <w:jc w:val="center"/>
        <w:rPr>
          <w:rFonts w:eastAsiaTheme="minorEastAsia"/>
        </w:rPr>
      </w:pPr>
      <m:oMathPara>
        <m:oMath>
          <m:r>
            <m:rPr>
              <m:sty m:val="p"/>
            </m:rPr>
            <w:rPr>
              <w:rFonts w:ascii="Cambria Math" w:eastAsiaTheme="minorEastAsia" w:hAnsi="Cambria Math"/>
            </w:rPr>
            <m:t>∇</m:t>
          </m:r>
          <m:r>
            <w:rPr>
              <w:rFonts w:ascii="Cambria Math" w:eastAsiaTheme="minorEastAsia" w:hAnsi="Cambria Math"/>
            </w:rPr>
            <m:t>∙</m:t>
          </m:r>
          <m:acc>
            <m:accPr>
              <m:chr m:val="⃗"/>
              <m:ctrlPr>
                <w:rPr>
                  <w:rFonts w:ascii="Cambria Math" w:eastAsiaTheme="minorEastAsia" w:hAnsi="Cambria Math"/>
                  <w:i/>
                </w:rPr>
              </m:ctrlPr>
            </m:accPr>
            <m:e>
              <m:box>
                <m:boxPr>
                  <m:opEmu m:val="1"/>
                  <m:ctrlPr>
                    <w:rPr>
                      <w:rFonts w:ascii="Cambria Math" w:eastAsiaTheme="minorEastAsia" w:hAnsi="Cambria Math"/>
                      <w:i/>
                    </w:rPr>
                  </m:ctrlPr>
                </m:boxPr>
                <m:e>
                  <m:r>
                    <w:rPr>
                      <w:rFonts w:ascii="Cambria Math" w:eastAsiaTheme="minorEastAsia" w:hAnsi="Cambria Math"/>
                    </w:rPr>
                    <m:t>ν</m:t>
                  </m:r>
                </m:e>
              </m:box>
            </m:e>
          </m:acc>
          <m:r>
            <w:rPr>
              <w:rFonts w:ascii="Cambria Math" w:eastAsiaTheme="minorEastAsia" w:hAnsi="Cambria Math"/>
            </w:rPr>
            <m:t>=</m:t>
          </m:r>
          <m:sSup>
            <m:sSupPr>
              <m:ctrlPr>
                <w:rPr>
                  <w:rFonts w:ascii="Cambria Math" w:eastAsiaTheme="minorEastAsia" w:hAnsi="Cambria Math"/>
                  <w:i/>
                </w:rPr>
              </m:ctrlPr>
            </m:sSupPr>
            <m:e>
              <m:r>
                <m:rPr>
                  <m:sty m:val="p"/>
                </m:rPr>
                <w:rPr>
                  <w:rFonts w:ascii="Cambria Math" w:eastAsiaTheme="minorEastAsia" w:hAnsi="Cambria Math"/>
                </w:rPr>
                <m:t>∇</m:t>
              </m:r>
            </m:e>
            <m:sup>
              <m:r>
                <w:rPr>
                  <w:rFonts w:ascii="Cambria Math" w:eastAsiaTheme="minorEastAsia" w:hAnsi="Cambria Math"/>
                </w:rPr>
                <m:t>2</m:t>
              </m:r>
            </m:sup>
          </m:sSup>
          <m:r>
            <w:rPr>
              <w:rFonts w:ascii="Cambria Math" w:eastAsiaTheme="minorEastAsia" w:hAnsi="Cambria Math"/>
            </w:rPr>
            <m:t>χ=</m:t>
          </m:r>
          <m:f>
            <m:fPr>
              <m:ctrlPr>
                <w:rPr>
                  <w:rFonts w:ascii="Cambria Math" w:eastAsiaTheme="minorEastAsia" w:hAnsi="Cambria Math"/>
                  <w:i/>
                </w:rPr>
              </m:ctrlPr>
            </m:fPr>
            <m:num>
              <m:r>
                <w:rPr>
                  <w:rFonts w:ascii="Cambria Math" w:eastAsiaTheme="minorEastAsia" w:hAnsi="Cambria Math"/>
                </w:rPr>
                <m:t>∂w</m:t>
              </m:r>
            </m:num>
            <m:den>
              <m:r>
                <w:rPr>
                  <w:rFonts w:ascii="Cambria Math" w:eastAsiaTheme="minorEastAsia" w:hAnsi="Cambria Math"/>
                </w:rPr>
                <m:t>∂z</m:t>
              </m:r>
            </m:den>
          </m:f>
        </m:oMath>
      </m:oMathPara>
    </w:p>
    <w:p w14:paraId="1827E427" w14:textId="58FA80E2" w:rsidR="001F7AA2" w:rsidRDefault="001F7AA2" w:rsidP="001F7AA2">
      <w:pPr>
        <w:rPr>
          <w:rFonts w:eastAsiaTheme="minorEastAsia"/>
        </w:rPr>
      </w:pPr>
      <w:r>
        <w:rPr>
          <w:rFonts w:eastAsiaTheme="minorEastAsia"/>
        </w:rPr>
        <w:t xml:space="preserve">where </w:t>
      </w:r>
      <m:oMath>
        <m:r>
          <w:rPr>
            <w:rFonts w:ascii="Cambria Math" w:eastAsiaTheme="minorEastAsia" w:hAnsi="Cambria Math"/>
          </w:rPr>
          <m:t>χ</m:t>
        </m:r>
      </m:oMath>
      <w:r>
        <w:rPr>
          <w:rFonts w:eastAsiaTheme="minorEastAsia"/>
        </w:rPr>
        <w:t xml:space="preserve"> (chi) is the velocity potential</w:t>
      </w:r>
      <w:r w:rsidR="00B75BB3">
        <w:rPr>
          <w:rFonts w:eastAsiaTheme="minorEastAsia"/>
        </w:rPr>
        <w:t xml:space="preserve"> (m</w:t>
      </w:r>
      <w:r w:rsidR="00B75BB3">
        <w:rPr>
          <w:rFonts w:eastAsiaTheme="minorEastAsia"/>
          <w:vertAlign w:val="superscript"/>
        </w:rPr>
        <w:t>2</w:t>
      </w:r>
      <w:r w:rsidR="00B75BB3">
        <w:rPr>
          <w:rFonts w:eastAsiaTheme="minorEastAsia"/>
        </w:rPr>
        <w:t>/s)</w:t>
      </w:r>
      <w:r>
        <w:rPr>
          <w:rFonts w:eastAsiaTheme="minorEastAsia"/>
        </w:rPr>
        <w:t>. We have found that Poisson’s equation is best solved using a fast-Fourier transform and prescribing Neumann boundary conditions (BCs) rather than Dirichlet BCs.</w:t>
      </w:r>
      <w:r>
        <w:rPr>
          <w:rFonts w:eastAsiaTheme="minorEastAsia"/>
        </w:rPr>
        <w:t xml:space="preserve"> </w:t>
      </w:r>
      <w:r>
        <w:rPr>
          <w:rFonts w:eastAsiaTheme="minorEastAsia"/>
        </w:rPr>
        <w:t xml:space="preserve"> </w:t>
      </w:r>
      <w:r w:rsidR="00B75BB3">
        <w:rPr>
          <w:rFonts w:eastAsiaTheme="minorEastAsia"/>
        </w:rPr>
        <w:t>However,</w:t>
      </w:r>
      <w:r>
        <w:rPr>
          <w:rFonts w:eastAsiaTheme="minorEastAsia"/>
        </w:rPr>
        <w:t xml:space="preserve"> Neumann BCs are periodic and induce spurious influence between velocity potential gradients on opposite sides of the domain. To account for this, we pad the domain with extra rows and columns and taper the BC values to ~0 by multiplying by 0.95 until the BC value is negligible. </w:t>
      </w:r>
    </w:p>
    <w:p w14:paraId="2A5A6701" w14:textId="70EF549A" w:rsidR="001F7AA2" w:rsidRDefault="001F7AA2" w:rsidP="001F7AA2">
      <w:pPr>
        <w:rPr>
          <w:rFonts w:eastAsiaTheme="minorEastAsia"/>
        </w:rPr>
      </w:pPr>
      <w:r>
        <w:rPr>
          <w:rFonts w:eastAsiaTheme="minorEastAsia"/>
        </w:rPr>
        <w:t xml:space="preserve">This is code is publicly available at </w:t>
      </w:r>
      <w:hyperlink r:id="rId11" w:history="1">
        <w:r w:rsidRPr="00B40ABE">
          <w:rPr>
            <w:rStyle w:val="Hyperlink"/>
            <w:rFonts w:eastAsiaTheme="minorEastAsia"/>
          </w:rPr>
          <w:t>https://github.com/patrickcarlandrews/GOES-derived-Mesoscale-Divergence</w:t>
        </w:r>
      </w:hyperlink>
      <w:r>
        <w:rPr>
          <w:rFonts w:eastAsiaTheme="minorEastAsia"/>
        </w:rPr>
        <w:t>.</w:t>
      </w:r>
    </w:p>
    <w:p w14:paraId="2334A849" w14:textId="77777777" w:rsidR="00F41430" w:rsidRDefault="00F41430" w:rsidP="001F7AA2">
      <w:pPr>
        <w:rPr>
          <w:rFonts w:eastAsiaTheme="minorEastAsia"/>
        </w:rPr>
      </w:pPr>
    </w:p>
    <w:p w14:paraId="0F302B37" w14:textId="1EE04401" w:rsidR="001F7AA2" w:rsidRPr="00D36C05" w:rsidRDefault="001F7AA2" w:rsidP="001F7AA2">
      <w:pPr>
        <w:rPr>
          <w:rFonts w:eastAsiaTheme="minorEastAsia"/>
          <w:b/>
          <w:bCs/>
        </w:rPr>
      </w:pPr>
      <w:r>
        <w:rPr>
          <w:rFonts w:eastAsiaTheme="minorEastAsia"/>
          <w:b/>
          <w:bCs/>
        </w:rPr>
        <w:t>Notes on Methodology</w:t>
      </w:r>
    </w:p>
    <w:p w14:paraId="45F69002" w14:textId="1BD433A8" w:rsidR="001F7AA2" w:rsidRPr="00D36C05" w:rsidRDefault="001F7AA2" w:rsidP="001F7AA2">
      <w:pPr>
        <w:pStyle w:val="ListParagraph"/>
        <w:numPr>
          <w:ilvl w:val="0"/>
          <w:numId w:val="1"/>
        </w:numPr>
        <w:rPr>
          <w:rFonts w:eastAsiaTheme="minorEastAsia"/>
        </w:rPr>
      </w:pPr>
      <w:r>
        <w:rPr>
          <w:rFonts w:eastAsiaTheme="minorEastAsia"/>
        </w:rPr>
        <w:t xml:space="preserve">The weakest sink rates produce w values at cloud base significantly stronger than the w values of comparable but slightly stronger sink rates. We suspect these w </w:t>
      </w:r>
      <w:r>
        <w:rPr>
          <w:rFonts w:eastAsiaTheme="minorEastAsia"/>
        </w:rPr>
        <w:lastRenderedPageBreak/>
        <w:t xml:space="preserve">values may be </w:t>
      </w:r>
      <w:r>
        <w:rPr>
          <w:rFonts w:eastAsiaTheme="minorEastAsia"/>
        </w:rPr>
        <w:t>spuriously</w:t>
      </w:r>
      <w:r>
        <w:rPr>
          <w:rFonts w:eastAsiaTheme="minorEastAsia"/>
        </w:rPr>
        <w:t xml:space="preserve"> large as</w:t>
      </w:r>
      <w:r>
        <w:rPr>
          <w:rFonts w:eastAsiaTheme="minorEastAsia"/>
        </w:rPr>
        <w:t xml:space="preserve"> they are one to two orders of </w:t>
      </w:r>
      <w:r w:rsidR="00BE5674">
        <w:rPr>
          <w:rFonts w:eastAsiaTheme="minorEastAsia"/>
        </w:rPr>
        <w:t>magnitude</w:t>
      </w:r>
      <w:r>
        <w:rPr>
          <w:rFonts w:eastAsiaTheme="minorEastAsia"/>
        </w:rPr>
        <w:t xml:space="preserve"> lar</w:t>
      </w:r>
      <w:r w:rsidR="00BE5674">
        <w:rPr>
          <w:rFonts w:eastAsiaTheme="minorEastAsia"/>
        </w:rPr>
        <w:t>g</w:t>
      </w:r>
      <w:r>
        <w:rPr>
          <w:rFonts w:eastAsiaTheme="minorEastAsia"/>
        </w:rPr>
        <w:t xml:space="preserve">er than the observed values from the </w:t>
      </w:r>
      <w:r>
        <w:rPr>
          <w:rFonts w:eastAsiaTheme="minorEastAsia"/>
        </w:rPr>
        <w:t>EUREC4A campaign</w:t>
      </w:r>
      <w:r>
        <w:rPr>
          <w:rFonts w:eastAsiaTheme="minorEastAsia"/>
        </w:rPr>
        <w:t>.</w:t>
      </w:r>
      <w:r>
        <w:rPr>
          <w:rFonts w:eastAsiaTheme="minorEastAsia"/>
        </w:rPr>
        <w:t xml:space="preserve"> </w:t>
      </w:r>
      <w:r w:rsidRPr="00D36C05">
        <w:rPr>
          <w:rFonts w:eastAsiaTheme="minorEastAsia"/>
        </w:rPr>
        <w:t>As a remedy, we</w:t>
      </w:r>
      <w:r>
        <w:rPr>
          <w:rFonts w:eastAsiaTheme="minorEastAsia"/>
        </w:rPr>
        <w:t xml:space="preserve"> manually</w:t>
      </w:r>
      <w:r w:rsidRPr="00D36C05">
        <w:rPr>
          <w:rFonts w:eastAsiaTheme="minorEastAsia"/>
        </w:rPr>
        <w:t xml:space="preserve"> identify the sink rates producing spuriously large w values and replace </w:t>
      </w:r>
      <w:r w:rsidR="00BE5674">
        <w:rPr>
          <w:rFonts w:eastAsiaTheme="minorEastAsia"/>
        </w:rPr>
        <w:t>them</w:t>
      </w:r>
      <w:r w:rsidRPr="00D36C05">
        <w:rPr>
          <w:rFonts w:eastAsiaTheme="minorEastAsia"/>
        </w:rPr>
        <w:t xml:space="preserve"> with the weaker value at </w:t>
      </w:r>
      <w:r w:rsidR="00BE5674">
        <w:rPr>
          <w:rFonts w:eastAsiaTheme="minorEastAsia"/>
        </w:rPr>
        <w:t>0.9km</w:t>
      </w:r>
      <w:r w:rsidRPr="00D36C05">
        <w:rPr>
          <w:rFonts w:eastAsiaTheme="minorEastAsia"/>
        </w:rPr>
        <w:t>.</w:t>
      </w:r>
    </w:p>
    <w:p w14:paraId="1EFF6AF4" w14:textId="65F6370D" w:rsidR="001F7AA2" w:rsidRDefault="001F7AA2" w:rsidP="001F7AA2">
      <w:pPr>
        <w:pStyle w:val="ListParagraph"/>
        <w:numPr>
          <w:ilvl w:val="0"/>
          <w:numId w:val="1"/>
        </w:numPr>
        <w:rPr>
          <w:rFonts w:eastAsiaTheme="minorEastAsia"/>
        </w:rPr>
      </w:pPr>
      <w:r>
        <w:rPr>
          <w:rFonts w:eastAsiaTheme="minorEastAsia"/>
        </w:rPr>
        <w:t>Our model may be less accurate if a significant amount of high cloud is present in the domain or within the averaging area. The correlation between the derived GOES w field and the observed</w:t>
      </w:r>
      <w:r w:rsidR="00BE5674">
        <w:rPr>
          <w:rFonts w:eastAsiaTheme="minorEastAsia"/>
        </w:rPr>
        <w:t xml:space="preserve"> EUREC4A</w:t>
      </w:r>
      <w:r>
        <w:rPr>
          <w:rFonts w:eastAsiaTheme="minorEastAsia"/>
        </w:rPr>
        <w:t xml:space="preserve"> w field </w:t>
      </w:r>
      <w:r w:rsidRPr="0051671F">
        <w:rPr>
          <w:rFonts w:eastAsiaTheme="minorEastAsia"/>
          <w:i/>
          <w:iCs/>
        </w:rPr>
        <w:t xml:space="preserve">increases </w:t>
      </w:r>
      <w:r>
        <w:rPr>
          <w:rFonts w:eastAsiaTheme="minorEastAsia"/>
        </w:rPr>
        <w:t xml:space="preserve">when we remove </w:t>
      </w:r>
      <w:r w:rsidR="00BE5674">
        <w:rPr>
          <w:rFonts w:eastAsiaTheme="minorEastAsia"/>
        </w:rPr>
        <w:t>instances</w:t>
      </w:r>
      <w:r>
        <w:rPr>
          <w:rFonts w:eastAsiaTheme="minorEastAsia"/>
        </w:rPr>
        <w:t xml:space="preserve"> where high clouds comprise &gt;10% of the averaging area or &gt;2% of the entire domain. High clouds have several effects:</w:t>
      </w:r>
    </w:p>
    <w:p w14:paraId="47B6DE65" w14:textId="77777777" w:rsidR="001F7AA2" w:rsidRDefault="001F7AA2" w:rsidP="001F7AA2">
      <w:pPr>
        <w:pStyle w:val="ListParagraph"/>
        <w:numPr>
          <w:ilvl w:val="1"/>
          <w:numId w:val="1"/>
        </w:numPr>
        <w:rPr>
          <w:rFonts w:eastAsiaTheme="minorEastAsia"/>
        </w:rPr>
      </w:pPr>
      <w:r>
        <w:rPr>
          <w:rFonts w:eastAsiaTheme="minorEastAsia"/>
        </w:rPr>
        <w:t>They obscure low clouds, changing their representation in the derived w field from a positive value to 0. This results in an underestimation of the upwards mass flux.</w:t>
      </w:r>
    </w:p>
    <w:p w14:paraId="4D7E94AB" w14:textId="77777777" w:rsidR="001F7AA2" w:rsidRDefault="001F7AA2" w:rsidP="001F7AA2">
      <w:pPr>
        <w:pStyle w:val="ListParagraph"/>
        <w:numPr>
          <w:ilvl w:val="1"/>
          <w:numId w:val="1"/>
        </w:numPr>
        <w:rPr>
          <w:rFonts w:eastAsiaTheme="minorEastAsia"/>
        </w:rPr>
      </w:pPr>
      <w:r>
        <w:rPr>
          <w:rFonts w:eastAsiaTheme="minorEastAsia"/>
        </w:rPr>
        <w:t>They concentrate the compensatory subsidence. If high clouds comprise a significant portion of the domain, then the w</w:t>
      </w:r>
      <w:r>
        <w:rPr>
          <w:rFonts w:eastAsiaTheme="minorEastAsia"/>
          <w:vertAlign w:val="subscript"/>
        </w:rPr>
        <w:t>clear</w:t>
      </w:r>
      <w:r>
        <w:rPr>
          <w:rFonts w:eastAsiaTheme="minorEastAsia"/>
        </w:rPr>
        <w:t xml:space="preserve"> calculation produces a stronger subsidence value concentrated over fewer points. </w:t>
      </w:r>
    </w:p>
    <w:p w14:paraId="0C1A4502" w14:textId="58A68C42" w:rsidR="001F7AA2" w:rsidRDefault="001F7AA2" w:rsidP="001F7AA2">
      <w:pPr>
        <w:pStyle w:val="ListParagraph"/>
        <w:numPr>
          <w:ilvl w:val="0"/>
          <w:numId w:val="1"/>
        </w:numPr>
        <w:rPr>
          <w:rFonts w:eastAsiaTheme="minorEastAsia"/>
        </w:rPr>
      </w:pPr>
      <w:r>
        <w:rPr>
          <w:rFonts w:eastAsiaTheme="minorEastAsia"/>
        </w:rPr>
        <w:t xml:space="preserve">For similar reasons to #2, the model is sensitive to the size of the domain. Shrinking </w:t>
      </w:r>
      <w:r w:rsidR="00F41430">
        <w:rPr>
          <w:rFonts w:eastAsiaTheme="minorEastAsia"/>
        </w:rPr>
        <w:t xml:space="preserve">(or expanding) </w:t>
      </w:r>
      <w:r>
        <w:rPr>
          <w:rFonts w:eastAsiaTheme="minorEastAsia"/>
        </w:rPr>
        <w:t>the domain will change the sum of the upwards mass flux, the number of clear sky and cloudy pixels, and ultimately the w</w:t>
      </w:r>
      <w:r>
        <w:rPr>
          <w:rFonts w:eastAsiaTheme="minorEastAsia"/>
          <w:vertAlign w:val="subscript"/>
        </w:rPr>
        <w:t>clear</w:t>
      </w:r>
      <w:r>
        <w:rPr>
          <w:rFonts w:eastAsiaTheme="minorEastAsia"/>
        </w:rPr>
        <w:t xml:space="preserve"> value. For this reason, it is advisable to keep the domain large rather than small as these effects will be more pronounced over a smaller domain.</w:t>
      </w:r>
    </w:p>
    <w:p w14:paraId="124D0E62" w14:textId="6C10675A" w:rsidR="00430965" w:rsidRDefault="00430965" w:rsidP="001F7AA2">
      <w:pPr>
        <w:pStyle w:val="ListParagraph"/>
        <w:numPr>
          <w:ilvl w:val="0"/>
          <w:numId w:val="1"/>
        </w:numPr>
        <w:rPr>
          <w:rFonts w:eastAsiaTheme="minorEastAsia"/>
        </w:rPr>
      </w:pPr>
      <w:r>
        <w:rPr>
          <w:rFonts w:eastAsiaTheme="minorEastAsia"/>
        </w:rPr>
        <w:t xml:space="preserve">Similar to reasons #2 and #3, any regional averaging within the domain will be sensitive to the averaging area size. This is somewhat self-evident, however, in our correlation with JOANNE, it was important to get precise averaging circle radii and adjust the averaging area size </w:t>
      </w:r>
      <w:r w:rsidR="00B75BB3">
        <w:rPr>
          <w:rFonts w:eastAsiaTheme="minorEastAsia"/>
        </w:rPr>
        <w:t>accordingly for</w:t>
      </w:r>
      <w:r>
        <w:rPr>
          <w:rFonts w:eastAsiaTheme="minorEastAsia"/>
        </w:rPr>
        <w:t xml:space="preserve"> the most accurate correlation</w:t>
      </w:r>
      <w:r w:rsidR="007C3447">
        <w:rPr>
          <w:rFonts w:eastAsiaTheme="minorEastAsia"/>
        </w:rPr>
        <w:t>.</w:t>
      </w:r>
    </w:p>
    <w:p w14:paraId="0525F265" w14:textId="04333F54" w:rsidR="00BE5674" w:rsidRDefault="00BE5674" w:rsidP="001F7AA2">
      <w:pPr>
        <w:pStyle w:val="ListParagraph"/>
        <w:numPr>
          <w:ilvl w:val="0"/>
          <w:numId w:val="1"/>
        </w:numPr>
        <w:rPr>
          <w:rFonts w:eastAsiaTheme="minorEastAsia"/>
        </w:rPr>
      </w:pPr>
      <w:r>
        <w:rPr>
          <w:rFonts w:eastAsiaTheme="minorEastAsia"/>
        </w:rPr>
        <w:t>While coherent cloud systems may extend o</w:t>
      </w:r>
      <w:r w:rsidR="00B75BB3">
        <w:rPr>
          <w:rFonts w:eastAsiaTheme="minorEastAsia"/>
        </w:rPr>
        <w:t>ver</w:t>
      </w:r>
      <w:r>
        <w:rPr>
          <w:rFonts w:eastAsiaTheme="minorEastAsia"/>
        </w:rPr>
        <w:t xml:space="preserve"> the land surface, certain assumptions such as cloud base height do not hold up over in this environment. As such, and with the exception of small islands, any large amount of land should be omitted from the domain. </w:t>
      </w:r>
      <w:r>
        <w:rPr>
          <w:rFonts w:eastAsiaTheme="minorEastAsia"/>
        </w:rPr>
        <w:t>The code provided above does not remove or mask out GOES pixels over land, so the domain must be manually altered to do so.</w:t>
      </w:r>
    </w:p>
    <w:p w14:paraId="47431A80" w14:textId="77777777" w:rsidR="005F72C5" w:rsidRPr="005F72C5" w:rsidRDefault="005F72C5" w:rsidP="005F72C5">
      <w:pPr>
        <w:rPr>
          <w:rFonts w:eastAsiaTheme="minorEastAsia"/>
        </w:rPr>
      </w:pPr>
    </w:p>
    <w:p w14:paraId="6D4C0C05" w14:textId="77777777" w:rsidR="005F72C5" w:rsidRDefault="005F72C5" w:rsidP="005F72C5">
      <w:pPr>
        <w:rPr>
          <w:rFonts w:eastAsiaTheme="minorEastAsia"/>
          <w:b/>
          <w:bCs/>
        </w:rPr>
      </w:pPr>
      <w:r>
        <w:rPr>
          <w:rFonts w:eastAsiaTheme="minorEastAsia"/>
          <w:b/>
          <w:bCs/>
        </w:rPr>
        <w:t>How well do the GOES-derived fields match observations?</w:t>
      </w:r>
    </w:p>
    <w:p w14:paraId="1976150E" w14:textId="019E2768" w:rsidR="005F72C5" w:rsidRDefault="005F72C5" w:rsidP="007C3447">
      <w:pPr>
        <w:ind w:firstLine="409"/>
        <w:rPr>
          <w:rFonts w:eastAsiaTheme="minorEastAsia"/>
        </w:rPr>
      </w:pPr>
      <w:r w:rsidRPr="003B56E0">
        <w:rPr>
          <w:rFonts w:eastAsiaTheme="minorEastAsia"/>
        </w:rPr>
        <w:t xml:space="preserve">Testing </w:t>
      </w:r>
      <w:r>
        <w:rPr>
          <w:rFonts w:eastAsiaTheme="minorEastAsia"/>
        </w:rPr>
        <w:t>confirms that GOES-derived fields are sensitive to several factors throughout the calculation, some of which are detailed above in N</w:t>
      </w:r>
      <w:r w:rsidR="00430965">
        <w:rPr>
          <w:rFonts w:eastAsiaTheme="minorEastAsia"/>
        </w:rPr>
        <w:t>otes on Methodology</w:t>
      </w:r>
      <w:r>
        <w:rPr>
          <w:rFonts w:eastAsiaTheme="minorEastAsia"/>
        </w:rPr>
        <w:t>. The following adjustments and procedures are used in the calculation of correlations between Vogel/JOANNE and GOES:</w:t>
      </w:r>
    </w:p>
    <w:p w14:paraId="62126984" w14:textId="19461EDB" w:rsidR="005F72C5" w:rsidRDefault="005F72C5" w:rsidP="005F72C5">
      <w:pPr>
        <w:pStyle w:val="ListParagraph"/>
        <w:numPr>
          <w:ilvl w:val="0"/>
          <w:numId w:val="2"/>
        </w:numPr>
        <w:rPr>
          <w:rFonts w:cs="Open Sans"/>
        </w:rPr>
      </w:pPr>
      <w:r>
        <w:rPr>
          <w:rFonts w:cs="Open Sans"/>
        </w:rPr>
        <w:lastRenderedPageBreak/>
        <w:t xml:space="preserve">High GOES-derived w values (&gt;0.6 m/s) are attenuated according to the method described above in </w:t>
      </w:r>
      <w:r w:rsidR="00430965">
        <w:rPr>
          <w:rFonts w:eastAsiaTheme="minorEastAsia"/>
        </w:rPr>
        <w:t>Notes on Methodology</w:t>
      </w:r>
      <w:r>
        <w:rPr>
          <w:rFonts w:cs="Open Sans"/>
        </w:rPr>
        <w:t>.</w:t>
      </w:r>
    </w:p>
    <w:p w14:paraId="7766C5F7" w14:textId="561C8438" w:rsidR="005F72C5" w:rsidRDefault="005F72C5" w:rsidP="005F72C5">
      <w:pPr>
        <w:pStyle w:val="ListParagraph"/>
        <w:numPr>
          <w:ilvl w:val="0"/>
          <w:numId w:val="2"/>
        </w:numPr>
        <w:rPr>
          <w:rFonts w:cs="Open Sans"/>
        </w:rPr>
      </w:pPr>
      <w:r>
        <w:rPr>
          <w:rFonts w:cs="Open Sans"/>
        </w:rPr>
        <w:t xml:space="preserve">A python function is used to approximate a circular averaging area </w:t>
      </w:r>
      <w:r w:rsidR="00430965">
        <w:rPr>
          <w:rFonts w:cs="Open Sans"/>
        </w:rPr>
        <w:t>– like the one used in</w:t>
      </w:r>
      <w:r>
        <w:rPr>
          <w:rFonts w:cs="Open Sans"/>
        </w:rPr>
        <w:t xml:space="preserve"> EUREC4</w:t>
      </w:r>
      <w:r w:rsidR="00430965">
        <w:rPr>
          <w:rFonts w:cs="Open Sans"/>
        </w:rPr>
        <w:t xml:space="preserve">A </w:t>
      </w:r>
      <w:r w:rsidR="00430965">
        <w:rPr>
          <w:rFonts w:cs="Open Sans"/>
        </w:rPr>
        <w:t>–</w:t>
      </w:r>
      <w:r w:rsidR="00430965">
        <w:rPr>
          <w:rFonts w:cs="Open Sans"/>
        </w:rPr>
        <w:t xml:space="preserve"> and calculate an average for the circle over the rectangular GOES grid</w:t>
      </w:r>
      <w:r w:rsidR="007C3447">
        <w:rPr>
          <w:rFonts w:cs="Open Sans"/>
        </w:rPr>
        <w:t xml:space="preserve"> </w:t>
      </w:r>
      <w:r w:rsidR="00430965">
        <w:rPr>
          <w:rFonts w:cs="Open Sans"/>
        </w:rPr>
        <w:t>points</w:t>
      </w:r>
      <w:r w:rsidR="007C3447">
        <w:rPr>
          <w:rFonts w:cs="Open Sans"/>
        </w:rPr>
        <w:t>.</w:t>
      </w:r>
    </w:p>
    <w:p w14:paraId="7EAA5FBA" w14:textId="6A7FC54F" w:rsidR="00B75BB3" w:rsidRDefault="005F72C5" w:rsidP="005F72C5">
      <w:pPr>
        <w:pStyle w:val="ListParagraph"/>
        <w:numPr>
          <w:ilvl w:val="0"/>
          <w:numId w:val="2"/>
        </w:numPr>
        <w:rPr>
          <w:rFonts w:cs="Open Sans"/>
        </w:rPr>
      </w:pPr>
      <w:r>
        <w:rPr>
          <w:rFonts w:cs="Open Sans"/>
        </w:rPr>
        <w:t xml:space="preserve">The exact </w:t>
      </w:r>
      <w:r w:rsidR="00B75BB3">
        <w:rPr>
          <w:rFonts w:cs="Open Sans"/>
        </w:rPr>
        <w:t>diameter</w:t>
      </w:r>
      <w:r>
        <w:rPr>
          <w:rFonts w:cs="Open Sans"/>
        </w:rPr>
        <w:t xml:space="preserve"> of </w:t>
      </w:r>
      <w:r w:rsidR="00B75BB3">
        <w:rPr>
          <w:rFonts w:cs="Open Sans"/>
        </w:rPr>
        <w:t>each</w:t>
      </w:r>
      <w:r>
        <w:rPr>
          <w:rFonts w:cs="Open Sans"/>
        </w:rPr>
        <w:t xml:space="preserve"> </w:t>
      </w:r>
      <w:r w:rsidR="00B75BB3">
        <w:rPr>
          <w:rFonts w:cs="Open Sans"/>
        </w:rPr>
        <w:t xml:space="preserve">completed dropsonde loop is available in the JOANNE dataset. Thus, rather than relying on the provided average diameter of 220km, a more precise value can be utilized to best match the GOES averaging circle with the EUREC4A one.  </w:t>
      </w:r>
    </w:p>
    <w:p w14:paraId="01B8F48B" w14:textId="77777777" w:rsidR="005F72C5" w:rsidRDefault="005F72C5" w:rsidP="005F72C5">
      <w:pPr>
        <w:pStyle w:val="ListParagraph"/>
        <w:numPr>
          <w:ilvl w:val="0"/>
          <w:numId w:val="2"/>
        </w:numPr>
        <w:rPr>
          <w:rFonts w:cs="Open Sans"/>
        </w:rPr>
      </w:pPr>
      <w:r>
        <w:rPr>
          <w:rFonts w:cs="Open Sans"/>
        </w:rPr>
        <w:t>Values that occur before sunrise or after sunset, or very close to either, are omitted as GOES reflectance values fall to 0 or are heavily biased due to the insolation angle.</w:t>
      </w:r>
    </w:p>
    <w:p w14:paraId="2F8A2335" w14:textId="77777777" w:rsidR="005F72C5" w:rsidRDefault="005F72C5" w:rsidP="005F72C5">
      <w:pPr>
        <w:pStyle w:val="ListParagraph"/>
        <w:numPr>
          <w:ilvl w:val="0"/>
          <w:numId w:val="2"/>
        </w:numPr>
        <w:rPr>
          <w:rFonts w:cs="Open Sans"/>
        </w:rPr>
      </w:pPr>
      <w:r>
        <w:rPr>
          <w:rFonts w:cs="Open Sans"/>
        </w:rPr>
        <w:t>If high clouds comprise &gt; 2% of the averaging area or 20% of the domain, the value is omitted.</w:t>
      </w:r>
    </w:p>
    <w:p w14:paraId="61757043" w14:textId="77777777" w:rsidR="005F72C5" w:rsidRDefault="005F72C5" w:rsidP="005F72C5">
      <w:pPr>
        <w:pStyle w:val="ListParagraph"/>
        <w:numPr>
          <w:ilvl w:val="0"/>
          <w:numId w:val="2"/>
        </w:numPr>
        <w:rPr>
          <w:rFonts w:cs="Open Sans"/>
        </w:rPr>
      </w:pPr>
      <w:r>
        <w:rPr>
          <w:rFonts w:cs="Open Sans"/>
        </w:rPr>
        <w:t>Previous calculations allowed reflectance values &gt;1 (but no higher than ~1.4). This, however, was found to contribute to the skewed W and divergence fields, and values are instead clipped at 1.</w:t>
      </w:r>
    </w:p>
    <w:p w14:paraId="71609A2C" w14:textId="53D14658" w:rsidR="005F72C5" w:rsidRDefault="005F72C5" w:rsidP="005F72C5">
      <w:pPr>
        <w:pStyle w:val="ListParagraph"/>
        <w:numPr>
          <w:ilvl w:val="0"/>
          <w:numId w:val="2"/>
        </w:numPr>
        <w:rPr>
          <w:rFonts w:cs="Open Sans"/>
        </w:rPr>
      </w:pPr>
      <w:r>
        <w:rPr>
          <w:rFonts w:cs="Open Sans"/>
        </w:rPr>
        <w:t>High cloud pixels (cloud top &gt; 3.6km) = 0, clear-sky pixels = -w</w:t>
      </w:r>
      <w:r>
        <w:rPr>
          <w:rFonts w:cs="Open Sans"/>
          <w:vertAlign w:val="subscript"/>
        </w:rPr>
        <w:t>clear</w:t>
      </w:r>
      <w:r>
        <w:rPr>
          <w:rFonts w:cs="Open Sans"/>
        </w:rPr>
        <w:t>. Note that for mass flux comparisons, clear-sky pixels are set to 0</w:t>
      </w:r>
      <w:r w:rsidR="00B75BB3">
        <w:rPr>
          <w:rFonts w:cs="Open Sans"/>
        </w:rPr>
        <w:t>, leaving only positive w values.</w:t>
      </w:r>
    </w:p>
    <w:p w14:paraId="2207700A" w14:textId="77777777" w:rsidR="005F72C5" w:rsidRDefault="005F72C5" w:rsidP="005F72C5">
      <w:pPr>
        <w:pStyle w:val="ListParagraph"/>
        <w:numPr>
          <w:ilvl w:val="0"/>
          <w:numId w:val="2"/>
        </w:numPr>
        <w:rPr>
          <w:rFonts w:cs="Open Sans"/>
        </w:rPr>
      </w:pPr>
      <w:r>
        <w:rPr>
          <w:rFonts w:cs="Open Sans"/>
        </w:rPr>
        <w:t xml:space="preserve">The GOES domain is tightened to cut out the South American continent where the shallow marine convection model does not apply. </w:t>
      </w:r>
    </w:p>
    <w:p w14:paraId="4A5CF919" w14:textId="55775C70" w:rsidR="007C3447" w:rsidRDefault="007C3447" w:rsidP="005F72C5">
      <w:pPr>
        <w:pStyle w:val="ListParagraph"/>
        <w:numPr>
          <w:ilvl w:val="0"/>
          <w:numId w:val="2"/>
        </w:numPr>
        <w:rPr>
          <w:rFonts w:cs="Open Sans"/>
        </w:rPr>
      </w:pPr>
      <w:r>
        <w:rPr>
          <w:rFonts w:cs="Open Sans"/>
        </w:rPr>
        <w:t xml:space="preserve">For any area-averaged variable in the JOANNE dataset such as W or divergence, the mean time during dropsonde deployment is provided. Because it took about 80 minutes to complete a circle, a certain amount of error is introduced into the calculation as clouds move in and out of the averaging region during the flight. </w:t>
      </w:r>
      <w:commentRangeStart w:id="3"/>
      <w:r w:rsidR="00B75BB3">
        <w:rPr>
          <w:rFonts w:cs="Open Sans"/>
        </w:rPr>
        <w:t>However, we found that aligning the GOES measurement with the average time yielded similar values to using the start and end times of the dropsonde deployment and then averaging them together</w:t>
      </w:r>
      <w:commentRangeEnd w:id="3"/>
      <w:r w:rsidR="00B75BB3">
        <w:rPr>
          <w:rStyle w:val="CommentReference"/>
          <w:rFonts w:cs="Open Sans"/>
          <w:sz w:val="24"/>
          <w:szCs w:val="24"/>
        </w:rPr>
        <w:commentReference w:id="3"/>
      </w:r>
      <w:r w:rsidR="00B75BB3">
        <w:rPr>
          <w:rFonts w:cs="Open Sans"/>
        </w:rPr>
        <w:t>.</w:t>
      </w:r>
    </w:p>
    <w:p w14:paraId="4C5DF5E7" w14:textId="77777777" w:rsidR="007C3447" w:rsidRDefault="007C3447" w:rsidP="007C3447">
      <w:pPr>
        <w:rPr>
          <w:rFonts w:cs="Open Sans"/>
        </w:rPr>
      </w:pPr>
    </w:p>
    <w:p w14:paraId="7FDEF9D1" w14:textId="53D2AE55" w:rsidR="00510338" w:rsidRDefault="00510338" w:rsidP="007F77BA">
      <w:pPr>
        <w:ind w:firstLine="409"/>
        <w:rPr>
          <w:rFonts w:cs="Open Sans"/>
        </w:rPr>
      </w:pPr>
      <w:r>
        <w:rPr>
          <w:rFonts w:cs="Open Sans"/>
        </w:rPr>
        <w:t xml:space="preserve">In the plot below, GOES sub-cloud divergence area averages (orange) are plotted against the JOANNE sub-cloud area-averaged observations (blue) over the course of the EUREC4A campaign. </w:t>
      </w:r>
      <w:r>
        <w:rPr>
          <w:rFonts w:cs="Open Sans"/>
        </w:rPr>
        <w:t xml:space="preserve">Initial results indicate that while our model can accurately compute the sign of the observed JOANNE divergence and vertical velocity in the sub-cloud layer, </w:t>
      </w:r>
      <w:r w:rsidR="00B75BB3">
        <w:rPr>
          <w:rFonts w:cs="Open Sans"/>
        </w:rPr>
        <w:t xml:space="preserve">and despite myriad adjustments, </w:t>
      </w:r>
      <w:r>
        <w:rPr>
          <w:rFonts w:cs="Open Sans"/>
        </w:rPr>
        <w:t>GOES values are</w:t>
      </w:r>
      <w:r w:rsidR="00B75BB3">
        <w:rPr>
          <w:rFonts w:cs="Open Sans"/>
        </w:rPr>
        <w:t xml:space="preserve"> still</w:t>
      </w:r>
      <w:r>
        <w:rPr>
          <w:rFonts w:cs="Open Sans"/>
        </w:rPr>
        <w:t xml:space="preserve"> about an order of magnitude larger</w:t>
      </w:r>
      <w:r>
        <w:rPr>
          <w:rFonts w:cs="Open Sans"/>
        </w:rPr>
        <w:t xml:space="preserve"> on average</w:t>
      </w:r>
      <w:r>
        <w:rPr>
          <w:rFonts w:cs="Open Sans"/>
        </w:rPr>
        <w:t xml:space="preserve"> than those in JOANNE.</w:t>
      </w:r>
      <w:r w:rsidR="007F77BA">
        <w:rPr>
          <w:rFonts w:cs="Open Sans"/>
        </w:rPr>
        <w:t xml:space="preserve"> </w:t>
      </w:r>
      <w:r>
        <w:rPr>
          <w:rFonts w:cs="Open Sans"/>
        </w:rPr>
        <w:t>T</w:t>
      </w:r>
      <w:r>
        <w:rPr>
          <w:rFonts w:cs="Open Sans"/>
        </w:rPr>
        <w:t>his may be due to simplifications of the cloud field made in the mathematical model</w:t>
      </w:r>
      <w:r>
        <w:rPr>
          <w:rFonts w:cs="Open Sans"/>
        </w:rPr>
        <w:t xml:space="preserve"> such averaging over inter-cloud turbulence </w:t>
      </w:r>
      <w:r w:rsidR="00B75BB3">
        <w:rPr>
          <w:rFonts w:cs="Open Sans"/>
        </w:rPr>
        <w:t>or</w:t>
      </w:r>
      <w:r>
        <w:rPr>
          <w:rFonts w:cs="Open Sans"/>
        </w:rPr>
        <w:t xml:space="preserve"> </w:t>
      </w:r>
      <w:r>
        <w:rPr>
          <w:rFonts w:cs="Open Sans"/>
        </w:rPr>
        <w:t>the uniform subsidence field</w:t>
      </w:r>
      <w:r>
        <w:rPr>
          <w:rFonts w:cs="Open Sans"/>
        </w:rPr>
        <w:t>.</w:t>
      </w:r>
      <w:r>
        <w:rPr>
          <w:rFonts w:cs="Open Sans"/>
        </w:rPr>
        <w:t xml:space="preserve"> </w:t>
      </w:r>
      <w:r>
        <w:rPr>
          <w:rFonts w:cs="Open Sans"/>
        </w:rPr>
        <w:t>Our model also does not consider</w:t>
      </w:r>
      <w:r>
        <w:rPr>
          <w:rFonts w:cs="Open Sans"/>
        </w:rPr>
        <w:t xml:space="preserve"> </w:t>
      </w:r>
      <w:r>
        <w:rPr>
          <w:rFonts w:cs="Open Sans"/>
        </w:rPr>
        <w:t>the</w:t>
      </w:r>
      <w:r>
        <w:rPr>
          <w:rFonts w:cs="Open Sans"/>
        </w:rPr>
        <w:t xml:space="preserve"> amplifying and dampening </w:t>
      </w:r>
      <w:r>
        <w:rPr>
          <w:rFonts w:cs="Open Sans"/>
        </w:rPr>
        <w:lastRenderedPageBreak/>
        <w:t xml:space="preserve">effects </w:t>
      </w:r>
      <w:r>
        <w:rPr>
          <w:rFonts w:cs="Open Sans"/>
        </w:rPr>
        <w:t>of</w:t>
      </w:r>
      <w:r>
        <w:rPr>
          <w:rFonts w:cs="Open Sans"/>
        </w:rPr>
        <w:t xml:space="preserve"> gravity waves</w:t>
      </w:r>
      <w:r>
        <w:rPr>
          <w:rFonts w:cs="Open Sans"/>
        </w:rPr>
        <w:t xml:space="preserve"> on the W field.</w:t>
      </w:r>
      <w:r>
        <w:rPr>
          <w:rFonts w:cs="Open Sans"/>
        </w:rPr>
        <w:t xml:space="preserve"> However, this bias is mostly uniform through the GOES results, and as such, a scaling coefficient is developed to better match GOES </w:t>
      </w:r>
      <w:r w:rsidR="00B75BB3">
        <w:rPr>
          <w:rFonts w:cs="Open Sans"/>
        </w:rPr>
        <w:t>W</w:t>
      </w:r>
      <w:r>
        <w:rPr>
          <w:rFonts w:cs="Open Sans"/>
        </w:rPr>
        <w:t xml:space="preserve"> magnitudes to observations.</w:t>
      </w:r>
    </w:p>
    <w:p w14:paraId="029BBC7C" w14:textId="2822C9FA" w:rsidR="00510338" w:rsidRDefault="00510338" w:rsidP="007443AA">
      <w:pPr>
        <w:ind w:firstLine="409"/>
        <w:rPr>
          <w:rFonts w:cs="Open Sans"/>
        </w:rPr>
      </w:pPr>
    </w:p>
    <w:p w14:paraId="644C29D6" w14:textId="6D0DF479" w:rsidR="00510338" w:rsidRDefault="00510338" w:rsidP="007443AA">
      <w:pPr>
        <w:ind w:firstLine="409"/>
        <w:rPr>
          <w:rFonts w:cs="Open Sans"/>
        </w:rPr>
      </w:pPr>
      <m:oMathPara>
        <m:oMath>
          <m:r>
            <m:rPr>
              <m:sty m:val="p"/>
            </m:rPr>
            <w:rPr>
              <w:rFonts w:ascii="Cambria Math" w:eastAsiaTheme="minorEastAsia" w:hAnsi="Cambria Math" w:cs="Open Sans"/>
              <w:noProof/>
            </w:rPr>
            <w:drawing>
              <wp:inline distT="0" distB="0" distL="0" distR="0" wp14:anchorId="4B68B69D" wp14:editId="75D9F097">
                <wp:extent cx="5154804" cy="2123052"/>
                <wp:effectExtent l="0" t="0" r="1905" b="0"/>
                <wp:docPr id="17884688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8468876" name="Picture 1788468876"/>
                        <pic:cNvPicPr/>
                      </pic:nvPicPr>
                      <pic:blipFill>
                        <a:blip r:embed="rId12">
                          <a:extLst>
                            <a:ext uri="{28A0092B-C50C-407E-A947-70E740481C1C}">
                              <a14:useLocalDpi xmlns:a14="http://schemas.microsoft.com/office/drawing/2010/main" val="0"/>
                            </a:ext>
                          </a:extLst>
                        </a:blip>
                        <a:stretch>
                          <a:fillRect/>
                        </a:stretch>
                      </pic:blipFill>
                      <pic:spPr>
                        <a:xfrm>
                          <a:off x="0" y="0"/>
                          <a:ext cx="5170991" cy="2129719"/>
                        </a:xfrm>
                        <a:prstGeom prst="rect">
                          <a:avLst/>
                        </a:prstGeom>
                      </pic:spPr>
                    </pic:pic>
                  </a:graphicData>
                </a:graphic>
              </wp:inline>
            </w:drawing>
          </m:r>
        </m:oMath>
      </m:oMathPara>
    </w:p>
    <w:p w14:paraId="589F9DBE" w14:textId="2D2B8FD9" w:rsidR="00797846" w:rsidRDefault="007443AA" w:rsidP="007C3447">
      <w:pPr>
        <w:rPr>
          <w:rFonts w:cs="Open Sans"/>
        </w:rPr>
      </w:pPr>
      <w:r>
        <w:rPr>
          <w:rFonts w:cs="Open Sans"/>
        </w:rPr>
        <w:tab/>
      </w:r>
      <w:r w:rsidR="00797846">
        <w:rPr>
          <w:rFonts w:cs="Open Sans"/>
        </w:rPr>
        <w:t xml:space="preserve">The scaling coefficient </w:t>
      </w:r>
      <w:r w:rsidR="00797846">
        <w:rPr>
          <w:rFonts w:eastAsiaTheme="minorEastAsia" w:cs="Open Sans"/>
        </w:rPr>
        <w:t>(</w:t>
      </w:r>
      <m:oMath>
        <m:r>
          <w:rPr>
            <w:rFonts w:ascii="Cambria Math" w:hAnsi="Cambria Math" w:cs="Open Sans"/>
          </w:rPr>
          <m:t>∝</m:t>
        </m:r>
      </m:oMath>
      <w:r w:rsidR="00797846">
        <w:rPr>
          <w:rFonts w:eastAsiaTheme="minorEastAsia" w:cs="Open Sans"/>
        </w:rPr>
        <w:t xml:space="preserve">) </w:t>
      </w:r>
      <w:r w:rsidR="00797846">
        <w:rPr>
          <w:rFonts w:cs="Open Sans"/>
        </w:rPr>
        <w:t>is calculated as:</w:t>
      </w:r>
    </w:p>
    <w:p w14:paraId="5343FE81" w14:textId="43F41DF8" w:rsidR="007443AA" w:rsidRPr="00797846" w:rsidRDefault="00797846" w:rsidP="00797846">
      <w:pPr>
        <w:jc w:val="center"/>
        <w:rPr>
          <w:rFonts w:eastAsiaTheme="minorEastAsia" w:cs="Open Sans"/>
        </w:rPr>
      </w:pPr>
      <m:oMathPara>
        <m:oMath>
          <m:r>
            <w:rPr>
              <w:rFonts w:ascii="Cambria Math" w:hAnsi="Cambria Math" w:cs="Open Sans"/>
            </w:rPr>
            <m:t xml:space="preserve">∝ = </m:t>
          </m:r>
          <m:sSub>
            <m:sSubPr>
              <m:ctrlPr>
                <w:rPr>
                  <w:rFonts w:ascii="Cambria Math" w:eastAsiaTheme="minorEastAsia" w:hAnsi="Cambria Math" w:cs="Open Sans"/>
                  <w:i/>
                </w:rPr>
              </m:ctrlPr>
            </m:sSubPr>
            <m:e>
              <m:r>
                <w:rPr>
                  <w:rFonts w:ascii="Cambria Math" w:eastAsiaTheme="minorEastAsia" w:hAnsi="Cambria Math" w:cs="Open Sans"/>
                </w:rPr>
                <m:t>m</m:t>
              </m:r>
            </m:e>
            <m:sub>
              <m:r>
                <w:rPr>
                  <w:rFonts w:ascii="Cambria Math" w:eastAsiaTheme="minorEastAsia" w:hAnsi="Cambria Math" w:cs="Open Sans"/>
                </w:rPr>
                <m:t>norm</m:t>
              </m:r>
            </m:sub>
          </m:sSub>
          <m:r>
            <w:rPr>
              <w:rFonts w:ascii="Cambria Math" w:eastAsiaTheme="minorEastAsia" w:hAnsi="Cambria Math" w:cs="Open Sans"/>
            </w:rPr>
            <m:t>*</m:t>
          </m:r>
          <m:f>
            <m:fPr>
              <m:ctrlPr>
                <w:rPr>
                  <w:rFonts w:ascii="Cambria Math" w:eastAsiaTheme="minorEastAsia" w:hAnsi="Cambria Math" w:cs="Open Sans"/>
                  <w:i/>
                </w:rPr>
              </m:ctrlPr>
            </m:fPr>
            <m:num>
              <m:sSub>
                <m:sSubPr>
                  <m:ctrlPr>
                    <w:rPr>
                      <w:rFonts w:ascii="Cambria Math" w:eastAsiaTheme="minorEastAsia" w:hAnsi="Cambria Math" w:cs="Open Sans"/>
                      <w:i/>
                    </w:rPr>
                  </m:ctrlPr>
                </m:sSubPr>
                <m:e>
                  <m:r>
                    <w:rPr>
                      <w:rFonts w:ascii="Cambria Math" w:eastAsiaTheme="minorEastAsia" w:hAnsi="Cambria Math" w:cs="Open Sans"/>
                    </w:rPr>
                    <m:t>σ</m:t>
                  </m:r>
                </m:e>
                <m:sub>
                  <m:r>
                    <w:rPr>
                      <w:rFonts w:ascii="Cambria Math" w:eastAsiaTheme="minorEastAsia" w:hAnsi="Cambria Math" w:cs="Open Sans"/>
                    </w:rPr>
                    <m:t>JOANNE</m:t>
                  </m:r>
                </m:sub>
              </m:sSub>
            </m:num>
            <m:den>
              <m:sSub>
                <m:sSubPr>
                  <m:ctrlPr>
                    <w:rPr>
                      <w:rFonts w:ascii="Cambria Math" w:eastAsiaTheme="minorEastAsia" w:hAnsi="Cambria Math" w:cs="Open Sans"/>
                      <w:i/>
                    </w:rPr>
                  </m:ctrlPr>
                </m:sSubPr>
                <m:e>
                  <m:r>
                    <w:rPr>
                      <w:rFonts w:ascii="Cambria Math" w:eastAsiaTheme="minorEastAsia" w:hAnsi="Cambria Math" w:cs="Open Sans"/>
                    </w:rPr>
                    <m:t>σ</m:t>
                  </m:r>
                </m:e>
                <m:sub>
                  <m:r>
                    <w:rPr>
                      <w:rFonts w:ascii="Cambria Math" w:eastAsiaTheme="minorEastAsia" w:hAnsi="Cambria Math" w:cs="Open Sans"/>
                    </w:rPr>
                    <m:t>GOES</m:t>
                  </m:r>
                </m:sub>
              </m:sSub>
            </m:den>
          </m:f>
        </m:oMath>
      </m:oMathPara>
    </w:p>
    <w:p w14:paraId="1270651F" w14:textId="3A73BEA9" w:rsidR="00797846" w:rsidRPr="007F77BA" w:rsidRDefault="00797846" w:rsidP="00797846">
      <w:pPr>
        <w:rPr>
          <w:rFonts w:eastAsiaTheme="minorEastAsia" w:cs="Open Sans"/>
        </w:rPr>
      </w:pPr>
      <w:r>
        <w:rPr>
          <w:rFonts w:eastAsiaTheme="minorEastAsia" w:cs="Open Sans"/>
        </w:rPr>
        <w:t xml:space="preserve">where </w:t>
      </w:r>
      <m:oMath>
        <m:sSub>
          <m:sSubPr>
            <m:ctrlPr>
              <w:rPr>
                <w:rFonts w:ascii="Cambria Math" w:eastAsiaTheme="minorEastAsia" w:hAnsi="Cambria Math" w:cs="Open Sans"/>
                <w:i/>
              </w:rPr>
            </m:ctrlPr>
          </m:sSubPr>
          <m:e>
            <m:r>
              <w:rPr>
                <w:rFonts w:ascii="Cambria Math" w:eastAsiaTheme="minorEastAsia" w:hAnsi="Cambria Math" w:cs="Open Sans"/>
              </w:rPr>
              <m:t>m</m:t>
            </m:r>
          </m:e>
          <m:sub>
            <m:r>
              <w:rPr>
                <w:rFonts w:ascii="Cambria Math" w:eastAsiaTheme="minorEastAsia" w:hAnsi="Cambria Math" w:cs="Open Sans"/>
              </w:rPr>
              <m:t>norm</m:t>
            </m:r>
          </m:sub>
        </m:sSub>
      </m:oMath>
      <w:r>
        <w:rPr>
          <w:rFonts w:eastAsiaTheme="minorEastAsia" w:cs="Open Sans"/>
        </w:rPr>
        <w:t xml:space="preserve"> is the slope of the normalized correlation between 3-hr averages of GOES and JOANNE and </w:t>
      </w:r>
      <m:oMath>
        <m:r>
          <w:rPr>
            <w:rFonts w:ascii="Cambria Math" w:eastAsiaTheme="minorEastAsia" w:hAnsi="Cambria Math" w:cs="Open Sans"/>
          </w:rPr>
          <m:t>σ</m:t>
        </m:r>
      </m:oMath>
      <w:r>
        <w:rPr>
          <w:rFonts w:eastAsiaTheme="minorEastAsia" w:cs="Open Sans"/>
        </w:rPr>
        <w:t xml:space="preserve"> is the standard deviation of each</w:t>
      </w:r>
      <w:r w:rsidR="007F77BA">
        <w:rPr>
          <w:rFonts w:eastAsiaTheme="minorEastAsia" w:cs="Open Sans"/>
        </w:rPr>
        <w:t xml:space="preserve"> respective</w:t>
      </w:r>
      <w:r>
        <w:rPr>
          <w:rFonts w:eastAsiaTheme="minorEastAsia" w:cs="Open Sans"/>
        </w:rPr>
        <w:t xml:space="preserve"> dataset.</w:t>
      </w:r>
      <w:r w:rsidR="007F77BA">
        <w:rPr>
          <w:rFonts w:eastAsiaTheme="minorEastAsia" w:cs="Open Sans"/>
        </w:rPr>
        <w:t xml:space="preserve"> To calculate the slope,</w:t>
      </w:r>
      <w:r>
        <w:rPr>
          <w:rFonts w:eastAsiaTheme="minorEastAsia" w:cs="Open Sans"/>
        </w:rPr>
        <w:t xml:space="preserve"> </w:t>
      </w:r>
      <w:r w:rsidR="007F77BA">
        <w:rPr>
          <w:rFonts w:eastAsiaTheme="minorEastAsia" w:cs="Open Sans"/>
        </w:rPr>
        <w:t>e</w:t>
      </w:r>
      <w:r w:rsidR="00510338">
        <w:rPr>
          <w:rFonts w:eastAsiaTheme="minorEastAsia" w:cs="Open Sans"/>
        </w:rPr>
        <w:t xml:space="preserve">ach </w:t>
      </w:r>
      <w:r w:rsidR="002F7B64">
        <w:rPr>
          <w:rFonts w:eastAsiaTheme="minorEastAsia" w:cs="Open Sans"/>
        </w:rPr>
        <w:t>3-hr average</w:t>
      </w:r>
      <w:r w:rsidR="007F77BA">
        <w:rPr>
          <w:rFonts w:eastAsiaTheme="minorEastAsia" w:cs="Open Sans"/>
        </w:rPr>
        <w:t xml:space="preserve"> is first normalized</w:t>
      </w:r>
      <w:r w:rsidR="00510338">
        <w:rPr>
          <w:rFonts w:eastAsiaTheme="minorEastAsia" w:cs="Open Sans"/>
        </w:rPr>
        <w:t xml:space="preserve"> by </w:t>
      </w:r>
      <w:r w:rsidR="007F77BA">
        <w:rPr>
          <w:rFonts w:eastAsiaTheme="minorEastAsia" w:cs="Open Sans"/>
        </w:rPr>
        <w:t>its dataset’s</w:t>
      </w:r>
      <w:r w:rsidR="00510338">
        <w:rPr>
          <w:rFonts w:eastAsiaTheme="minorEastAsia" w:cs="Open Sans"/>
        </w:rPr>
        <w:t xml:space="preserve"> standard deviation. </w:t>
      </w:r>
      <w:r w:rsidR="007F77BA">
        <w:rPr>
          <w:rFonts w:eastAsiaTheme="minorEastAsia" w:cs="Open Sans"/>
        </w:rPr>
        <w:t xml:space="preserve">Uncertainty in each 3-hour average is calculated as the standard error of the mean which is computed </w:t>
      </w:r>
      <w:r w:rsidR="00510338">
        <w:rPr>
          <w:rFonts w:eastAsiaTheme="minorEastAsia" w:cs="Open Sans"/>
        </w:rPr>
        <w:t xml:space="preserve">by </w:t>
      </w:r>
      <w:r w:rsidR="002F7B64">
        <w:rPr>
          <w:rFonts w:eastAsiaTheme="minorEastAsia" w:cs="Open Sans"/>
        </w:rPr>
        <w:t xml:space="preserve">dividing the standard deviation of </w:t>
      </w:r>
      <w:r w:rsidR="007F77BA">
        <w:rPr>
          <w:rFonts w:eastAsiaTheme="minorEastAsia" w:cs="Open Sans"/>
        </w:rPr>
        <w:t>its constituent data point by the square root of their count. Some 3-hourly averages contain only one or two points for reasons expressed above in Notes on Methodology.</w:t>
      </w:r>
      <w:r w:rsidR="00510338">
        <w:rPr>
          <w:rFonts w:eastAsiaTheme="minorEastAsia" w:cs="Open Sans"/>
        </w:rPr>
        <w:t xml:space="preserve"> Then</w:t>
      </w:r>
      <w:r w:rsidR="007F77BA">
        <w:rPr>
          <w:rFonts w:eastAsiaTheme="minorEastAsia" w:cs="Open Sans"/>
        </w:rPr>
        <w:t>,</w:t>
      </w:r>
      <w:r w:rsidR="00510338">
        <w:rPr>
          <w:rFonts w:eastAsiaTheme="minorEastAsia" w:cs="Open Sans"/>
        </w:rPr>
        <w:t xml:space="preserve"> a total least squares regression</w:t>
      </w:r>
      <w:r w:rsidR="007F77BA">
        <w:rPr>
          <w:rFonts w:eastAsiaTheme="minorEastAsia" w:cs="Open Sans"/>
        </w:rPr>
        <w:t>, which presumes error in both axes,</w:t>
      </w:r>
      <w:r w:rsidR="00510338">
        <w:rPr>
          <w:rFonts w:eastAsiaTheme="minorEastAsia" w:cs="Open Sans"/>
        </w:rPr>
        <w:t xml:space="preserve"> is applied</w:t>
      </w:r>
      <w:r w:rsidR="007F77BA">
        <w:rPr>
          <w:rFonts w:eastAsiaTheme="minorEastAsia" w:cs="Open Sans"/>
        </w:rPr>
        <w:t xml:space="preserve"> to compute the best-fit line i.e. the </w:t>
      </w:r>
      <m:oMath>
        <m:sSub>
          <m:sSubPr>
            <m:ctrlPr>
              <w:rPr>
                <w:rFonts w:ascii="Cambria Math" w:eastAsiaTheme="minorEastAsia" w:hAnsi="Cambria Math" w:cs="Open Sans"/>
                <w:i/>
              </w:rPr>
            </m:ctrlPr>
          </m:sSubPr>
          <m:e>
            <m:r>
              <w:rPr>
                <w:rFonts w:ascii="Cambria Math" w:eastAsiaTheme="minorEastAsia" w:hAnsi="Cambria Math" w:cs="Open Sans"/>
              </w:rPr>
              <m:t>m</m:t>
            </m:r>
          </m:e>
          <m:sub>
            <m:r>
              <w:rPr>
                <w:rFonts w:ascii="Cambria Math" w:eastAsiaTheme="minorEastAsia" w:hAnsi="Cambria Math" w:cs="Open Sans"/>
              </w:rPr>
              <m:t>norm</m:t>
            </m:r>
          </m:sub>
        </m:sSub>
      </m:oMath>
      <w:r w:rsidR="007F77BA">
        <w:rPr>
          <w:rFonts w:eastAsiaTheme="minorEastAsia" w:cs="Open Sans"/>
        </w:rPr>
        <w:t>. This yields a scaling coefficient of 0.1733. This coefficient was calculated using both divergence and vertical velocity</w:t>
      </w:r>
      <w:r w:rsidR="006E2376">
        <w:rPr>
          <w:rFonts w:eastAsiaTheme="minorEastAsia" w:cs="Open Sans"/>
        </w:rPr>
        <w:t xml:space="preserve"> and both produced the same value. </w:t>
      </w:r>
      <w:r w:rsidR="005711E3">
        <w:rPr>
          <w:rFonts w:eastAsiaTheme="minorEastAsia" w:cs="Open Sans"/>
        </w:rPr>
        <w:t>This was expected as the divergence, in both JOANNE and GOES, is derived directly from the vertical velocity field.</w:t>
      </w:r>
    </w:p>
    <w:p w14:paraId="05332302" w14:textId="77777777" w:rsidR="005711E3" w:rsidRDefault="006E2376" w:rsidP="007C3447">
      <w:pPr>
        <w:rPr>
          <w:rFonts w:cs="Open Sans"/>
        </w:rPr>
      </w:pPr>
      <w:r>
        <w:rPr>
          <w:rFonts w:cs="Open Sans"/>
        </w:rPr>
        <w:tab/>
      </w:r>
      <w:r w:rsidR="005711E3">
        <w:rPr>
          <w:rFonts w:cs="Open Sans"/>
        </w:rPr>
        <w:t>Applying the scaling coefficient significantly improves the model’s accuracy:</w:t>
      </w:r>
    </w:p>
    <w:p w14:paraId="5F854B4A" w14:textId="058E7708" w:rsidR="007C3447" w:rsidRDefault="005711E3" w:rsidP="007C3447">
      <w:pPr>
        <w:rPr>
          <w:rFonts w:cs="Open Sans"/>
        </w:rPr>
      </w:pPr>
      <w:r>
        <w:rPr>
          <w:rFonts w:cs="Open Sans"/>
        </w:rPr>
        <w:lastRenderedPageBreak/>
        <w:t xml:space="preserve"> </w:t>
      </w:r>
      <w:r>
        <w:rPr>
          <w:rFonts w:cs="Open Sans"/>
          <w:noProof/>
        </w:rPr>
        <w:drawing>
          <wp:inline distT="0" distB="0" distL="0" distR="0" wp14:anchorId="45792CFF" wp14:editId="254963E7">
            <wp:extent cx="5943600" cy="2437765"/>
            <wp:effectExtent l="0" t="0" r="0" b="635"/>
            <wp:docPr id="1034797420"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797420" name="Picture 1034797420"/>
                    <pic:cNvPicPr/>
                  </pic:nvPicPr>
                  <pic:blipFill>
                    <a:blip r:embed="rId13">
                      <a:extLst>
                        <a:ext uri="{28A0092B-C50C-407E-A947-70E740481C1C}">
                          <a14:useLocalDpi xmlns:a14="http://schemas.microsoft.com/office/drawing/2010/main" val="0"/>
                        </a:ext>
                      </a:extLst>
                    </a:blip>
                    <a:stretch>
                      <a:fillRect/>
                    </a:stretch>
                  </pic:blipFill>
                  <pic:spPr>
                    <a:xfrm>
                      <a:off x="0" y="0"/>
                      <a:ext cx="5943600" cy="2437765"/>
                    </a:xfrm>
                    <a:prstGeom prst="rect">
                      <a:avLst/>
                    </a:prstGeom>
                  </pic:spPr>
                </pic:pic>
              </a:graphicData>
            </a:graphic>
          </wp:inline>
        </w:drawing>
      </w:r>
    </w:p>
    <w:p w14:paraId="554142C1" w14:textId="77777777" w:rsidR="005711E3" w:rsidRPr="007C3447" w:rsidRDefault="005711E3" w:rsidP="007C3447">
      <w:pPr>
        <w:rPr>
          <w:rFonts w:cs="Open Sans"/>
        </w:rPr>
      </w:pPr>
    </w:p>
    <w:p w14:paraId="6E70300E" w14:textId="2B2340B7" w:rsidR="00EF36EE" w:rsidRDefault="005F72C5" w:rsidP="005F72C5">
      <w:pPr>
        <w:rPr>
          <w:rFonts w:cs="Open Sans"/>
        </w:rPr>
      </w:pPr>
      <w:r>
        <w:rPr>
          <w:rFonts w:cs="Open Sans"/>
        </w:rPr>
        <w:t>With these adjustments,</w:t>
      </w:r>
      <w:r w:rsidR="00366E07">
        <w:rPr>
          <w:rFonts w:cs="Open Sans"/>
        </w:rPr>
        <w:t xml:space="preserve"> including the applications of the fudge factor,</w:t>
      </w:r>
      <w:r>
        <w:rPr>
          <w:rFonts w:cs="Open Sans"/>
        </w:rPr>
        <w:t xml:space="preserve"> the</w:t>
      </w:r>
      <w:r w:rsidR="00B75BB3">
        <w:rPr>
          <w:rFonts w:cs="Open Sans"/>
        </w:rPr>
        <w:t xml:space="preserve"> 3-hr</w:t>
      </w:r>
      <w:r>
        <w:rPr>
          <w:rFonts w:cs="Open Sans"/>
        </w:rPr>
        <w:t xml:space="preserve"> GOES W flux is found to correlate</w:t>
      </w:r>
      <w:r w:rsidR="00EF36EE">
        <w:rPr>
          <w:rFonts w:cs="Open Sans"/>
        </w:rPr>
        <w:t xml:space="preserve"> moderately</w:t>
      </w:r>
      <w:r>
        <w:rPr>
          <w:rFonts w:cs="Open Sans"/>
        </w:rPr>
        <w:t xml:space="preserve"> well with the Vogel W (r = 0.5</w:t>
      </w:r>
      <w:r w:rsidR="00EF36EE">
        <w:rPr>
          <w:rFonts w:cs="Open Sans"/>
        </w:rPr>
        <w:t>2, p = 0.008, R</w:t>
      </w:r>
      <w:r w:rsidR="00EF36EE">
        <w:rPr>
          <w:rFonts w:cs="Open Sans"/>
          <w:vertAlign w:val="superscript"/>
        </w:rPr>
        <w:t>2</w:t>
      </w:r>
      <w:r w:rsidR="00EF36EE">
        <w:rPr>
          <w:rFonts w:cs="Open Sans"/>
        </w:rPr>
        <w:t xml:space="preserve"> = 0.38</w:t>
      </w:r>
      <w:r>
        <w:rPr>
          <w:rFonts w:cs="Open Sans"/>
        </w:rPr>
        <w:t xml:space="preserve">) via </w:t>
      </w:r>
      <w:r w:rsidR="00EF36EE">
        <w:rPr>
          <w:rFonts w:cs="Open Sans"/>
        </w:rPr>
        <w:t>total least squares</w:t>
      </w:r>
      <w:r>
        <w:rPr>
          <w:rFonts w:cs="Open Sans"/>
        </w:rPr>
        <w:t xml:space="preserve"> analysis</w:t>
      </w:r>
      <w:r w:rsidR="00EF36EE">
        <w:rPr>
          <w:rFonts w:cs="Open Sans"/>
        </w:rPr>
        <w:t>:</w:t>
      </w:r>
    </w:p>
    <w:p w14:paraId="04CD24B5" w14:textId="5661F8C1" w:rsidR="00EF36EE" w:rsidRDefault="00EF36EE" w:rsidP="005F72C5">
      <w:pPr>
        <w:rPr>
          <w:rFonts w:cs="Open Sans"/>
        </w:rPr>
      </w:pPr>
      <w:r>
        <w:rPr>
          <w:rFonts w:cs="Open Sans"/>
          <w:noProof/>
        </w:rPr>
        <w:drawing>
          <wp:inline distT="0" distB="0" distL="0" distR="0" wp14:anchorId="0790F6D5" wp14:editId="6E4D01FD">
            <wp:extent cx="2850246" cy="2883877"/>
            <wp:effectExtent l="0" t="0" r="0" b="0"/>
            <wp:docPr id="153304579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3045794" name="Picture 1533045794"/>
                    <pic:cNvPicPr/>
                  </pic:nvPicPr>
                  <pic:blipFill>
                    <a:blip r:embed="rId14">
                      <a:extLst>
                        <a:ext uri="{28A0092B-C50C-407E-A947-70E740481C1C}">
                          <a14:useLocalDpi xmlns:a14="http://schemas.microsoft.com/office/drawing/2010/main" val="0"/>
                        </a:ext>
                      </a:extLst>
                    </a:blip>
                    <a:stretch>
                      <a:fillRect/>
                    </a:stretch>
                  </pic:blipFill>
                  <pic:spPr>
                    <a:xfrm>
                      <a:off x="0" y="0"/>
                      <a:ext cx="2868247" cy="2902091"/>
                    </a:xfrm>
                    <a:prstGeom prst="rect">
                      <a:avLst/>
                    </a:prstGeom>
                  </pic:spPr>
                </pic:pic>
              </a:graphicData>
            </a:graphic>
          </wp:inline>
        </w:drawing>
      </w:r>
    </w:p>
    <w:p w14:paraId="2784A062" w14:textId="3CCB7545" w:rsidR="00EF36EE" w:rsidRDefault="00EF36EE" w:rsidP="005F72C5">
      <w:pPr>
        <w:rPr>
          <w:rFonts w:cs="Open Sans"/>
        </w:rPr>
      </w:pPr>
      <w:r>
        <w:rPr>
          <w:rFonts w:cs="Open Sans"/>
        </w:rPr>
        <w:t>Like in JOANNE, h</w:t>
      </w:r>
      <w:r w:rsidR="005F72C5">
        <w:rPr>
          <w:rFonts w:cs="Open Sans"/>
        </w:rPr>
        <w:t>ere the</w:t>
      </w:r>
      <w:r>
        <w:rPr>
          <w:rFonts w:cs="Open Sans"/>
        </w:rPr>
        <w:t xml:space="preserve"> upper-case</w:t>
      </w:r>
      <w:r w:rsidR="005F72C5">
        <w:rPr>
          <w:rFonts w:cs="Open Sans"/>
        </w:rPr>
        <w:t xml:space="preserve"> W represents large-scale vertical motion that includes both cloud updrafts</w:t>
      </w:r>
      <w:r>
        <w:rPr>
          <w:rFonts w:cs="Open Sans"/>
        </w:rPr>
        <w:t xml:space="preserve"> and</w:t>
      </w:r>
      <w:r w:rsidR="005F72C5">
        <w:rPr>
          <w:rFonts w:cs="Open Sans"/>
        </w:rPr>
        <w:t xml:space="preserve"> subsidence.</w:t>
      </w:r>
      <w:r w:rsidR="00B451A4">
        <w:rPr>
          <w:rFonts w:cs="Open Sans"/>
        </w:rPr>
        <w:t xml:space="preserve"> </w:t>
      </w:r>
      <w:r w:rsidR="00D77BA8">
        <w:rPr>
          <w:rFonts w:cs="Open Sans"/>
        </w:rPr>
        <w:t>A standard t-distribution is assumed for the 95</w:t>
      </w:r>
      <w:r w:rsidR="00D77BA8" w:rsidRPr="00D77BA8">
        <w:rPr>
          <w:rFonts w:cs="Open Sans"/>
          <w:vertAlign w:val="superscript"/>
        </w:rPr>
        <w:t>th</w:t>
      </w:r>
      <w:r w:rsidR="00D77BA8">
        <w:rPr>
          <w:rFonts w:cs="Open Sans"/>
        </w:rPr>
        <w:t xml:space="preserve"> confidence interval</w:t>
      </w:r>
      <w:r w:rsidR="00B451A4">
        <w:rPr>
          <w:rFonts w:cs="Open Sans"/>
        </w:rPr>
        <w:t xml:space="preserve"> slope</w:t>
      </w:r>
      <w:r w:rsidR="00D77BA8">
        <w:rPr>
          <w:rFonts w:cs="Open Sans"/>
        </w:rPr>
        <w:t xml:space="preserve"> calculation</w:t>
      </w:r>
      <w:r w:rsidR="00B451A4">
        <w:rPr>
          <w:rFonts w:cs="Open Sans"/>
        </w:rPr>
        <w:t xml:space="preserve"> with n minus 2 degrees of freedom.</w:t>
      </w:r>
      <w:r w:rsidR="00B75BB3">
        <w:rPr>
          <w:rFonts w:cs="Open Sans"/>
        </w:rPr>
        <w:t xml:space="preserve"> Error bars are calculated as described above. R</w:t>
      </w:r>
      <w:r w:rsidR="00B75BB3">
        <w:rPr>
          <w:rFonts w:cs="Open Sans"/>
          <w:vertAlign w:val="superscript"/>
        </w:rPr>
        <w:t>2</w:t>
      </w:r>
      <w:r w:rsidR="00B75BB3">
        <w:rPr>
          <w:rFonts w:cs="Open Sans"/>
        </w:rPr>
        <w:t xml:space="preserve"> is computed from the orthogonal residuals which are th</w:t>
      </w:r>
      <w:r w:rsidR="00366E07">
        <w:rPr>
          <w:rFonts w:cs="Open Sans"/>
        </w:rPr>
        <w:t>e distances from each point to the line in the x and y directions.</w:t>
      </w:r>
    </w:p>
    <w:p w14:paraId="0A75E925" w14:textId="12135B9F" w:rsidR="00366E07" w:rsidRDefault="00366E07" w:rsidP="005F72C5">
      <w:pPr>
        <w:rPr>
          <w:rFonts w:cs="Open Sans"/>
        </w:rPr>
      </w:pPr>
      <w:r>
        <w:rPr>
          <w:rFonts w:cs="Open Sans"/>
        </w:rPr>
        <w:lastRenderedPageBreak/>
        <w:t>Divergence, which is computed directly from W, is similarly correlated:</w:t>
      </w:r>
    </w:p>
    <w:p w14:paraId="13547FC8" w14:textId="2B1B3DC1" w:rsidR="00366E07" w:rsidRPr="00B75BB3" w:rsidRDefault="00366E07" w:rsidP="005F72C5">
      <w:pPr>
        <w:rPr>
          <w:rFonts w:cs="Open Sans"/>
        </w:rPr>
      </w:pPr>
      <w:r>
        <w:rPr>
          <w:rFonts w:cs="Open Sans"/>
          <w:noProof/>
        </w:rPr>
        <w:drawing>
          <wp:inline distT="0" distB="0" distL="0" distR="0" wp14:anchorId="4F1CEBF4" wp14:editId="5C713D7F">
            <wp:extent cx="3453996" cy="3547068"/>
            <wp:effectExtent l="0" t="0" r="635" b="0"/>
            <wp:docPr id="1402500047"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2500047" name="Picture 1402500047"/>
                    <pic:cNvPicPr/>
                  </pic:nvPicPr>
                  <pic:blipFill>
                    <a:blip r:embed="rId15">
                      <a:extLst>
                        <a:ext uri="{28A0092B-C50C-407E-A947-70E740481C1C}">
                          <a14:useLocalDpi xmlns:a14="http://schemas.microsoft.com/office/drawing/2010/main" val="0"/>
                        </a:ext>
                      </a:extLst>
                    </a:blip>
                    <a:stretch>
                      <a:fillRect/>
                    </a:stretch>
                  </pic:blipFill>
                  <pic:spPr>
                    <a:xfrm>
                      <a:off x="0" y="0"/>
                      <a:ext cx="3467581" cy="3561019"/>
                    </a:xfrm>
                    <a:prstGeom prst="rect">
                      <a:avLst/>
                    </a:prstGeom>
                  </pic:spPr>
                </pic:pic>
              </a:graphicData>
            </a:graphic>
          </wp:inline>
        </w:drawing>
      </w:r>
    </w:p>
    <w:p w14:paraId="37F325A7" w14:textId="72E67502" w:rsidR="00366E07" w:rsidRDefault="00366E07" w:rsidP="005F72C5">
      <w:pPr>
        <w:rPr>
          <w:rFonts w:cs="Open Sans"/>
        </w:rPr>
      </w:pPr>
      <w:r>
        <w:rPr>
          <w:rFonts w:cs="Open Sans"/>
        </w:rPr>
        <w:t xml:space="preserve">We also compare the GOES-derived mass flux, which is the area average of the W field with both high clouds and clear-sky pixels set to 0, with the mass flux computed in Vogel et al. (2022). </w:t>
      </w:r>
    </w:p>
    <w:p w14:paraId="23E2A850" w14:textId="0E811472" w:rsidR="00366E07" w:rsidRDefault="00366E07" w:rsidP="005F72C5">
      <w:pPr>
        <w:rPr>
          <w:rFonts w:cs="Open Sans"/>
        </w:rPr>
      </w:pPr>
      <w:r>
        <w:rPr>
          <w:rFonts w:cs="Open Sans"/>
          <w:noProof/>
        </w:rPr>
        <w:drawing>
          <wp:inline distT="0" distB="0" distL="0" distR="0" wp14:anchorId="08FA19A2" wp14:editId="2397B62F">
            <wp:extent cx="3406245" cy="3456633"/>
            <wp:effectExtent l="0" t="0" r="0" b="0"/>
            <wp:docPr id="37104617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1046172" name="Picture 371046172"/>
                    <pic:cNvPicPr/>
                  </pic:nvPicPr>
                  <pic:blipFill>
                    <a:blip r:embed="rId16">
                      <a:extLst>
                        <a:ext uri="{28A0092B-C50C-407E-A947-70E740481C1C}">
                          <a14:useLocalDpi xmlns:a14="http://schemas.microsoft.com/office/drawing/2010/main" val="0"/>
                        </a:ext>
                      </a:extLst>
                    </a:blip>
                    <a:stretch>
                      <a:fillRect/>
                    </a:stretch>
                  </pic:blipFill>
                  <pic:spPr>
                    <a:xfrm>
                      <a:off x="0" y="0"/>
                      <a:ext cx="3421229" cy="3471838"/>
                    </a:xfrm>
                    <a:prstGeom prst="rect">
                      <a:avLst/>
                    </a:prstGeom>
                  </pic:spPr>
                </pic:pic>
              </a:graphicData>
            </a:graphic>
          </wp:inline>
        </w:drawing>
      </w:r>
    </w:p>
    <w:p w14:paraId="1A987A4A" w14:textId="3DD33117" w:rsidR="001F7AA2" w:rsidRPr="00AB68AC" w:rsidRDefault="00366E07" w:rsidP="00AB68AC">
      <w:pPr>
        <w:rPr>
          <w:rFonts w:cs="Open Sans"/>
        </w:rPr>
      </w:pPr>
      <w:r>
        <w:rPr>
          <w:rFonts w:cs="Open Sans"/>
        </w:rPr>
        <w:lastRenderedPageBreak/>
        <w:t>The correlation between them is weak ( r = 0.30) and is not significant. These mass fluxes may not directly comparable, as the Vogel mass flux is computed as the sum of the observed hourly W and E fields</w:t>
      </w:r>
      <w:r w:rsidR="00AB68AC">
        <w:rPr>
          <w:rFonts w:cs="Open Sans"/>
        </w:rPr>
        <w:t>,</w:t>
      </w:r>
      <w:r>
        <w:rPr>
          <w:rFonts w:cs="Open Sans"/>
        </w:rPr>
        <w:t xml:space="preserve"> and the GOES mass flux is derived instantaneously from the cloud-top height field.</w:t>
      </w:r>
    </w:p>
    <w:sectPr w:rsidR="001F7AA2" w:rsidRPr="00AB68AC">
      <w:pgSz w:w="12240" w:h="15840"/>
      <w:pgMar w:top="1440" w:right="1440" w:bottom="1440" w:left="1440" w:header="720" w:footer="720" w:gutter="0"/>
      <w:cols w:space="720"/>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ndrews, Patrick C" w:date="2026-06-16T16:30:00Z" w:initials="APC">
    <w:p w14:paraId="321199E7" w14:textId="77777777" w:rsidR="00DE6C14" w:rsidRDefault="00DE6C14" w:rsidP="00DE6C14">
      <w:r>
        <w:rPr>
          <w:rStyle w:val="CommentReference"/>
        </w:rPr>
        <w:annotationRef/>
      </w:r>
      <w:r>
        <w:rPr>
          <w:sz w:val="20"/>
          <w:szCs w:val="20"/>
        </w:rPr>
        <w:t>?</w:t>
      </w:r>
    </w:p>
  </w:comment>
  <w:comment w:id="1" w:author="Andrews, Patrick C" w:date="2026-06-16T16:36:00Z" w:initials="APC">
    <w:p w14:paraId="0281B387" w14:textId="77777777" w:rsidR="00DE6C14" w:rsidRDefault="00DE6C14" w:rsidP="00DE6C14">
      <w:r>
        <w:rPr>
          <w:rStyle w:val="CommentReference"/>
        </w:rPr>
        <w:annotationRef/>
      </w:r>
      <w:r>
        <w:rPr>
          <w:sz w:val="20"/>
          <w:szCs w:val="20"/>
        </w:rPr>
        <w:t>?</w:t>
      </w:r>
    </w:p>
  </w:comment>
  <w:comment w:id="2" w:author="Andrews, Patrick C" w:date="2026-06-17T09:34:00Z" w:initials="APC">
    <w:p w14:paraId="75A06A45" w14:textId="77777777" w:rsidR="00B75BB3" w:rsidRDefault="00B75BB3" w:rsidP="00B75BB3">
      <w:r>
        <w:rPr>
          <w:rStyle w:val="CommentReference"/>
        </w:rPr>
        <w:annotationRef/>
      </w:r>
      <w:r>
        <w:rPr>
          <w:sz w:val="20"/>
          <w:szCs w:val="20"/>
        </w:rPr>
        <w:t>a little repetitive</w:t>
      </w:r>
    </w:p>
  </w:comment>
  <w:comment w:id="3" w:author="Andrews, Patrick C" w:date="2026-06-17T10:01:00Z" w:initials="APC">
    <w:p w14:paraId="5F220E3A" w14:textId="77777777" w:rsidR="00B75BB3" w:rsidRDefault="00B75BB3" w:rsidP="00B75BB3">
      <w:r>
        <w:rPr>
          <w:rStyle w:val="CommentReference"/>
        </w:rPr>
        <w:annotationRef/>
      </w:r>
      <w:r>
        <w:rPr>
          <w:sz w:val="20"/>
          <w:szCs w:val="20"/>
        </w:rPr>
        <w:t>worded awk</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321199E7" w15:done="0"/>
  <w15:commentEx w15:paraId="0281B387" w15:done="0"/>
  <w15:commentEx w15:paraId="75A06A45" w15:done="0"/>
  <w15:commentEx w15:paraId="5F220E3A"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02D406CC" w16cex:dateUtc="2026-06-16T23:30:00Z"/>
  <w16cex:commentExtensible w16cex:durableId="28949734" w16cex:dateUtc="2026-06-16T23:36:00Z"/>
  <w16cex:commentExtensible w16cex:durableId="2000B086" w16cex:dateUtc="2026-06-17T16:34:00Z"/>
  <w16cex:commentExtensible w16cex:durableId="7814D9F4" w16cex:dateUtc="2026-06-17T17:01: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321199E7" w16cid:durableId="02D406CC"/>
  <w16cid:commentId w16cid:paraId="0281B387" w16cid:durableId="28949734"/>
  <w16cid:commentId w16cid:paraId="75A06A45" w16cid:durableId="2000B086"/>
  <w16cid:commentId w16cid:paraId="5F220E3A" w16cid:durableId="7814D9F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Open Sans">
    <w:panose1 w:val="020B0606030504020204"/>
    <w:charset w:val="00"/>
    <w:family w:val="swiss"/>
    <w:pitch w:val="variable"/>
    <w:sig w:usb0="E00002EF" w:usb1="4000205B" w:usb2="00000028" w:usb3="00000000" w:csb0="0000019F" w:csb1="00000000"/>
  </w:font>
  <w:font w:name="Cambria Math">
    <w:panose1 w:val="02040503050406030204"/>
    <w:charset w:val="00"/>
    <w:family w:val="roman"/>
    <w:pitch w:val="variable"/>
    <w:sig w:usb0="E00002FF" w:usb1="420024FF" w:usb2="00000000" w:usb3="00000000" w:csb0="0000019F" w:csb1="00000000"/>
  </w:font>
  <w:font w:name="Wingdings">
    <w:panose1 w:val="05000000000000000000"/>
    <w:charset w:val="4D"/>
    <w:family w:val="decorative"/>
    <w:pitch w:val="variable"/>
    <w:sig w:usb0="00000003" w:usb1="00000000" w:usb2="00000000" w:usb3="00000000" w:csb0="8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8307298"/>
    <w:multiLevelType w:val="hybridMultilevel"/>
    <w:tmpl w:val="67A6C1D6"/>
    <w:lvl w:ilvl="0" w:tplc="0409000F">
      <w:start w:val="1"/>
      <w:numFmt w:val="decimal"/>
      <w:lvlText w:val="%1."/>
      <w:lvlJc w:val="left"/>
      <w:pPr>
        <w:ind w:left="720" w:hanging="360"/>
      </w:pPr>
      <w:rPr>
        <w:rFonts w:hint="default"/>
      </w:rPr>
    </w:lvl>
    <w:lvl w:ilvl="1" w:tplc="0409000F">
      <w:start w:val="1"/>
      <w:numFmt w:val="decimal"/>
      <w:lvlText w:val="%2."/>
      <w:lvlJc w:val="left"/>
      <w:pPr>
        <w:ind w:left="1440" w:hanging="360"/>
      </w:pPr>
      <w:rPr>
        <w:rFonts w:hint="default"/>
      </w:r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6CF12500"/>
    <w:multiLevelType w:val="hybridMultilevel"/>
    <w:tmpl w:val="41A6F458"/>
    <w:lvl w:ilvl="0" w:tplc="0409000F">
      <w:start w:val="1"/>
      <w:numFmt w:val="decimal"/>
      <w:lvlText w:val="%1."/>
      <w:lvlJc w:val="left"/>
      <w:pPr>
        <w:ind w:left="769" w:hanging="360"/>
      </w:pPr>
    </w:lvl>
    <w:lvl w:ilvl="1" w:tplc="04090019" w:tentative="1">
      <w:start w:val="1"/>
      <w:numFmt w:val="lowerLetter"/>
      <w:lvlText w:val="%2."/>
      <w:lvlJc w:val="left"/>
      <w:pPr>
        <w:ind w:left="1489" w:hanging="360"/>
      </w:pPr>
    </w:lvl>
    <w:lvl w:ilvl="2" w:tplc="0409001B" w:tentative="1">
      <w:start w:val="1"/>
      <w:numFmt w:val="lowerRoman"/>
      <w:lvlText w:val="%3."/>
      <w:lvlJc w:val="right"/>
      <w:pPr>
        <w:ind w:left="2209" w:hanging="180"/>
      </w:pPr>
    </w:lvl>
    <w:lvl w:ilvl="3" w:tplc="0409000F" w:tentative="1">
      <w:start w:val="1"/>
      <w:numFmt w:val="decimal"/>
      <w:lvlText w:val="%4."/>
      <w:lvlJc w:val="left"/>
      <w:pPr>
        <w:ind w:left="2929" w:hanging="360"/>
      </w:pPr>
    </w:lvl>
    <w:lvl w:ilvl="4" w:tplc="04090019" w:tentative="1">
      <w:start w:val="1"/>
      <w:numFmt w:val="lowerLetter"/>
      <w:lvlText w:val="%5."/>
      <w:lvlJc w:val="left"/>
      <w:pPr>
        <w:ind w:left="3649" w:hanging="360"/>
      </w:pPr>
    </w:lvl>
    <w:lvl w:ilvl="5" w:tplc="0409001B" w:tentative="1">
      <w:start w:val="1"/>
      <w:numFmt w:val="lowerRoman"/>
      <w:lvlText w:val="%6."/>
      <w:lvlJc w:val="right"/>
      <w:pPr>
        <w:ind w:left="4369" w:hanging="180"/>
      </w:pPr>
    </w:lvl>
    <w:lvl w:ilvl="6" w:tplc="0409000F" w:tentative="1">
      <w:start w:val="1"/>
      <w:numFmt w:val="decimal"/>
      <w:lvlText w:val="%7."/>
      <w:lvlJc w:val="left"/>
      <w:pPr>
        <w:ind w:left="5089" w:hanging="360"/>
      </w:pPr>
    </w:lvl>
    <w:lvl w:ilvl="7" w:tplc="04090019" w:tentative="1">
      <w:start w:val="1"/>
      <w:numFmt w:val="lowerLetter"/>
      <w:lvlText w:val="%8."/>
      <w:lvlJc w:val="left"/>
      <w:pPr>
        <w:ind w:left="5809" w:hanging="360"/>
      </w:pPr>
    </w:lvl>
    <w:lvl w:ilvl="8" w:tplc="0409001B" w:tentative="1">
      <w:start w:val="1"/>
      <w:numFmt w:val="lowerRoman"/>
      <w:lvlText w:val="%9."/>
      <w:lvlJc w:val="right"/>
      <w:pPr>
        <w:ind w:left="6529" w:hanging="180"/>
      </w:pPr>
    </w:lvl>
  </w:abstractNum>
  <w:num w:numId="1" w16cid:durableId="1672949725">
    <w:abstractNumId w:val="0"/>
  </w:num>
  <w:num w:numId="2" w16cid:durableId="636449752">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ndrews, Patrick C">
    <w15:presenceInfo w15:providerId="AD" w15:userId="S::andrepat@oregonstate.edu::c9b8aef5-d7c2-4a72-994d-9a20726219a4"/>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6"/>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C1732"/>
    <w:rsid w:val="00054167"/>
    <w:rsid w:val="000B479D"/>
    <w:rsid w:val="000D0EC3"/>
    <w:rsid w:val="000D2EA4"/>
    <w:rsid w:val="00160308"/>
    <w:rsid w:val="001D16D1"/>
    <w:rsid w:val="001D6254"/>
    <w:rsid w:val="001F7AA2"/>
    <w:rsid w:val="00276815"/>
    <w:rsid w:val="002935FA"/>
    <w:rsid w:val="002F7B64"/>
    <w:rsid w:val="0031609F"/>
    <w:rsid w:val="00351A2B"/>
    <w:rsid w:val="00366E07"/>
    <w:rsid w:val="00395483"/>
    <w:rsid w:val="003C1732"/>
    <w:rsid w:val="003E2B8D"/>
    <w:rsid w:val="004237B3"/>
    <w:rsid w:val="00430965"/>
    <w:rsid w:val="00473997"/>
    <w:rsid w:val="004F5B52"/>
    <w:rsid w:val="00510338"/>
    <w:rsid w:val="005711E3"/>
    <w:rsid w:val="00581596"/>
    <w:rsid w:val="00595162"/>
    <w:rsid w:val="005F72C5"/>
    <w:rsid w:val="0061710E"/>
    <w:rsid w:val="006E2376"/>
    <w:rsid w:val="007443AA"/>
    <w:rsid w:val="00797846"/>
    <w:rsid w:val="007B3D77"/>
    <w:rsid w:val="007C3447"/>
    <w:rsid w:val="007C45B4"/>
    <w:rsid w:val="007E4759"/>
    <w:rsid w:val="007F485D"/>
    <w:rsid w:val="007F77BA"/>
    <w:rsid w:val="009840ED"/>
    <w:rsid w:val="009858B5"/>
    <w:rsid w:val="009E52A7"/>
    <w:rsid w:val="00A90070"/>
    <w:rsid w:val="00AA4CD2"/>
    <w:rsid w:val="00AB68AC"/>
    <w:rsid w:val="00AC1CB6"/>
    <w:rsid w:val="00AD3742"/>
    <w:rsid w:val="00AD7E16"/>
    <w:rsid w:val="00B303BA"/>
    <w:rsid w:val="00B451A4"/>
    <w:rsid w:val="00B75BB3"/>
    <w:rsid w:val="00B941EE"/>
    <w:rsid w:val="00BE5674"/>
    <w:rsid w:val="00C12B3A"/>
    <w:rsid w:val="00C36A0C"/>
    <w:rsid w:val="00C52389"/>
    <w:rsid w:val="00C70DEB"/>
    <w:rsid w:val="00C7581E"/>
    <w:rsid w:val="00C823C8"/>
    <w:rsid w:val="00D32D0B"/>
    <w:rsid w:val="00D478EF"/>
    <w:rsid w:val="00D777A7"/>
    <w:rsid w:val="00D77BA8"/>
    <w:rsid w:val="00DE6C14"/>
    <w:rsid w:val="00E020F4"/>
    <w:rsid w:val="00E1634D"/>
    <w:rsid w:val="00E36DC2"/>
    <w:rsid w:val="00EE2749"/>
    <w:rsid w:val="00EF36EE"/>
    <w:rsid w:val="00F25558"/>
    <w:rsid w:val="00F41430"/>
    <w:rsid w:val="00FA7702"/>
    <w:rsid w:val="00FB4F4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006C7404"/>
  <w15:chartTrackingRefBased/>
  <w15:docId w15:val="{68A1FD0A-851F-2D46-9FA1-DACB9A08650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3C1732"/>
  </w:style>
  <w:style w:type="paragraph" w:styleId="Heading1">
    <w:name w:val="heading 1"/>
    <w:basedOn w:val="Normal"/>
    <w:next w:val="Normal"/>
    <w:link w:val="Heading1Char"/>
    <w:uiPriority w:val="9"/>
    <w:qFormat/>
    <w:rsid w:val="003C1732"/>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3C1732"/>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3C1732"/>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3C1732"/>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3C1732"/>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3C173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C173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C173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C173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C1732"/>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3C1732"/>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3C1732"/>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3C1732"/>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3C1732"/>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3C173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C173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C173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C1732"/>
    <w:rPr>
      <w:rFonts w:eastAsiaTheme="majorEastAsia" w:cstheme="majorBidi"/>
      <w:color w:val="272727" w:themeColor="text1" w:themeTint="D8"/>
    </w:rPr>
  </w:style>
  <w:style w:type="paragraph" w:styleId="Title">
    <w:name w:val="Title"/>
    <w:basedOn w:val="Normal"/>
    <w:next w:val="Normal"/>
    <w:link w:val="TitleChar"/>
    <w:uiPriority w:val="10"/>
    <w:qFormat/>
    <w:rsid w:val="003C173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3C173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C173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C173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C1732"/>
    <w:pPr>
      <w:spacing w:before="160"/>
      <w:jc w:val="center"/>
    </w:pPr>
    <w:rPr>
      <w:i/>
      <w:iCs/>
      <w:color w:val="404040" w:themeColor="text1" w:themeTint="BF"/>
    </w:rPr>
  </w:style>
  <w:style w:type="character" w:customStyle="1" w:styleId="QuoteChar">
    <w:name w:val="Quote Char"/>
    <w:basedOn w:val="DefaultParagraphFont"/>
    <w:link w:val="Quote"/>
    <w:uiPriority w:val="29"/>
    <w:rsid w:val="003C1732"/>
    <w:rPr>
      <w:i/>
      <w:iCs/>
      <w:color w:val="404040" w:themeColor="text1" w:themeTint="BF"/>
    </w:rPr>
  </w:style>
  <w:style w:type="paragraph" w:styleId="ListParagraph">
    <w:name w:val="List Paragraph"/>
    <w:basedOn w:val="Normal"/>
    <w:uiPriority w:val="34"/>
    <w:qFormat/>
    <w:rsid w:val="003C1732"/>
    <w:pPr>
      <w:ind w:left="720"/>
      <w:contextualSpacing/>
    </w:pPr>
  </w:style>
  <w:style w:type="character" w:styleId="IntenseEmphasis">
    <w:name w:val="Intense Emphasis"/>
    <w:basedOn w:val="DefaultParagraphFont"/>
    <w:uiPriority w:val="21"/>
    <w:qFormat/>
    <w:rsid w:val="003C1732"/>
    <w:rPr>
      <w:i/>
      <w:iCs/>
      <w:color w:val="0F4761" w:themeColor="accent1" w:themeShade="BF"/>
    </w:rPr>
  </w:style>
  <w:style w:type="paragraph" w:styleId="IntenseQuote">
    <w:name w:val="Intense Quote"/>
    <w:basedOn w:val="Normal"/>
    <w:next w:val="Normal"/>
    <w:link w:val="IntenseQuoteChar"/>
    <w:uiPriority w:val="30"/>
    <w:qFormat/>
    <w:rsid w:val="003C1732"/>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3C1732"/>
    <w:rPr>
      <w:i/>
      <w:iCs/>
      <w:color w:val="0F4761" w:themeColor="accent1" w:themeShade="BF"/>
    </w:rPr>
  </w:style>
  <w:style w:type="character" w:styleId="IntenseReference">
    <w:name w:val="Intense Reference"/>
    <w:basedOn w:val="DefaultParagraphFont"/>
    <w:uiPriority w:val="32"/>
    <w:qFormat/>
    <w:rsid w:val="003C1732"/>
    <w:rPr>
      <w:b/>
      <w:bCs/>
      <w:smallCaps/>
      <w:color w:val="0F4761" w:themeColor="accent1" w:themeShade="BF"/>
      <w:spacing w:val="5"/>
    </w:rPr>
  </w:style>
  <w:style w:type="character" w:styleId="Hyperlink">
    <w:name w:val="Hyperlink"/>
    <w:basedOn w:val="DefaultParagraphFont"/>
    <w:uiPriority w:val="99"/>
    <w:unhideWhenUsed/>
    <w:rsid w:val="003C1732"/>
    <w:rPr>
      <w:color w:val="0000FF"/>
      <w:u w:val="single"/>
    </w:rPr>
  </w:style>
  <w:style w:type="character" w:styleId="PlaceholderText">
    <w:name w:val="Placeholder Text"/>
    <w:basedOn w:val="DefaultParagraphFont"/>
    <w:uiPriority w:val="99"/>
    <w:semiHidden/>
    <w:rsid w:val="00AC1CB6"/>
    <w:rPr>
      <w:color w:val="666666"/>
    </w:rPr>
  </w:style>
  <w:style w:type="character" w:styleId="CommentReference">
    <w:name w:val="annotation reference"/>
    <w:basedOn w:val="DefaultParagraphFont"/>
    <w:uiPriority w:val="99"/>
    <w:semiHidden/>
    <w:unhideWhenUsed/>
    <w:rsid w:val="004F5B52"/>
    <w:rPr>
      <w:sz w:val="16"/>
      <w:szCs w:val="16"/>
    </w:rPr>
  </w:style>
  <w:style w:type="paragraph" w:styleId="CommentText">
    <w:name w:val="annotation text"/>
    <w:basedOn w:val="Normal"/>
    <w:link w:val="CommentTextChar"/>
    <w:uiPriority w:val="99"/>
    <w:semiHidden/>
    <w:unhideWhenUsed/>
    <w:rsid w:val="004F5B52"/>
    <w:pPr>
      <w:spacing w:line="240" w:lineRule="auto"/>
    </w:pPr>
    <w:rPr>
      <w:sz w:val="20"/>
      <w:szCs w:val="20"/>
    </w:rPr>
  </w:style>
  <w:style w:type="character" w:customStyle="1" w:styleId="CommentTextChar">
    <w:name w:val="Comment Text Char"/>
    <w:basedOn w:val="DefaultParagraphFont"/>
    <w:link w:val="CommentText"/>
    <w:uiPriority w:val="99"/>
    <w:semiHidden/>
    <w:rsid w:val="004F5B52"/>
    <w:rPr>
      <w:sz w:val="20"/>
      <w:szCs w:val="20"/>
    </w:rPr>
  </w:style>
  <w:style w:type="paragraph" w:styleId="CommentSubject">
    <w:name w:val="annotation subject"/>
    <w:basedOn w:val="CommentText"/>
    <w:next w:val="CommentText"/>
    <w:link w:val="CommentSubjectChar"/>
    <w:uiPriority w:val="99"/>
    <w:semiHidden/>
    <w:unhideWhenUsed/>
    <w:rsid w:val="004F5B52"/>
    <w:rPr>
      <w:b/>
      <w:bCs/>
    </w:rPr>
  </w:style>
  <w:style w:type="character" w:customStyle="1" w:styleId="CommentSubjectChar">
    <w:name w:val="Comment Subject Char"/>
    <w:basedOn w:val="CommentTextChar"/>
    <w:link w:val="CommentSubject"/>
    <w:uiPriority w:val="99"/>
    <w:semiHidden/>
    <w:rsid w:val="004F5B52"/>
    <w:rPr>
      <w:b/>
      <w:bCs/>
      <w:sz w:val="20"/>
      <w:szCs w:val="20"/>
    </w:rPr>
  </w:style>
  <w:style w:type="character" w:styleId="UnresolvedMention">
    <w:name w:val="Unresolved Mention"/>
    <w:basedOn w:val="DefaultParagraphFont"/>
    <w:uiPriority w:val="99"/>
    <w:semiHidden/>
    <w:unhideWhenUsed/>
    <w:rsid w:val="001F7AA2"/>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microsoft.com/office/2011/relationships/commentsExtended" Target="commentsExtended.xml"/><Relationship Id="rId13" Type="http://schemas.openxmlformats.org/officeDocument/2006/relationships/image" Target="media/image2.png"/><Relationship Id="rId18" Type="http://schemas.microsoft.com/office/2011/relationships/people" Target="people.xml"/><Relationship Id="rId3" Type="http://schemas.openxmlformats.org/officeDocument/2006/relationships/settings" Target="settings.xml"/><Relationship Id="rId7" Type="http://schemas.openxmlformats.org/officeDocument/2006/relationships/comments" Target="comments.xml"/><Relationship Id="rId12" Type="http://schemas.openxmlformats.org/officeDocument/2006/relationships/image" Target="media/image1.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5.png"/><Relationship Id="rId1" Type="http://schemas.openxmlformats.org/officeDocument/2006/relationships/numbering" Target="numbering.xml"/><Relationship Id="rId6" Type="http://schemas.openxmlformats.org/officeDocument/2006/relationships/hyperlink" Target="https://doi.org/10.1038/s41586-022-05364-y" TargetMode="External"/><Relationship Id="rId11" Type="http://schemas.openxmlformats.org/officeDocument/2006/relationships/hyperlink" Target="https://github.com/patrickcarlandrews/GOES-derived-Mesoscale-Divergence" TargetMode="External"/><Relationship Id="rId5" Type="http://schemas.openxmlformats.org/officeDocument/2006/relationships/hyperlink" Target="https://doi.org/10.25326/246" TargetMode="External"/><Relationship Id="rId15" Type="http://schemas.openxmlformats.org/officeDocument/2006/relationships/image" Target="media/image4.png"/><Relationship Id="rId10" Type="http://schemas.microsoft.com/office/2018/08/relationships/commentsExtensible" Target="commentsExtensible.xml"/><Relationship Id="rId19" Type="http://schemas.openxmlformats.org/officeDocument/2006/relationships/theme" Target="theme/theme1.xml"/><Relationship Id="rId4" Type="http://schemas.openxmlformats.org/officeDocument/2006/relationships/webSettings" Target="webSettings.xml"/><Relationship Id="rId9" Type="http://schemas.microsoft.com/office/2016/09/relationships/commentsIds" Target="commentsIds.xml"/><Relationship Id="rId14"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1151</TotalTime>
  <Pages>11</Pages>
  <Words>2847</Words>
  <Characters>16234</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19043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Andrews, Patrick C</dc:creator>
  <cp:keywords/>
  <dc:description/>
  <cp:lastModifiedBy>Andrews, Patrick C</cp:lastModifiedBy>
  <cp:revision>7</cp:revision>
  <dcterms:created xsi:type="dcterms:W3CDTF">2026-06-09T21:24:00Z</dcterms:created>
  <dcterms:modified xsi:type="dcterms:W3CDTF">2026-06-17T17:31:00Z</dcterms:modified>
</cp:coreProperties>
</file>