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04DC9187"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cloud fraction</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fraction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w:t>
      </w:r>
      <w:proofErr w:type="gramStart"/>
      <w:r w:rsidR="00EB3B78">
        <w:t>a positive shortwave radiative cloud feedback</w:t>
      </w:r>
      <w:proofErr w:type="gramEnd"/>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2287749E" w:rsidR="00C31E17" w:rsidRDefault="009B2C7E" w:rsidP="006130D0">
      <w:pPr>
        <w:pStyle w:val="FirstParagraph"/>
        <w:spacing w:line="276" w:lineRule="auto"/>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fraction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proofErr w:type="gramEnd"/>
      <w:r w:rsidR="00C31E17">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 xml:space="preserve">equency of </w:t>
      </w:r>
      <w:proofErr w:type="spellStart"/>
      <w:r w:rsidR="00FC1D12">
        <w:rPr>
          <w:rFonts w:ascii="Aptos Narrow" w:hAnsi="Aptos Narrow"/>
        </w:rPr>
        <w:t>occurence</w:t>
      </w:r>
      <w:proofErr w:type="spellEnd"/>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 xml:space="preserve">(R = </w:t>
      </w:r>
      <w:proofErr w:type="gramStart"/>
      <w:r w:rsidR="00F05DCD">
        <w:rPr>
          <w:rFonts w:ascii="Aptos" w:hAnsi="Aptos"/>
        </w:rPr>
        <w:t>0.6X??</w:t>
      </w:r>
      <w:proofErr w:type="gramEnd"/>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A0B0315" w:rsidR="00576BF6" w:rsidRPr="00576BF6" w:rsidRDefault="00242DA2" w:rsidP="00576BF6">
      <w:pPr>
        <w:pStyle w:val="BodyText"/>
        <w:rPr>
          <w:rFonts w:ascii="Aptos" w:hAnsi="Aptos"/>
        </w:rPr>
      </w:pPr>
      <w:r>
        <w:t xml:space="preserve">(4) </w:t>
      </w:r>
      <w:r w:rsidR="00576BF6" w:rsidRPr="00C6491F">
        <w:t xml:space="preserve">The shallow cumulus cloud fraction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m:oMath>
        <m:r>
          <w:rPr>
            <w:rFonts w:ascii="Cambria Math" w:eastAsiaTheme="minorEastAsia" w:hAnsi="Cambria Math"/>
          </w:rPr>
          <m:t>4.2</m:t>
        </m:r>
      </m:oMath>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w:t>
      </w:r>
      <w:r w:rsidR="00576BF6">
        <w:rPr>
          <w:rFonts w:eastAsiaTheme="minorEastAsia"/>
        </w:rPr>
        <w:t xml:space="preserve">is confirmed </w:t>
      </w:r>
      <w:r w:rsidR="0043681C">
        <w:rPr>
          <w:rFonts w:eastAsiaTheme="minorEastAsia"/>
        </w:rPr>
        <w:t xml:space="preserve">for GOES scenes </w:t>
      </w:r>
      <w:r w:rsidR="00576BF6">
        <w:rPr>
          <w:rFonts w:eastAsiaTheme="minorEastAsia"/>
        </w:rPr>
        <w:t xml:space="preserve">with a mass flux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8A33FB9"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w:r>
        <w:rPr>
          <w:rFonts w:ascii="Aptos" w:hAnsi="Aptos"/>
        </w:rPr>
        <w:t xml:space="preserve">is the simplest explanation for the change of clouds with the climate, </w:t>
      </w:r>
      <w:r w:rsidR="00FC13FE">
        <w:rPr>
          <w:rFonts w:ascii="Aptos" w:eastAsiaTheme="minorEastAsia" w:hAnsi="Aptos"/>
        </w:rPr>
        <w:t>from</w:t>
      </w:r>
      <w:r w:rsidR="00FC13FE">
        <w:rPr>
          <w:rFonts w:ascii="Aptos" w:hAnsi="Aptos"/>
        </w:rPr>
        <w:t xml:space="preserve">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Pr="00295C0E">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proofErr w:type="gramStart"/>
      <w:r w:rsidR="006E3283">
        <w:rPr>
          <w:rFonts w:eastAsiaTheme="minorEastAsia"/>
        </w:rPr>
        <w:t>climate, and</w:t>
      </w:r>
      <w:proofErr w:type="gramEnd"/>
      <w:r w:rsidR="006E3283">
        <w:rPr>
          <w:rFonts w:eastAsiaTheme="minorEastAsia"/>
        </w:rPr>
        <w:t xml:space="preserve">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75F5234"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975E08">
        <w:rPr>
          <w:rFonts w:ascii="Aptos" w:hAnsi="Aptos"/>
        </w:rPr>
        <w:t xml:space="preserve">reflectance. This agrees with </w:t>
      </w:r>
      <w:r w:rsidR="0068017A">
        <w:rPr>
          <w:rFonts w:ascii="Aptos" w:hAnsi="Aptos"/>
        </w:rPr>
        <w:t>EUREC4A observations (Vogel et al. 2022)</w:t>
      </w:r>
      <w:r w:rsidR="00975E08">
        <w:rPr>
          <w:rFonts w:ascii="Aptos" w:hAnsi="Aptos"/>
        </w:rPr>
        <w:t>, taking reflectance as a proxy for cloud fraction</w:t>
      </w:r>
      <w:r w:rsidR="0068017A">
        <w:rPr>
          <w:rFonts w:ascii="Aptos" w:hAnsi="Aptos"/>
        </w:rPr>
        <w:t xml:space="preserv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This slope suggests that in the mean, clouds have a constant in-cloud updraft velocity 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484033A"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fraction for the experiment-control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C</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C</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3D8A82FE"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and cloud fraction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7855DAF5"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decreases the mass flux and cloud fraction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0E9E60AF" w:rsidR="00BD7F28" w:rsidRPr="00AF16E4" w:rsidRDefault="00BD7F28" w:rsidP="00BD7F28">
      <w:pPr>
        <w:pStyle w:val="BodyText"/>
        <w:rPr>
          <w:rFonts w:ascii="Aptos Narrow" w:hAnsi="Aptos Narrow"/>
        </w:rPr>
      </w:pPr>
      <w:r w:rsidRPr="00AF16E4">
        <w:rPr>
          <w:rFonts w:ascii="Aptos Narrow" w:hAnsi="Aptos Narrow"/>
        </w:rPr>
        <w:t xml:space="preserve">Table 1. Cloud </w:t>
      </w:r>
      <w:proofErr w:type="gramStart"/>
      <w:r w:rsidRPr="00AF16E4">
        <w:rPr>
          <w:rFonts w:ascii="Aptos Narrow" w:hAnsi="Aptos Narrow"/>
        </w:rPr>
        <w:t>fraction</w:t>
      </w:r>
      <w:proofErr w:type="gramEnd"/>
      <w:r w:rsidRPr="00AF16E4">
        <w:rPr>
          <w:rFonts w:ascii="Aptos Narrow" w:hAnsi="Aptos Narrow"/>
        </w:rPr>
        <w:t xml:space="preserve"> change 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035"/>
      </w:tblGrid>
      <w:tr w:rsidR="00BD7F28" w:rsidRPr="00B561F4" w14:paraId="2F79252D" w14:textId="77777777" w:rsidTr="000861F1">
        <w:trPr>
          <w:tblCellSpacing w:w="15" w:type="dxa"/>
        </w:trPr>
        <w:tc>
          <w:tcPr>
            <w:tcW w:w="3250"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990" w:type="dxa"/>
            <w:tcBorders>
              <w:bottom w:val="single" w:sz="4" w:space="0" w:color="DCDFE5"/>
            </w:tcBorders>
            <w:vAlign w:val="center"/>
            <w:hideMark/>
          </w:tcPr>
          <w:p w14:paraId="3A7B83B9" w14:textId="264B81BE" w:rsidR="00BD7F28" w:rsidRPr="00B561F4" w:rsidRDefault="00BD7F28" w:rsidP="000861F1">
            <w:pPr>
              <w:pStyle w:val="BodyText"/>
              <w:spacing w:before="0" w:after="0"/>
              <w:jc w:val="right"/>
              <w:rPr>
                <w:b/>
                <w:bCs/>
              </w:rPr>
            </w:pPr>
            <m:oMath>
              <m:r>
                <m:rPr>
                  <m:sty m:val="bi"/>
                </m:rPr>
                <w:rPr>
                  <w:rFonts w:ascii="Cambria Math" w:hAnsi="Cambria Math"/>
                </w:rPr>
                <m:t>d</m:t>
              </m:r>
              <m:r>
                <m:rPr>
                  <m:sty m:val="b"/>
                </m:rPr>
                <w:rPr>
                  <w:rFonts w:ascii="Cambria Math" w:hAnsi="Cambria Math"/>
                </w:rPr>
                <m:t>ln</m:t>
              </m:r>
              <m:r>
                <m:rPr>
                  <m:sty m:val="bi"/>
                </m:rPr>
                <w:rPr>
                  <w:rFonts w:ascii="Cambria Math" w:hAnsi="Cambria Math"/>
                </w:rPr>
                <m:t>A</m:t>
              </m:r>
            </m:oMath>
            <w:r>
              <w:rPr>
                <w:b/>
                <w:bCs/>
              </w:rPr>
              <w:t xml:space="preserve"> (%)</w:t>
            </w:r>
          </w:p>
        </w:tc>
      </w:tr>
      <w:tr w:rsidR="00BD7F28" w:rsidRPr="00B561F4" w14:paraId="4DE810A7" w14:textId="77777777" w:rsidTr="000861F1">
        <w:trPr>
          <w:tblCellSpacing w:w="15" w:type="dxa"/>
        </w:trPr>
        <w:tc>
          <w:tcPr>
            <w:tcW w:w="3250" w:type="dxa"/>
            <w:hideMark/>
          </w:tcPr>
          <w:p w14:paraId="55940870" w14:textId="77777777" w:rsidR="00BD7F28" w:rsidRPr="00B561F4" w:rsidRDefault="00BD7F28" w:rsidP="00EC604D">
            <w:pPr>
              <w:pStyle w:val="BodyText"/>
              <w:spacing w:before="0" w:after="0"/>
            </w:pPr>
            <w:r w:rsidRPr="00B561F4">
              <w:t>subsidence-5%</w:t>
            </w:r>
          </w:p>
        </w:tc>
        <w:tc>
          <w:tcPr>
            <w:tcW w:w="990"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0861F1">
        <w:trPr>
          <w:tblCellSpacing w:w="15" w:type="dxa"/>
        </w:trPr>
        <w:tc>
          <w:tcPr>
            <w:tcW w:w="3250" w:type="dxa"/>
            <w:hideMark/>
          </w:tcPr>
          <w:p w14:paraId="5AD3C782" w14:textId="7A54E10A" w:rsidR="00BD7F28" w:rsidRPr="00B561F4" w:rsidRDefault="00205603" w:rsidP="00EC604D">
            <w:pPr>
              <w:pStyle w:val="BodyText"/>
              <w:spacing w:before="0" w:after="0"/>
            </w:pPr>
            <w:r w:rsidRPr="00B561F4">
              <w:t>Ecb+2%</w:t>
            </w:r>
          </w:p>
        </w:tc>
        <w:tc>
          <w:tcPr>
            <w:tcW w:w="990"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0861F1">
        <w:trPr>
          <w:tblCellSpacing w:w="15" w:type="dxa"/>
        </w:trPr>
        <w:tc>
          <w:tcPr>
            <w:tcW w:w="3250"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990"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0861F1">
        <w:trPr>
          <w:tblCellSpacing w:w="15" w:type="dxa"/>
        </w:trPr>
        <w:tc>
          <w:tcPr>
            <w:tcW w:w="3250" w:type="dxa"/>
            <w:hideMark/>
          </w:tcPr>
          <w:p w14:paraId="6F55545B" w14:textId="636C0026" w:rsidR="00BD7F28" w:rsidRPr="00B561F4" w:rsidRDefault="00BD7F28" w:rsidP="00EC604D">
            <w:pPr>
              <w:pStyle w:val="BodyText"/>
              <w:spacing w:before="0" w:after="0"/>
            </w:pPr>
            <w:r w:rsidRPr="00B561F4">
              <w:t>lclRH+0.00</w:t>
            </w:r>
            <w:r w:rsidR="00A43204">
              <w:t>3</w:t>
            </w:r>
          </w:p>
        </w:tc>
        <w:tc>
          <w:tcPr>
            <w:tcW w:w="990" w:type="dxa"/>
            <w:hideMark/>
          </w:tcPr>
          <w:p w14:paraId="37922577" w14:textId="77777777" w:rsidR="00BD7F28" w:rsidRPr="00B561F4" w:rsidRDefault="00BD7F28" w:rsidP="000861F1">
            <w:pPr>
              <w:pStyle w:val="BodyText"/>
              <w:spacing w:before="0" w:after="0"/>
              <w:jc w:val="right"/>
            </w:pPr>
            <w:r w:rsidRPr="00B561F4">
              <w:t>-5.14</w:t>
            </w:r>
          </w:p>
        </w:tc>
      </w:tr>
      <w:tr w:rsidR="000861F1" w:rsidRPr="00B561F4" w14:paraId="2BE1BD4B" w14:textId="77777777" w:rsidTr="000861F1">
        <w:trPr>
          <w:tblCellSpacing w:w="15" w:type="dxa"/>
        </w:trPr>
        <w:tc>
          <w:tcPr>
            <w:tcW w:w="3250" w:type="dxa"/>
          </w:tcPr>
          <w:p w14:paraId="17F534E8" w14:textId="603A3978" w:rsidR="000861F1" w:rsidRPr="00B561F4" w:rsidRDefault="000861F1" w:rsidP="00EC604D">
            <w:pPr>
              <w:pStyle w:val="BodyText"/>
              <w:spacing w:before="0" w:after="0"/>
            </w:pPr>
            <w:r>
              <w:t>sink-5%</w:t>
            </w:r>
          </w:p>
        </w:tc>
        <w:tc>
          <w:tcPr>
            <w:tcW w:w="990" w:type="dxa"/>
          </w:tcPr>
          <w:p w14:paraId="34FB686C" w14:textId="569368B7" w:rsidR="000861F1" w:rsidRPr="00B561F4" w:rsidRDefault="000861F1" w:rsidP="000861F1">
            <w:pPr>
              <w:pStyle w:val="BodyText"/>
              <w:spacing w:before="0" w:after="0"/>
              <w:jc w:val="right"/>
            </w:pPr>
            <w:r>
              <w:t xml:space="preserve">  </w:t>
            </w:r>
            <w:r w:rsidRPr="000861F1">
              <w:t>3.30</w:t>
            </w:r>
          </w:p>
        </w:tc>
      </w:tr>
      <w:tr w:rsidR="000861F1" w:rsidRPr="00B561F4" w14:paraId="3AD4DEAC" w14:textId="77777777" w:rsidTr="000861F1">
        <w:trPr>
          <w:tblCellSpacing w:w="15" w:type="dxa"/>
        </w:trPr>
        <w:tc>
          <w:tcPr>
            <w:tcW w:w="3250" w:type="dxa"/>
          </w:tcPr>
          <w:p w14:paraId="1CB83F25" w14:textId="68BF6F46" w:rsidR="000861F1" w:rsidRDefault="000861F1" w:rsidP="00EC604D">
            <w:pPr>
              <w:pStyle w:val="BodyText"/>
              <w:spacing w:before="0" w:after="0"/>
            </w:pPr>
            <w:r>
              <w:t>sink+5%</w:t>
            </w:r>
          </w:p>
        </w:tc>
        <w:tc>
          <w:tcPr>
            <w:tcW w:w="990" w:type="dxa"/>
          </w:tcPr>
          <w:p w14:paraId="635B2630" w14:textId="416F0D38" w:rsidR="000861F1" w:rsidRDefault="000861F1" w:rsidP="000861F1">
            <w:pPr>
              <w:pStyle w:val="BodyText"/>
              <w:spacing w:before="0" w:after="0"/>
              <w:jc w:val="right"/>
            </w:pPr>
            <w:r>
              <w:t>-3.59</w:t>
            </w:r>
          </w:p>
        </w:tc>
      </w:tr>
    </w:tbl>
    <w:p w14:paraId="7F54BE98" w14:textId="78B94BE0" w:rsidR="00F146E6" w:rsidRDefault="00F146E6" w:rsidP="00F146E6">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Mesoscale organization</w:t>
      </w:r>
    </w:p>
    <w:p w14:paraId="468E81F2" w14:textId="77777777" w:rsidR="0050652A" w:rsidRDefault="00F146E6" w:rsidP="00702069">
      <w:pPr>
        <w:pStyle w:val="BodyText"/>
      </w:pPr>
      <w:r>
        <w:t>Mesoscale organization clusters clouds together</w:t>
      </w:r>
      <w:r w:rsidR="000861F1">
        <w:t>, leading to l</w:t>
      </w:r>
      <w:r>
        <w:t xml:space="preserve">arger </w:t>
      </w:r>
      <w:r w:rsidR="000861F1">
        <w:t xml:space="preserve">cloud </w:t>
      </w:r>
      <w:r>
        <w:t>updrafts</w:t>
      </w:r>
      <w:r w:rsidR="0068433B">
        <w:t>, and updrafts</w:t>
      </w:r>
      <w:r w:rsidR="001D4B88">
        <w:t xml:space="preserve"> </w:t>
      </w:r>
      <w:r w:rsidR="0068433B">
        <w:t>entraining</w:t>
      </w:r>
      <w:r>
        <w:t xml:space="preserve"> moister air from </w:t>
      </w:r>
      <w:r w:rsidR="0068433B">
        <w:t xml:space="preserve">their </w:t>
      </w:r>
      <w:r>
        <w:t>surroundings</w:t>
      </w:r>
      <w:r w:rsidR="000861F1">
        <w:t>. These effects</w:t>
      </w:r>
      <w:r>
        <w:t xml:space="preserve"> </w:t>
      </w:r>
      <w:r w:rsidR="000861F1">
        <w:t xml:space="preserve">of mesoscale clustering are </w:t>
      </w:r>
      <w:r w:rsidR="001D4B88">
        <w:t xml:space="preserve">parameterized </w:t>
      </w:r>
      <w:r>
        <w:t>by increasing the total moisture sink rate.</w:t>
      </w:r>
      <w:r w:rsidR="0068433B">
        <w:t xml:space="preserve"> Experiments are run with </w:t>
      </w:r>
      <w:r w:rsidR="00D40302">
        <w:t xml:space="preserve">the moisture </w:t>
      </w:r>
      <w:r w:rsidR="0068433B">
        <w:t>sink rate</w:t>
      </w:r>
      <w:r w:rsidR="00D40302">
        <w:t xml:space="preserve"> for each cloud category</w:t>
      </w:r>
      <w:r w:rsidR="0068433B">
        <w:t xml:space="preserve"> </w:t>
      </w:r>
      <w:r w:rsidR="00F17EBF">
        <w:t>reduced or augmented</w:t>
      </w:r>
      <w:r w:rsidR="0068433B">
        <w:t xml:space="preserve"> by </w:t>
      </w:r>
      <m:oMath>
        <m:r>
          <w:rPr>
            <w:rFonts w:ascii="Cambria Math" w:hAnsi="Cambria Math"/>
          </w:rPr>
          <m:t>±</m:t>
        </m:r>
      </m:oMath>
      <w:r w:rsidR="0068433B">
        <w:t>5% from the control</w:t>
      </w:r>
      <w:r w:rsidR="000861F1">
        <w:t xml:space="preserve">. </w:t>
      </w:r>
      <w:r w:rsidR="00F17EBF">
        <w:t xml:space="preserve">The clouds rise deeper for the weaker sink </w:t>
      </w:r>
      <w:proofErr w:type="gramStart"/>
      <w:r w:rsidR="00F17EBF">
        <w:t>rates, and</w:t>
      </w:r>
      <w:proofErr w:type="gramEnd"/>
      <w:r w:rsidR="00F17EBF">
        <w:t xml:space="preserve"> reach shorter cloud top heights for the stronger sink rates (Fig. SINKZTOP). </w:t>
      </w:r>
    </w:p>
    <w:p w14:paraId="66779DF8" w14:textId="659154CE" w:rsidR="0050652A" w:rsidRDefault="00F17EBF" w:rsidP="00F146E6">
      <w:pPr>
        <w:pStyle w:val="BodyText"/>
        <w:rPr>
          <w:rFonts w:eastAsiaTheme="minorEastAsia"/>
          <w:bCs/>
          <w:iCs/>
        </w:rPr>
      </w:pPr>
      <w:r>
        <w:t xml:space="preserve">Redistributing </w:t>
      </w:r>
      <w:r w:rsidR="00D40302">
        <w:t xml:space="preserve">the total eddy fluxes to the </w:t>
      </w:r>
      <w:r>
        <w:t xml:space="preserve">cloud </w:t>
      </w:r>
      <w:r w:rsidR="00D40302">
        <w:t xml:space="preserve">with these </w:t>
      </w:r>
      <w:r>
        <w:t xml:space="preserve">cloud tops </w:t>
      </w:r>
      <w:r w:rsidR="00D40302">
        <w:t xml:space="preserve">results in the total cloud fraction changes relative to the control listed in Table 1. Reducing the sink rate </w:t>
      </w:r>
      <w:r w:rsidR="0050652A">
        <w:t>-</w:t>
      </w:r>
      <w:r w:rsidR="00D40302">
        <w:t xml:space="preserve">5% increases the total cloud albedo by </w:t>
      </w:r>
      <m:oMath>
        <m:r>
          <w:rPr>
            <w:rFonts w:ascii="Cambria Math" w:hAnsi="Cambria Math"/>
          </w:rPr>
          <m:t>d</m:t>
        </m:r>
        <m:r>
          <m:rPr>
            <m:sty m:val="p"/>
          </m:rPr>
          <w:rPr>
            <w:rFonts w:ascii="Cambria Math" w:hAnsi="Cambria Math"/>
          </w:rPr>
          <m:t>ln</m:t>
        </m:r>
        <m:r>
          <w:rPr>
            <w:rFonts w:ascii="Cambria Math" w:hAnsi="Cambria Math"/>
          </w:rPr>
          <m:t>A</m:t>
        </m:r>
      </m:oMath>
      <w:r w:rsidR="00D40302">
        <w:rPr>
          <w:rFonts w:eastAsiaTheme="minorEastAsia"/>
          <w:bCs/>
          <w:iCs/>
        </w:rPr>
        <w:t xml:space="preserve"> = +3%. </w:t>
      </w:r>
      <w:r w:rsidR="0050652A">
        <w:rPr>
          <w:rFonts w:eastAsiaTheme="minorEastAsia"/>
          <w:bCs/>
          <w:iCs/>
        </w:rPr>
        <w:t>F</w:t>
      </w:r>
      <w:r w:rsidR="00811106">
        <w:rPr>
          <w:rFonts w:eastAsiaTheme="minorEastAsia"/>
          <w:bCs/>
          <w:iCs/>
        </w:rPr>
        <w:t>or lower moisture sink rate</w:t>
      </w:r>
      <w:r w:rsidR="0050652A">
        <w:rPr>
          <w:rFonts w:eastAsiaTheme="minorEastAsia"/>
          <w:bCs/>
          <w:iCs/>
        </w:rPr>
        <w:t>s</w:t>
      </w:r>
      <w:r w:rsidR="00702069">
        <w:rPr>
          <w:rFonts w:eastAsiaTheme="minorEastAsia"/>
          <w:bCs/>
          <w:iCs/>
        </w:rPr>
        <w:t>,</w:t>
      </w:r>
      <w:r w:rsidR="00811106">
        <w:rPr>
          <w:rFonts w:eastAsiaTheme="minorEastAsia"/>
          <w:bCs/>
          <w:iCs/>
        </w:rPr>
        <w:t xml:space="preserve"> cloud fraction </w:t>
      </w:r>
      <w:r w:rsidR="0050652A">
        <w:rPr>
          <w:rFonts w:eastAsiaTheme="minorEastAsia"/>
          <w:bCs/>
          <w:iCs/>
        </w:rPr>
        <w:t xml:space="preserve">in each category </w:t>
      </w:r>
      <w:r w:rsidR="00811106">
        <w:rPr>
          <w:rFonts w:eastAsiaTheme="minorEastAsia"/>
          <w:bCs/>
          <w:iCs/>
        </w:rPr>
        <w:t xml:space="preserve">increases </w:t>
      </w:r>
      <w:r w:rsidR="00702069">
        <w:rPr>
          <w:rFonts w:eastAsiaTheme="minorEastAsia"/>
          <w:bCs/>
          <w:iCs/>
        </w:rPr>
        <w:t xml:space="preserve">to generate </w:t>
      </w:r>
      <w:r w:rsidR="0050652A">
        <w:rPr>
          <w:rFonts w:eastAsiaTheme="minorEastAsia"/>
          <w:bCs/>
          <w:iCs/>
        </w:rPr>
        <w:t>a larger required</w:t>
      </w:r>
      <w:r w:rsidR="00702069">
        <w:rPr>
          <w:rFonts w:eastAsiaTheme="minorEastAsia"/>
          <w:bCs/>
          <w:iCs/>
        </w:rPr>
        <w:t xml:space="preserve"> moisture flux </w:t>
      </w:r>
      <w:r w:rsidR="00702069">
        <w:rPr>
          <w:rFonts w:eastAsiaTheme="minorEastAsia"/>
          <w:bCs/>
          <w:iCs/>
        </w:rPr>
        <w:t xml:space="preserve">as the </w:t>
      </w:r>
      <w:r w:rsidR="00811106">
        <w:rPr>
          <w:rFonts w:eastAsiaTheme="minorEastAsia"/>
          <w:bCs/>
          <w:iCs/>
        </w:rPr>
        <w:t xml:space="preserve">cloud top height difference </w:t>
      </w:r>
      <m:oMath>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sub>
        </m:sSub>
        <m:r>
          <w:rPr>
            <w:rFonts w:ascii="Cambria Math" w:eastAsiaTheme="minorEastAsia" w:hAnsi="Cambria Math"/>
          </w:rPr>
          <m:t>-</m:t>
        </m:r>
        <m:sSub>
          <m:sSubPr>
            <m:ctrlPr>
              <w:rPr>
                <w:rFonts w:ascii="Cambria Math" w:eastAsiaTheme="minorEastAsia" w:hAnsi="Cambria Math"/>
                <w:bCs/>
                <w:i/>
                <w:iCs/>
              </w:rPr>
            </m:ctrlPr>
          </m:sSubPr>
          <m:e>
            <m:r>
              <w:rPr>
                <w:rFonts w:ascii="Cambria Math" w:eastAsiaTheme="minorEastAsia" w:hAnsi="Cambria Math"/>
              </w:rPr>
              <m:t>z</m:t>
            </m:r>
          </m:e>
          <m:sub>
            <m:r>
              <w:rPr>
                <w:rFonts w:ascii="Cambria Math" w:eastAsiaTheme="minorEastAsia" w:hAnsi="Cambria Math"/>
              </w:rPr>
              <m:t>top,i</m:t>
            </m:r>
            <m:r>
              <w:rPr>
                <w:rFonts w:ascii="Cambria Math" w:eastAsiaTheme="minorEastAsia" w:hAnsi="Cambria Math"/>
              </w:rPr>
              <m:t>-1</m:t>
            </m:r>
          </m:sub>
        </m:sSub>
      </m:oMath>
      <w:r w:rsidR="00D40302">
        <w:rPr>
          <w:rFonts w:eastAsiaTheme="minorEastAsia"/>
          <w:bCs/>
          <w:iCs/>
        </w:rPr>
        <w:t xml:space="preserve"> increases</w:t>
      </w:r>
      <w:r w:rsidR="00811106">
        <w:rPr>
          <w:rFonts w:eastAsiaTheme="minorEastAsia"/>
          <w:bCs/>
          <w:iCs/>
        </w:rPr>
        <w:t xml:space="preserve"> between </w:t>
      </w:r>
      <w:r w:rsidR="0050652A">
        <w:rPr>
          <w:rFonts w:eastAsiaTheme="minorEastAsia"/>
          <w:bCs/>
          <w:iCs/>
        </w:rPr>
        <w:t>cloud</w:t>
      </w:r>
      <w:r w:rsidR="00811106">
        <w:rPr>
          <w:rFonts w:eastAsiaTheme="minorEastAsia"/>
          <w:bCs/>
          <w:iCs/>
        </w:rPr>
        <w:t xml:space="preserve"> categories </w:t>
      </w:r>
      <m:oMath>
        <m:r>
          <w:rPr>
            <w:rFonts w:ascii="Cambria Math" w:eastAsiaTheme="minorEastAsia" w:hAnsi="Cambria Math"/>
          </w:rPr>
          <m:t>i</m:t>
        </m:r>
      </m:oMath>
      <w:r w:rsidR="0063263F">
        <w:rPr>
          <w:rFonts w:eastAsiaTheme="minorEastAsia"/>
          <w:bCs/>
          <w:iCs/>
        </w:rPr>
        <w:t>.</w:t>
      </w:r>
    </w:p>
    <w:p w14:paraId="40003589" w14:textId="7BAD01AA" w:rsidR="00702069" w:rsidRPr="0050652A" w:rsidRDefault="0050652A" w:rsidP="00F146E6">
      <w:pPr>
        <w:pStyle w:val="BodyText"/>
        <w:rPr>
          <w:rFonts w:eastAsiaTheme="minorEastAsia"/>
          <w:bCs/>
          <w:iCs/>
        </w:rPr>
      </w:pPr>
      <w:r w:rsidRPr="0063263F">
        <w:rPr>
          <w:rFonts w:eastAsiaTheme="minorEastAsia"/>
          <w:bCs/>
          <w:iCs/>
          <w:color w:val="3A7C22" w:themeColor="accent6" w:themeShade="BF"/>
        </w:rPr>
        <w:t xml:space="preserve">[[!! is this stronger </w:t>
      </w:r>
      <w:r w:rsidRPr="0063263F">
        <w:rPr>
          <w:rFonts w:eastAsiaTheme="minorEastAsia"/>
          <w:bCs/>
          <w:iCs/>
          <w:color w:val="3A7C22" w:themeColor="accent6" w:themeShade="BF"/>
        </w:rPr>
        <w:t>for the more populous lower clouds</w:t>
      </w:r>
      <w:r w:rsidRPr="0063263F">
        <w:rPr>
          <w:rFonts w:eastAsiaTheme="minorEastAsia"/>
          <w:bCs/>
          <w:iCs/>
          <w:color w:val="3A7C22" w:themeColor="accent6" w:themeShade="BF"/>
        </w:rPr>
        <w:t xml:space="preserve">, and weaker for the </w:t>
      </w:r>
      <w:proofErr w:type="spellStart"/>
      <w:r w:rsidRPr="0063263F">
        <w:rPr>
          <w:rFonts w:eastAsiaTheme="minorEastAsia"/>
          <w:bCs/>
          <w:iCs/>
          <w:color w:val="3A7C22" w:themeColor="accent6" w:themeShade="BF"/>
        </w:rPr>
        <w:t>higherclouds</w:t>
      </w:r>
      <w:proofErr w:type="spellEnd"/>
      <w:r w:rsidRPr="0063263F">
        <w:rPr>
          <w:rFonts w:eastAsiaTheme="minorEastAsia"/>
          <w:bCs/>
          <w:iCs/>
          <w:color w:val="3A7C22" w:themeColor="accent6" w:themeShade="BF"/>
        </w:rPr>
        <w:t xml:space="preserve">? I don’t think so. Otherwise, why can’t fewer cloud categories just generate the </w:t>
      </w:r>
      <w:r w:rsidRPr="0063263F">
        <w:rPr>
          <w:rFonts w:eastAsiaTheme="minorEastAsia"/>
          <w:bCs/>
          <w:iCs/>
          <w:color w:val="3A7C22" w:themeColor="accent6" w:themeShade="BF"/>
          <w:u w:val="single"/>
        </w:rPr>
        <w:t>same amount clouds</w:t>
      </w:r>
      <w:r w:rsidRPr="0063263F">
        <w:rPr>
          <w:rFonts w:eastAsiaTheme="minorEastAsia"/>
          <w:bCs/>
          <w:iCs/>
          <w:color w:val="3A7C22" w:themeColor="accent6" w:themeShade="BF"/>
        </w:rPr>
        <w:t xml:space="preserve"> as the </w:t>
      </w:r>
      <w:proofErr w:type="spellStart"/>
      <w:r w:rsidRPr="0063263F">
        <w:rPr>
          <w:rFonts w:eastAsiaTheme="minorEastAsia"/>
          <w:bCs/>
          <w:iCs/>
          <w:color w:val="3A7C22" w:themeColor="accent6" w:themeShade="BF"/>
        </w:rPr>
        <w:t>ztop</w:t>
      </w:r>
      <w:proofErr w:type="spellEnd"/>
      <w:r w:rsidRPr="0063263F">
        <w:rPr>
          <w:rFonts w:eastAsiaTheme="minorEastAsia"/>
          <w:bCs/>
          <w:iCs/>
          <w:color w:val="3A7C22" w:themeColor="accent6" w:themeShade="BF"/>
        </w:rPr>
        <w:t xml:space="preserve"> bins widen? Or do higher clouds result in valid clouds now that had been excluded before, increasing the counted clouds mass flux? That’s just a bookkeeping issue. !!]]</w:t>
      </w:r>
      <w:r w:rsidR="00702069" w:rsidRPr="0063263F">
        <w:rPr>
          <w:rFonts w:eastAsiaTheme="minorEastAsia"/>
          <w:bCs/>
          <w:iCs/>
          <w:color w:val="3A7C22" w:themeColor="accent6" w:themeShade="BF"/>
        </w:rPr>
        <w:t xml:space="preserve"> </w:t>
      </w:r>
      <w:r w:rsidR="00702069">
        <w:rPr>
          <w:rFonts w:eastAsiaTheme="minorEastAsia"/>
          <w:bCs/>
          <w:iCs/>
        </w:rPr>
        <w:t>T</w:t>
      </w:r>
      <w:r w:rsidR="00702069">
        <w:rPr>
          <w:rFonts w:eastAsiaTheme="minorEastAsia"/>
          <w:bCs/>
          <w:iCs/>
        </w:rPr>
        <w:t xml:space="preserve">his </w:t>
      </w:r>
      <w:r>
        <w:rPr>
          <w:rFonts w:eastAsiaTheme="minorEastAsia"/>
          <w:bCs/>
          <w:iCs/>
        </w:rPr>
        <w:t>must be</w:t>
      </w:r>
      <w:r w:rsidR="00702069">
        <w:rPr>
          <w:rFonts w:eastAsiaTheme="minorEastAsia"/>
          <w:bCs/>
          <w:iCs/>
        </w:rPr>
        <w:t xml:space="preserve"> compensate</w:t>
      </w:r>
      <w:r w:rsidR="00702069">
        <w:rPr>
          <w:rFonts w:eastAsiaTheme="minorEastAsia"/>
          <w:bCs/>
          <w:iCs/>
        </w:rPr>
        <w:t>d somewhat by larger</w:t>
      </w:r>
      <w:r w:rsidR="00702069">
        <w:rPr>
          <w:rFonts w:eastAsiaTheme="minorEastAsia"/>
          <w:bCs/>
          <w:iCs/>
        </w:rPr>
        <w:t xml:space="preserve"> </w:t>
      </w:r>
      <m:oMath>
        <m:sSub>
          <m:sSubPr>
            <m:ctrlPr>
              <w:rPr>
                <w:rFonts w:ascii="Cambria Math" w:eastAsiaTheme="minorEastAsia" w:hAnsi="Cambria Math"/>
                <w:bCs/>
                <w:i/>
                <w:iCs/>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oMath>
      <w:r>
        <w:rPr>
          <w:rFonts w:eastAsiaTheme="minorEastAsia"/>
          <w:bCs/>
          <w:iCs/>
        </w:rPr>
        <w:t xml:space="preserve"> </w:t>
      </w:r>
      <w:r w:rsidR="00702069">
        <w:rPr>
          <w:rFonts w:eastAsiaTheme="minorEastAsia"/>
          <w:bCs/>
          <w:iCs/>
        </w:rPr>
        <w:t>when the</w:t>
      </w:r>
      <w:r w:rsidR="00702069">
        <w:rPr>
          <w:rFonts w:eastAsiaTheme="minorEastAsia"/>
          <w:bCs/>
          <w:iCs/>
        </w:rPr>
        <w:t xml:space="preserve"> </w:t>
      </w:r>
      <w:r>
        <w:rPr>
          <w:rFonts w:eastAsiaTheme="minorEastAsia"/>
          <w:bCs/>
          <w:iCs/>
        </w:rPr>
        <w:t xml:space="preserve">clouds are is less diluted by the weaker </w:t>
      </w:r>
      <w:r w:rsidR="00702069">
        <w:rPr>
          <w:rFonts w:eastAsiaTheme="minorEastAsia"/>
          <w:bCs/>
          <w:iCs/>
        </w:rPr>
        <w:t>moisture sink</w:t>
      </w:r>
      <w:r>
        <w:rPr>
          <w:rFonts w:eastAsiaTheme="minorEastAsia"/>
          <w:bCs/>
          <w:iCs/>
        </w:rPr>
        <w:t>, which</w:t>
      </w:r>
      <w:r w:rsidR="0063263F">
        <w:rPr>
          <w:rFonts w:eastAsiaTheme="minorEastAsia"/>
          <w:bCs/>
          <w:iCs/>
        </w:rPr>
        <w:t>,</w:t>
      </w:r>
      <w:r>
        <w:rPr>
          <w:rFonts w:eastAsiaTheme="minorEastAsia"/>
          <w:bCs/>
          <w:iCs/>
        </w:rPr>
        <w:t xml:space="preserve"> </w:t>
      </w:r>
      <w:r w:rsidR="0063263F">
        <w:rPr>
          <w:rFonts w:eastAsiaTheme="minorEastAsia"/>
          <w:bCs/>
          <w:iCs/>
        </w:rPr>
        <w:t xml:space="preserve">as above, </w:t>
      </w:r>
      <w:r>
        <w:rPr>
          <w:rFonts w:eastAsiaTheme="minorEastAsia"/>
          <w:bCs/>
          <w:iCs/>
        </w:rPr>
        <w:t>reduces the mass flux and cloud fraction for the same moisture flux.</w:t>
      </w:r>
    </w:p>
    <w:p w14:paraId="47693D42" w14:textId="77777777" w:rsidR="00D40302" w:rsidRDefault="00D40302" w:rsidP="00F146E6">
      <w:pPr>
        <w:pStyle w:val="BodyText"/>
      </w:pPr>
      <w:r>
        <w:t xml:space="preserve"> </w:t>
      </w:r>
    </w:p>
    <w:p w14:paraId="57980216" w14:textId="1F5628D5" w:rsidR="00F17EBF" w:rsidRDefault="00D40302" w:rsidP="00F146E6">
      <w:pPr>
        <w:pStyle w:val="BodyText"/>
      </w:pPr>
      <w:r w:rsidRPr="00D40302">
        <w:drawing>
          <wp:inline distT="0" distB="0" distL="0" distR="0" wp14:anchorId="1B4D32EB" wp14:editId="43A13E82">
            <wp:extent cx="4453119" cy="3342254"/>
            <wp:effectExtent l="0" t="0" r="5080" b="0"/>
            <wp:docPr id="2049367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9"/>
                    <a:stretch>
                      <a:fillRect/>
                    </a:stretch>
                  </pic:blipFill>
                  <pic:spPr>
                    <a:xfrm>
                      <a:off x="0" y="0"/>
                      <a:ext cx="4459371" cy="3346946"/>
                    </a:xfrm>
                    <a:prstGeom prst="rect">
                      <a:avLst/>
                    </a:prstGeom>
                  </pic:spPr>
                </pic:pic>
              </a:graphicData>
            </a:graphic>
          </wp:inline>
        </w:drawing>
      </w:r>
    </w:p>
    <w:p w14:paraId="52A3C854" w14:textId="0871F4E8" w:rsidR="00F17EBF" w:rsidRPr="00F17EBF" w:rsidRDefault="00F17EBF" w:rsidP="00F146E6">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075E7379" w14:textId="47641E4D" w:rsidR="00F17EBF" w:rsidRPr="00F146E6" w:rsidRDefault="00F17EBF" w:rsidP="00F146E6">
      <w:pPr>
        <w:pStyle w:val="BodyText"/>
      </w:pPr>
      <w:r w:rsidRPr="00F17EBF">
        <w:rPr>
          <w:rFonts w:ascii="Menlo" w:hAnsi="Menlo" w:cs="Menlo"/>
          <w:color w:val="3B2322"/>
          <w:sz w:val="20"/>
          <w:szCs w:val="20"/>
        </w:rPr>
        <w:t>sink_expmt_ztop.pdf</w:t>
      </w:r>
    </w:p>
    <w:p w14:paraId="38CD5DEF" w14:textId="617FCFD3" w:rsidR="00952A89" w:rsidRPr="002F57C8" w:rsidRDefault="00952A89" w:rsidP="00952A89">
      <w:pPr>
        <w:pStyle w:val="Heading1"/>
      </w:pPr>
      <w:r w:rsidRPr="002F57C8">
        <w:t>Discussion</w:t>
      </w:r>
    </w:p>
    <w:p w14:paraId="399969D9" w14:textId="5F56B2D5"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the optically thick stratocumulus clouds at 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r>
          <w:rPr>
            <w:rFonts w:ascii="Cambria Math" w:eastAsiaTheme="minorEastAsia" w:hAnsi="Cambria Math"/>
          </w:rPr>
          <m:t>A</m:t>
        </m:r>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[Vogel or ref therein says </w:t>
      </w:r>
      <m:oMath>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A</m:t>
            </m:r>
          </m:den>
        </m:f>
        <m:r>
          <w:rPr>
            <w:rFonts w:ascii="Cambria Math" w:eastAsiaTheme="minorEastAsia" w:hAnsi="Cambria Math"/>
          </w:rPr>
          <m:t>≈2</m:t>
        </m:r>
      </m:oMath>
      <w:r>
        <w:rPr>
          <w:rFonts w:eastAsiaTheme="minorEastAsia"/>
        </w:rPr>
        <w:t>???]</w:t>
      </w:r>
    </w:p>
    <w:p w14:paraId="4D7E835F" w14:textId="77777777" w:rsidR="00952A89" w:rsidRPr="00DE5624" w:rsidRDefault="00952A89" w:rsidP="00952A89">
      <w:pPr>
        <w:spacing w:line="240" w:lineRule="auto"/>
        <w:rPr>
          <w:rFonts w:eastAsiaTheme="minorEastAsia"/>
          <w:iCs/>
        </w:rPr>
      </w:pPr>
      <w:r>
        <w:t xml:space="preserve">The hypotheses (parts 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p>
    <w:p w14:paraId="0982AFAD" w14:textId="77777777"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cld</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fraction to mass flux </w:t>
      </w:r>
      <m:oMath>
        <m:r>
          <w:rPr>
            <w:rFonts w:ascii="Cambria Math" w:eastAsiaTheme="minorEastAsia" w:hAnsi="Cambria Math"/>
          </w:rPr>
          <m:t>C∝M</m:t>
        </m:r>
      </m:oMath>
      <w:r>
        <w:rPr>
          <w:rFonts w:eastAsiaTheme="minorEastAsia"/>
        </w:rPr>
        <w:t>.</w:t>
      </w:r>
    </w:p>
    <w:p w14:paraId="759A435B" w14:textId="77777777" w:rsidR="00952A89" w:rsidRPr="00ED11AE" w:rsidRDefault="00952A89" w:rsidP="00952A89">
      <w:pPr>
        <w:spacing w:line="240" w:lineRule="auto"/>
        <w:rPr>
          <w:rFonts w:eastAsiaTheme="minorEastAsia"/>
          <w:iCs/>
        </w:rPr>
      </w:pPr>
      <w:r w:rsidRPr="00ED11AE">
        <w:rPr>
          <w:rFonts w:eastAsiaTheme="minorEastAsia"/>
          <w:iCs/>
        </w:rPr>
        <w:t xml:space="preserve">The model for the ensemble of cumulus clouds is described in the methods. The model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reproduces</w:t>
      </w:r>
      <w:r w:rsidRPr="00ED11AE">
        <w:rPr>
          <w:rFonts w:eastAsiaTheme="minorEastAsia"/>
          <w:iCs/>
        </w:rPr>
        <w:t xml:space="preserve"> the proportionality of mesoscale mass flux </w:t>
      </w:r>
      <w:r>
        <w:rPr>
          <w:rFonts w:eastAsiaTheme="minorEastAsia"/>
          <w:iCs/>
        </w:rPr>
        <w:t>to</w:t>
      </w:r>
      <w:r w:rsidRPr="00ED11AE">
        <w:rPr>
          <w:rFonts w:eastAsiaTheme="minorEastAsia"/>
          <w:iCs/>
        </w:rPr>
        <w:t xml:space="preserve"> cloud fraction observed in </w:t>
      </w:r>
      <w:proofErr w:type="gramStart"/>
      <w:r w:rsidRPr="00ED11AE">
        <w:rPr>
          <w:rFonts w:eastAsiaTheme="minorEastAsia"/>
          <w:iCs/>
        </w:rPr>
        <w:t>EUREC4A</w:t>
      </w:r>
      <w:r>
        <w:rPr>
          <w:rFonts w:eastAsiaTheme="minorEastAsia"/>
          <w:iCs/>
        </w:rPr>
        <w:t>, and</w:t>
      </w:r>
      <w:proofErr w:type="gramEnd"/>
      <w:r w:rsidRPr="00ED11AE">
        <w:rPr>
          <w:rFonts w:eastAsiaTheme="minorEastAsia"/>
          <w:iCs/>
        </w:rPr>
        <w:t xml:space="preserve"> demonstrates </w:t>
      </w:r>
      <w:r>
        <w:rPr>
          <w:rFonts w:eastAsiaTheme="minorEastAsia"/>
          <w:iCs/>
        </w:rPr>
        <w:t xml:space="preserve">mean </w:t>
      </w:r>
      <w:r w:rsidRPr="00ED11AE">
        <w:rPr>
          <w:rFonts w:eastAsiaTheme="minorEastAsia"/>
          <w:iCs/>
        </w:rPr>
        <w:t xml:space="preserve">proportionality among </w:t>
      </w:r>
      <w:r>
        <w:rPr>
          <w:rFonts w:eastAsiaTheme="minorEastAsia"/>
          <w:iCs/>
        </w:rPr>
        <w:t xml:space="preserve">average </w:t>
      </w:r>
      <w:r w:rsidRPr="00ED11AE">
        <w:rPr>
          <w:rFonts w:eastAsiaTheme="minorEastAsia"/>
          <w:iCs/>
        </w:rPr>
        <w:t>cloud fraction</w:t>
      </w:r>
      <w:r>
        <w:rPr>
          <w:rFonts w:eastAsiaTheme="minorEastAsia"/>
          <w:iCs/>
        </w:rPr>
        <w:t xml:space="preserve"> and </w:t>
      </w:r>
      <w:r w:rsidRPr="00ED11AE">
        <w:rPr>
          <w:rFonts w:eastAsiaTheme="minorEastAsia"/>
          <w:iCs/>
        </w:rPr>
        <w:t>mass flu</w:t>
      </w:r>
      <w:r>
        <w:rPr>
          <w:rFonts w:eastAsiaTheme="minorEastAsia"/>
          <w:iCs/>
        </w:rPr>
        <w:t>x (2)</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decreases in proportion to the reduction of the mean tropical circulation expected in a warmed climate (HS06).</w:t>
      </w:r>
    </w:p>
    <w:p w14:paraId="70A857F5" w14:textId="77777777" w:rsidR="005D1914" w:rsidRPr="005D1914" w:rsidRDefault="005D1914" w:rsidP="005D1914">
      <w:pPr>
        <w:pStyle w:val="Heading1"/>
      </w:pPr>
      <w:r w:rsidRPr="005D1914">
        <w:t>Summary</w:t>
      </w:r>
    </w:p>
    <w:p w14:paraId="392BD527" w14:textId="1E241526" w:rsidR="005D1914" w:rsidRDefault="0013760C" w:rsidP="005D1914">
      <w:pPr>
        <w:pStyle w:val="BodyText"/>
      </w:pPr>
      <w:r>
        <w:t>Using its emergent mean moisture balance, we project the climate of the shallow cumulus cloud region from thermodynamic and cloud o</w:t>
      </w:r>
      <w:r w:rsidR="005D1914">
        <w:t>bservations</w:t>
      </w:r>
      <w:r>
        <w:t>.</w:t>
      </w:r>
    </w:p>
    <w:p w14:paraId="619D0645" w14:textId="77777777"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hypothesis describes a version of this competition in the global average, whereby mixing by precipitating convection dries lower levels and evaporates extensive and optically thick stratocumulus clouds. All else equal, subsidence reduces stratocumulus clouds (Myers and Norris, 2014). While models have both stratocumulus and shallow cumulus clouds over the northern tropical Atlantic in January-February, clouds there are observed to be nearly exclusively shallow cumulus.</w:t>
      </w:r>
    </w:p>
    <w:p w14:paraId="60067263" w14:textId="77777777" w:rsidR="005D1914" w:rsidRDefault="005D1914" w:rsidP="005D1914">
      <w:pPr>
        <w:pStyle w:val="BodyText"/>
      </w:pPr>
      <w:r>
        <w:t>The combination of cloud fraction and optical depth observed depend on resolution.</w:t>
      </w:r>
    </w:p>
    <w:p w14:paraId="725F1A53" w14:textId="77777777" w:rsidR="005D1914" w:rsidRDefault="005D1914" w:rsidP="005D1914">
      <w:pPr>
        <w:pStyle w:val="BodyText"/>
      </w:pPr>
    </w:p>
    <w:p w14:paraId="6214BDE9" w14:textId="23D07116" w:rsidR="005D1914" w:rsidRPr="00813E67" w:rsidRDefault="005D1914" w:rsidP="005D1914">
      <w:pPr>
        <w:pStyle w:val="BodyText"/>
      </w:pPr>
      <w:r>
        <w:t>The mass flux model forms more cumulus clouds to balance greater subsidence drying. While its lowest clouds increase with RH, we caution against extrapolating the mass flux model to stratocumulus clouds. Qualitatively unlike updraft plumes, stratocumulus clouds form in a layer of vertical gradients and diffusive turbulent eddies. While the mass flux model limits this study to shallow cumulus clouds, eddy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715F444C"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d>
          <m:dPr>
            <m:ctrlPr>
              <w:rPr>
                <w:rFonts w:ascii="Cambria Math" w:eastAsiaTheme="minorEastAsia" w:hAnsi="Cambria Math"/>
                <w:i/>
                <w:lang w:val="fr-FR"/>
              </w:rPr>
            </m:ctrlPr>
          </m:dPr>
          <m:e>
            <m:sSub>
              <m:sSubPr>
                <m:ctrlPr>
                  <w:rPr>
                    <w:rFonts w:ascii="Cambria Math" w:eastAsiaTheme="minorEastAsia" w:hAnsi="Cambria Math"/>
                    <w:i/>
                    <w:lang w:val="fr-FR"/>
                  </w:rPr>
                </m:ctrlPr>
              </m:sSubPr>
              <m:e>
                <m:r>
                  <w:rPr>
                    <w:rFonts w:ascii="Cambria Math" w:eastAsiaTheme="minorEastAsia" w:hAnsi="Cambria Math"/>
                    <w:lang w:val="fr-FR"/>
                  </w:rPr>
                  <m:t>h</m:t>
                </m:r>
              </m:e>
              <m:sub>
                <m:r>
                  <w:rPr>
                    <w:rFonts w:ascii="Cambria Math" w:eastAsiaTheme="minorEastAsia" w:hAnsi="Cambria Math"/>
                  </w:rPr>
                  <m:t>i</m:t>
                </m:r>
              </m:sub>
            </m:sSub>
          </m:e>
        </m:d>
      </m:oMath>
    </w:p>
    <w:p w14:paraId="41E5C242" w14:textId="0902D953"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0D0721BD"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406B7738"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oMath>
      <w:r>
        <w:rPr>
          <w:rFonts w:eastAsiaTheme="minorEastAsia"/>
        </w:rPr>
        <w:t>.</w:t>
      </w:r>
    </w:p>
    <w:p w14:paraId="4242E549" w14:textId="168FB0FD"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ctrlPr>
                  <w:rPr>
                    <w:rFonts w:ascii="Cambria Math" w:eastAsia="Cambria Math" w:hAnsi="Cambria Math" w:cs="Cambria Math"/>
                    <w:i/>
                  </w:rPr>
                </m:ctrlP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5AAFF0BB"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5711A426"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593303DD"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FAC1F75" w:rsidR="002D1FBA" w:rsidRDefault="00112A94" w:rsidP="00F76519">
      <w:pPr>
        <w:pStyle w:val="Heading3"/>
      </w:pPr>
      <w:r>
        <w:t>Mass flux cumulus c</w:t>
      </w:r>
      <w:r w:rsidR="002D1FBA">
        <w:t>louds</w:t>
      </w:r>
    </w:p>
    <w:p w14:paraId="10AA8CC9" w14:textId="3F9C0A80"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r>
            <w:rPr>
              <w:rFonts w:ascii="Cambria Math" w:eastAsiaTheme="minorEastAsia" w:hAnsi="Cambria Math" w:cs="Times New Roman"/>
            </w:rPr>
            <m:t>,</m:t>
          </m:r>
        </m:oMath>
      </m:oMathPara>
    </w:p>
    <w:p w14:paraId="4ADC3323" w14:textId="25F79C87" w:rsidR="00892C83"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equation,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proofErr w:type="spellStart"/>
      <w:r w:rsidRPr="002D1FBA">
        <w:rPr>
          <w:rFonts w:ascii="Aptos" w:eastAsiaTheme="minorEastAsia" w:hAnsi="Aptos" w:cs="Times New Roman"/>
        </w:rPr>
        <w:t>utoconversion</w:t>
      </w:r>
      <w:proofErr w:type="spellEnd"/>
      <w:r w:rsidRPr="002D1FBA">
        <w:rPr>
          <w:rFonts w:ascii="Aptos" w:eastAsiaTheme="minorEastAsia" w:hAnsi="Aptos" w:cs="Times New Roman"/>
        </w:rPr>
        <w:t xml:space="preserve">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proofErr w:type="spellStart"/>
      <w:r w:rsidR="00605647">
        <w:rPr>
          <w:rFonts w:ascii="Aptos" w:eastAsiaTheme="minorEastAsia" w:hAnsi="Aptos" w:cs="Times New Roman"/>
        </w:rPr>
        <w:t>ing</w:t>
      </w:r>
      <w:proofErr w:type="spellEnd"/>
      <w:r w:rsidR="00605647">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w:r w:rsidR="00605647" w:rsidRPr="00605647">
        <w:rPr>
          <w:rFonts w:ascii="Cambria Math" w:eastAsiaTheme="minorEastAsia" w:hAnsi="Cambria Math" w:cs="Times New Roman"/>
          <w:i/>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m:rPr>
              <m:sty m:val="p"/>
            </m:rPr>
            <w:rPr>
              <w:rFonts w:ascii="Cambria Math" w:eastAsiaTheme="minorEastAsia" w:hAnsi="Cambria Math" w:cs="Times New Roman"/>
            </w:rPr>
            <w:br/>
          </m:r>
        </m:oMath>
      </m:oMathPara>
      <w:r w:rsidR="00605647" w:rsidRPr="002D1FBA">
        <w:rPr>
          <w:rFonts w:ascii="Aptos" w:eastAsiaTheme="minorEastAsia" w:hAnsi="Aptos" w:cs="Times New Roman"/>
        </w:rPr>
        <w:t>QTILDE</w:t>
      </w:r>
      <w:r w:rsidR="009219E1">
        <w:rPr>
          <w:rFonts w:ascii="Aptos" w:eastAsiaTheme="minorEastAsia" w:hAnsi="Aptos" w:cs="Times New Roman"/>
        </w:rPr>
        <w:t>.</w:t>
      </w:r>
      <w:r w:rsidR="00305AC0">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4636934" cy="3702994"/>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291EFDD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03BFFE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1B5C06D"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4"/>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5A1CBCB3"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276C53">
        <w:rPr>
          <w:rFonts w:ascii="Aptos" w:eastAsiaTheme="minorEastAsia" w:hAnsi="Aptos" w:cs="Times New Roman"/>
        </w:rPr>
        <w:t>P</w:t>
      </w:r>
      <w:proofErr w:type="spellStart"/>
      <w:r w:rsidRPr="00445B91">
        <w:rPr>
          <w:rFonts w:ascii="Aptos" w:eastAsiaTheme="minorEastAsia" w:hAnsi="Aptos" w:cs="Times New Roman"/>
        </w:rPr>
        <w:t>recipitation</w:t>
      </w:r>
      <w:proofErr w:type="spellEnd"/>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7F33BDA2" w14:textId="77777777" w:rsidR="00112A94" w:rsidRDefault="00112A94" w:rsidP="00E97BBB">
      <w:pPr>
        <w:pStyle w:val="BodyText"/>
        <w:rPr>
          <w:rFonts w:ascii="Aptos" w:eastAsiaTheme="minorEastAsia" w:hAnsi="Aptos" w:cs="Times New Roman"/>
        </w:rPr>
      </w:pPr>
    </w:p>
    <w:p w14:paraId="093FC14B" w14:textId="77777777" w:rsidR="00112A94" w:rsidRDefault="00112A94" w:rsidP="00112A94">
      <w:pPr>
        <w:pStyle w:val="Heading2"/>
      </w:pPr>
      <w:bookmarkStart w:id="3" w:name="cloud-base-clouds"/>
      <w:r>
        <w:t>LCL clouds</w:t>
      </w:r>
    </w:p>
    <w:p w14:paraId="571FA02F" w14:textId="63881089" w:rsidR="00112A94" w:rsidRDefault="00112A94" w:rsidP="00112A94">
      <w:pPr>
        <w:pStyle w:val="BodyText"/>
        <w:rPr>
          <w:rFonts w:ascii="Aptos" w:hAnsi="Aptos"/>
        </w:rPr>
      </w:pPr>
      <w:r>
        <w:rPr>
          <w:rFonts w:ascii="Aptos" w:hAnsi="Aptos"/>
        </w:rPr>
        <w:t>While t</w:t>
      </w:r>
      <w:r w:rsidRPr="00C949F2">
        <w:rPr>
          <w:rFonts w:ascii="Aptos" w:hAnsi="Aptos"/>
        </w:rPr>
        <w:t xml:space="preserve">he cloud top height distribution in GOES observations is uniform with no 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1B17842B"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 xml:space="preserv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that reach</w:t>
      </w:r>
      <w:r>
        <w:rPr>
          <w:rFonts w:ascii="Aptos" w:hAnsi="Aptos"/>
        </w:rPr>
        <w:t>es</w:t>
      </w:r>
      <w:r w:rsidRPr="00C949F2">
        <w:rPr>
          <w:rFonts w:ascii="Aptos" w:hAnsi="Aptos"/>
        </w:rPr>
        <w:t xml:space="preserve">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the cloud fraction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proofErr w:type="spellStart"/>
      <w:r w:rsidRPr="00C949F2">
        <w:rPr>
          <w:rFonts w:ascii="Aptos" w:hAnsi="Aptos"/>
        </w:rPr>
        <w:t>easur</w:t>
      </w:r>
      <w:r>
        <w:rPr>
          <w:rFonts w:ascii="Aptos" w:hAnsi="Aptos"/>
        </w:rPr>
        <w:t>ing</w:t>
      </w:r>
      <w:proofErr w:type="spellEnd"/>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08303FEC" w14:textId="77777777" w:rsidR="00112A94" w:rsidRPr="002876E8"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production-dissipation balance of 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CB</m:t>
            </m:r>
          </m:sub>
        </m:sSub>
      </m:oMath>
      <w:r w:rsidRPr="00C949F2">
        <w:rPr>
          <w:rFonts w:ascii="Aptos" w:hAnsi="Aptos"/>
        </w:rPr>
        <w:t xml:space="preserve"> with uniform humidity gradient </w:t>
      </w:r>
      <m:oMath>
        <m:f>
          <m:fPr>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f>
          <m:fPr>
            <m:type m:val="lin"/>
            <m:ctrlPr>
              <w:rPr>
                <w:rFonts w:ascii="Cambria Math" w:hAnsi="Cambria Math"/>
              </w:rPr>
            </m:ctrlPr>
          </m:fPr>
          <m:num>
            <m:d>
              <m:dPr>
                <m:begChr m:val="["/>
                <m:endChr m:val="]"/>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'2</m:t>
                    </m:r>
                  </m:sup>
                </m:sSup>
              </m:e>
            </m:d>
          </m:num>
          <m:den>
            <m:r>
              <m:rPr>
                <m:sty m:val="p"/>
              </m:rPr>
              <w:rPr>
                <w:rFonts w:ascii="Cambria Math" w:hAnsi="Cambria Math"/>
              </w:rPr>
              <m:t>time</m:t>
            </m:r>
          </m:den>
        </m:f>
      </m:oMath>
      <w:r w:rsidRPr="00C949F2">
        <w:rPr>
          <w:rFonts w:ascii="Aptos" w:hAnsi="Aptos"/>
        </w:rPr>
        <w:t xml:space="preserve">) 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 The humidity variance</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m:rPr>
              <m:sty m:val="p"/>
            </m:rPr>
            <w:rPr>
              <w:rFonts w:ascii="Cambria Math" w:hAnsi="Cambria Math"/>
            </w:rPr>
            <w:br/>
          </m:r>
        </m:oMath>
      </m:oMathPara>
      <w:r w:rsidRPr="00C949F2">
        <w:rPr>
          <w:rFonts w:ascii="Aptos" w:hAnsi="Aptos"/>
        </w:rPr>
        <w:t>from the production-dissipation balance,</w:t>
      </w:r>
      <w:r>
        <w:rPr>
          <w:rFonts w:ascii="Aptos" w:hAnsi="Aptos"/>
        </w:rPr>
        <w:t xml:space="preserve"> </w:t>
      </w:r>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ctrlPr>
              <w:rPr>
                <w:rFonts w:ascii="Cambria Math" w:hAnsi="Cambria Math"/>
                <w:i/>
              </w:rPr>
            </m:ctrlP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oMath>
      <w:r w:rsidRPr="00C949F2">
        <w:rPr>
          <w:rFonts w:ascii="Aptos" w:hAnsi="Aptos"/>
        </w:rPr>
        <w:t xml:space="preserve"> and the 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Pr="00C949F2">
        <w:rPr>
          <w:rFonts w:ascii="Aptos" w:hAnsi="Aptos"/>
        </w:rPr>
        <w:t>.</w:t>
      </w:r>
    </w:p>
    <w:p w14:paraId="3E10F782" w14:textId="5010F479" w:rsidR="00112A94" w:rsidRPr="00C949F2" w:rsidRDefault="00112A94" w:rsidP="00112A94">
      <w:pPr>
        <w:pStyle w:val="BodyText"/>
        <w:rPr>
          <w:rFonts w:ascii="Aptos" w:hAnsi="Aptos"/>
        </w:rPr>
      </w:pPr>
      <w:r>
        <w:rPr>
          <w:rFonts w:ascii="Aptos" w:hAnsi="Aptos"/>
        </w:rPr>
        <w:t>Factoring</w:t>
      </w:r>
      <w:r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Pr="00C949F2">
        <w:rPr>
          <w:rFonts w:ascii="Aptos" w:hAnsi="Aptos"/>
        </w:rPr>
        <w:t>specific humidity standard deviation,</w:t>
      </w:r>
      <w:r w:rsidR="00FD74C3">
        <w:rPr>
          <w:rFonts w:ascii="Aptos" w:hAnsi="Aptos"/>
        </w:rPr>
        <w:t xml:space="preserve"> the humidity standard deviation is,</w:t>
      </w:r>
      <w:r w:rsidRPr="00C949F2">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i/>
                    </w:rPr>
                  </m:ctrlPr>
                </m:dPr>
                <m:e>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eastAsiaTheme="minorEastAsia" w:hAnsi="Cambria Math"/>
            </w:rPr>
            <w:br/>
          </m:r>
        </m:oMath>
      </m:oMathPara>
      <w:r w:rsidR="00FD74C3">
        <w:rPr>
          <w:rFonts w:ascii="Aptos" w:eastAsiaTheme="minorEastAsia" w:hAnsi="Aptos"/>
        </w:rPr>
        <w:t>D</w:t>
      </w:r>
      <w:proofErr w:type="spellStart"/>
      <w:r>
        <w:rPr>
          <w:rFonts w:ascii="Aptos" w:eastAsiaTheme="minorEastAsia" w:hAnsi="Aptos"/>
        </w:rPr>
        <w:t>ividing</w:t>
      </w:r>
      <w:proofErr w:type="spellEnd"/>
      <w:r>
        <w:rPr>
          <w:rFonts w:ascii="Aptos" w:eastAsiaTheme="minorEastAsia" w:hAnsi="Aptos"/>
        </w:rPr>
        <w:t xml:space="preserve"> 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2BF4079A" w14:textId="357FB261" w:rsidR="00112A94" w:rsidRPr="00C949F2" w:rsidRDefault="00112A94" w:rsidP="00112A94">
      <w:pPr>
        <w:pStyle w:val="BodyText"/>
        <w:rPr>
          <w:rFonts w:ascii="Aptos" w:hAnsi="Aptos"/>
        </w:rPr>
      </w:pPr>
      <w:bookmarkStart w:id="4" w:name="scaling-subcloud-humidity-with-warming"/>
      <w:r>
        <w:rPr>
          <w:rFonts w:ascii="Aptos" w:hAnsi="Aptos"/>
        </w:rPr>
        <w:t xml:space="preserve">The </w:t>
      </w:r>
      <w:r w:rsidRPr="00C949F2">
        <w:rPr>
          <w:rFonts w:ascii="Aptos" w:hAnsi="Aptos"/>
        </w:rPr>
        <w:t>surface evaporation and cloud-base moisture flux that balance the decrease of precipitation also increase +2 % K</w:t>
      </w:r>
      <w:r>
        <w:rPr>
          <w:rFonts w:ascii="Aptos" w:hAnsi="Aptos"/>
          <w:vertAlign w:val="superscript"/>
        </w:rPr>
        <w:t>–1</w:t>
      </w:r>
      <w:r w:rsidRPr="00C949F2">
        <w:rPr>
          <w:rFonts w:ascii="Aptos" w:hAnsi="Aptos"/>
        </w:rPr>
        <w:t xml:space="preserve">. </w:t>
      </w:r>
      <w:r>
        <w:rPr>
          <w:rFonts w:ascii="Aptos" w:hAnsi="Aptos"/>
        </w:rPr>
        <w:t>W</w:t>
      </w:r>
      <w:r w:rsidRPr="00C949F2">
        <w:rPr>
          <w:rFonts w:ascii="Aptos" w:hAnsi="Aptos"/>
        </w:rPr>
        <w:t xml:space="preserve">e expect the friction velocity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oMath>
      <w:r w:rsidRPr="00C949F2">
        <w:rPr>
          <w:rFonts w:ascii="Aptos" w:hAnsi="Aptos"/>
        </w:rPr>
        <w:t xml:space="preserve"> to remain constant, </w:t>
      </w:r>
      <w:r>
        <w:rPr>
          <w:rFonts w:ascii="Aptos" w:hAnsi="Aptos"/>
        </w:rPr>
        <w:t>and</w:t>
      </w:r>
      <w:r w:rsidRPr="00C949F2">
        <w:rPr>
          <w:rFonts w:ascii="Aptos" w:hAnsi="Aptos"/>
        </w:rPr>
        <w:t xml:space="preserve"> the humidity 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increases +2 % K</w:t>
      </w:r>
      <w:r>
        <w:rPr>
          <w:rFonts w:ascii="Aptos" w:hAnsi="Aptos"/>
          <w:vertAlign w:val="superscript"/>
        </w:rPr>
        <w:t>–1</w:t>
      </w:r>
      <w:r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r>
            <m:rPr>
              <m:sty m:val="p"/>
            </m:rPr>
            <w:rPr>
              <w:rFonts w:ascii="Cambria Math" w:hAnsi="Cambria Math"/>
            </w:rPr>
            <w:br/>
          </m:r>
        </m:oMath>
      </m:oMathPara>
      <w:r>
        <w:rPr>
          <w:rFonts w:ascii="Aptos" w:hAnsi="Aptos"/>
        </w:rPr>
        <w:t>T</w:t>
      </w:r>
      <w:r w:rsidRPr="00C949F2">
        <w:rPr>
          <w:rFonts w:ascii="Aptos" w:hAnsi="Aptos"/>
        </w:rPr>
        <w:t>he argument of the error function</w:t>
      </w:r>
      <w:r>
        <w:rPr>
          <w:rFonts w:ascii="Aptos" w:hAnsi="Aptos"/>
        </w:rPr>
        <w:t xml:space="preserve"> scales as</w:t>
      </w:r>
      <w:r w:rsidRPr="00C949F2">
        <w:rPr>
          <w:rFonts w:ascii="Aptos" w:hAnsi="Aptos"/>
        </w:rPr>
        <w:t>,</w:t>
      </w:r>
      <w:r w:rsidRPr="00C949F2">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310C02D7"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w:t>
      </w:r>
      <w:r>
        <w:rPr>
          <w:rFonts w:ascii="Aptos" w:hAnsi="Aptos"/>
        </w:rPr>
        <w:t>indistinguishable from</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f>
            <m:fPr>
              <m:type m:val="lin"/>
              <m:ctrlPr>
                <w:rPr>
                  <w:rFonts w:ascii="Cambria Math" w:hAnsi="Cambria Math"/>
                </w:rPr>
              </m:ctrlPr>
            </m:fPr>
            <m:num>
              <m:d>
                <m:dPr>
                  <m:ctrlPr>
                    <w:rPr>
                      <w:rFonts w:ascii="Cambria Math" w:hAnsi="Cambria Math"/>
                      <w:i/>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func>
                </m:e>
              </m:d>
            </m:num>
            <m:den>
              <m:r>
                <m:rPr>
                  <m:sty m:val="p"/>
                </m:rPr>
                <w:rPr>
                  <w:rFonts w:ascii="Cambria Math" w:hAnsi="Cambria Math"/>
                </w:rPr>
                <m:t>2</m:t>
              </m:r>
            </m:den>
          </m:f>
          <m:r>
            <m:rPr>
              <m:sty m:val="p"/>
            </m:rPr>
            <w:rPr>
              <w:rFonts w:ascii="Cambria Math" w:hAnsi="Cambria Math"/>
            </w:rPr>
            <m:t>=0.055,</m:t>
          </m:r>
          <m:r>
            <m:rPr>
              <m:sty m:val="p"/>
            </m:rPr>
            <w:rPr>
              <w:rFonts w:ascii="Cambria Math" w:hAnsi="Cambria Math"/>
            </w:rPr>
            <w:br/>
          </m:r>
        </m:oMath>
      </m:oMathPara>
      <w:r w:rsidRPr="00C949F2">
        <w:rPr>
          <w:rFonts w:ascii="Aptos" w:hAnsi="Aptos"/>
        </w:rPr>
        <w:t xml:space="preserve">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Pr="00C949F2">
        <w:rPr>
          <w:rFonts w:ascii="Aptos" w:hAnsi="Aptos"/>
        </w:rPr>
        <w:t>0.975 K</w:t>
      </w:r>
      <w:r>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 +9% K</w:t>
      </w:r>
      <w:r>
        <w:rPr>
          <w:rFonts w:ascii="Aptos" w:hAnsi="Aptos"/>
          <w:vertAlign w:val="superscript"/>
        </w:rPr>
        <w:t>–1</w:t>
      </w:r>
      <w:r w:rsidRPr="00C949F2">
        <w:rPr>
          <w:rFonts w:ascii="Aptos" w:hAnsi="Aptos"/>
        </w:rPr>
        <w:t xml:space="preserve"> </w:t>
      </w:r>
      <w:r w:rsidR="00FD74C3">
        <w:rPr>
          <w:rFonts w:ascii="Aptos" w:hAnsi="Aptos"/>
        </w:rPr>
        <w:t>(</w:t>
      </w:r>
      <w:r w:rsidR="00FD74C3" w:rsidRPr="00C949F2">
        <w:rPr>
          <w:rFonts w:ascii="Aptos" w:hAnsi="Aptos"/>
        </w:rPr>
        <w:t>0.005 K</w:t>
      </w:r>
      <w:r w:rsidR="00FD74C3">
        <w:rPr>
          <w:rFonts w:ascii="Aptos" w:hAnsi="Aptos"/>
          <w:vertAlign w:val="superscript"/>
        </w:rPr>
        <w:t>–1</w:t>
      </w:r>
      <w:r w:rsidR="00FD74C3">
        <w:rPr>
          <w:rFonts w:ascii="Aptos" w:hAnsi="Aptos"/>
        </w:rPr>
        <w:t xml:space="preserve"> absolute) i</w:t>
      </w:r>
      <w:r w:rsidRPr="00C949F2">
        <w:rPr>
          <w:rFonts w:ascii="Aptos" w:hAnsi="Aptos"/>
        </w:rPr>
        <w:t>ncrease in cloud-base clouds. This 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4583526A">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5"/>
                    <a:stretch>
                      <a:fillRect/>
                    </a:stretch>
                  </pic:blipFill>
                  <pic:spPr>
                    <a:xfrm>
                      <a:off x="0" y="0"/>
                      <a:ext cx="3225800" cy="242110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drawing>
          <wp:inline distT="0" distB="0" distL="0" distR="0" wp14:anchorId="23630D15" wp14:editId="5BF437A2">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6"/>
                    <a:stretch>
                      <a:fillRect/>
                    </a:stretch>
                  </pic:blipFill>
                  <pic:spPr>
                    <a:xfrm>
                      <a:off x="0" y="0"/>
                      <a:ext cx="3417418" cy="4100901"/>
                    </a:xfrm>
                    <a:prstGeom prst="rect">
                      <a:avLst/>
                    </a:prstGeom>
                  </pic:spPr>
                </pic:pic>
              </a:graphicData>
            </a:graphic>
          </wp:inline>
        </w:drawing>
      </w:r>
    </w:p>
    <w:p w14:paraId="66FD2277" w14:textId="1360E759" w:rsidR="00C655AB" w:rsidRDefault="0046105B" w:rsidP="0055046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0C5AFD89" w14:textId="4B95F2B7" w:rsidR="00862990" w:rsidRPr="00862990" w:rsidRDefault="00862990" w:rsidP="00550467">
      <w:pPr>
        <w:rPr>
          <w:rFonts w:eastAsiaTheme="minorEastAsia" w:cs="Times New Roman"/>
          <w:kern w:val="0"/>
          <w14:ligatures w14:val="none"/>
        </w:rPr>
      </w:pPr>
      <w:r>
        <w:rPr>
          <w:rFonts w:eastAsiaTheme="minorEastAsia" w:cs="Times New Roman"/>
          <w:kern w:val="0"/>
          <w14:ligatures w14:val="none"/>
        </w:rPr>
        <w:t>[</w:t>
      </w:r>
      <w:r w:rsidRPr="00862990">
        <w:rPr>
          <w:rFonts w:eastAsiaTheme="minorEastAsia" w:cs="Times New Roman"/>
          <w:kern w:val="0"/>
          <w14:ligatures w14:val="none"/>
        </w:rPr>
        <w:t>GOES cloud fraction is greater than the reflectance-weighted cloud fraction</w:t>
      </w:r>
      <w:r w:rsidR="00632E62">
        <w:rPr>
          <w:rFonts w:eastAsiaTheme="minorEastAsia" w:cs="Times New Roman"/>
          <w:kern w:val="0"/>
          <w14:ligatures w14:val="none"/>
        </w:rPr>
        <w:t xml:space="preserve"> below 4-km (Fig. 1)</w:t>
      </w:r>
      <w:r>
        <w:rPr>
          <w:rFonts w:eastAsiaTheme="minorEastAsia" w:cs="Times New Roman"/>
          <w:kern w:val="0"/>
          <w14:ligatures w14:val="none"/>
        </w:rPr>
        <w:t xml:space="preserve"> because reflectance </w:t>
      </w:r>
      <w:proofErr w:type="spellStart"/>
      <w:r>
        <w:rPr>
          <w:rFonts w:eastAsiaTheme="minorEastAsia" w:cs="Times New Roman"/>
          <w:kern w:val="0"/>
          <w14:ligatures w14:val="none"/>
        </w:rPr>
        <w:t>downweights</w:t>
      </w:r>
      <w:proofErr w:type="spellEnd"/>
      <w:r>
        <w:rPr>
          <w:rFonts w:eastAsiaTheme="minorEastAsia" w:cs="Times New Roman"/>
          <w:kern w:val="0"/>
          <w14:ligatures w14:val="none"/>
        </w:rPr>
        <w:t xml:space="preserve"> the cloud fraction in pixels that the ISCCP-MODIS like algorithm counts as fully cloudy but having lower optical depth. In this way, we use pixel reflectance as pseudo-</w:t>
      </w:r>
      <w:proofErr w:type="gramStart"/>
      <w:r>
        <w:rPr>
          <w:rFonts w:eastAsiaTheme="minorEastAsia" w:cs="Times New Roman"/>
          <w:kern w:val="0"/>
          <w14:ligatures w14:val="none"/>
        </w:rPr>
        <w:t>albedo, and</w:t>
      </w:r>
      <w:proofErr w:type="gramEnd"/>
      <w:r>
        <w:rPr>
          <w:rFonts w:eastAsiaTheme="minorEastAsia" w:cs="Times New Roman"/>
          <w:kern w:val="0"/>
          <w14:ligatures w14:val="none"/>
        </w:rPr>
        <w:t xml:space="preserve"> exclude scenes where the low clouds are obscured.]</w:t>
      </w:r>
    </w:p>
    <w:sectPr w:rsidR="00862990" w:rsidRPr="00862990">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7CC2121" w14:textId="77777777" w:rsidR="00AC579F" w:rsidRDefault="00AC579F" w:rsidP="005D1914">
      <w:pPr>
        <w:spacing w:after="0" w:line="240" w:lineRule="auto"/>
      </w:pPr>
      <w:r>
        <w:separator/>
      </w:r>
    </w:p>
  </w:endnote>
  <w:endnote w:type="continuationSeparator" w:id="0">
    <w:p w14:paraId="34B09DFC" w14:textId="77777777" w:rsidR="00AC579F" w:rsidRDefault="00AC579F"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313684" w14:textId="77777777" w:rsidR="00AC579F" w:rsidRDefault="00AC579F" w:rsidP="005D1914">
      <w:pPr>
        <w:spacing w:after="0" w:line="240" w:lineRule="auto"/>
      </w:pPr>
      <w:r>
        <w:separator/>
      </w:r>
    </w:p>
  </w:footnote>
  <w:footnote w:type="continuationSeparator" w:id="0">
    <w:p w14:paraId="5675EB8A" w14:textId="77777777" w:rsidR="00AC579F" w:rsidRDefault="00AC579F"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31814"/>
    <w:rsid w:val="00034DB9"/>
    <w:rsid w:val="00046B2B"/>
    <w:rsid w:val="00060C29"/>
    <w:rsid w:val="0006500E"/>
    <w:rsid w:val="000861F1"/>
    <w:rsid w:val="000934D8"/>
    <w:rsid w:val="00097B63"/>
    <w:rsid w:val="000A1B6B"/>
    <w:rsid w:val="000A6BC4"/>
    <w:rsid w:val="000B0414"/>
    <w:rsid w:val="000D5984"/>
    <w:rsid w:val="000E1686"/>
    <w:rsid w:val="000F4542"/>
    <w:rsid w:val="000F6B7E"/>
    <w:rsid w:val="00106684"/>
    <w:rsid w:val="00112A94"/>
    <w:rsid w:val="0011345F"/>
    <w:rsid w:val="0011468E"/>
    <w:rsid w:val="0013760C"/>
    <w:rsid w:val="00172408"/>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54465"/>
    <w:rsid w:val="002600EC"/>
    <w:rsid w:val="00276C53"/>
    <w:rsid w:val="002834D1"/>
    <w:rsid w:val="002876E8"/>
    <w:rsid w:val="00292BCF"/>
    <w:rsid w:val="00295C0E"/>
    <w:rsid w:val="002C7264"/>
    <w:rsid w:val="002D1FBA"/>
    <w:rsid w:val="002E0CDF"/>
    <w:rsid w:val="002F57C8"/>
    <w:rsid w:val="00305AC0"/>
    <w:rsid w:val="00334816"/>
    <w:rsid w:val="00357EBD"/>
    <w:rsid w:val="00357FCD"/>
    <w:rsid w:val="00361790"/>
    <w:rsid w:val="003665E6"/>
    <w:rsid w:val="00387453"/>
    <w:rsid w:val="003960A4"/>
    <w:rsid w:val="003A2BBB"/>
    <w:rsid w:val="003B1BDD"/>
    <w:rsid w:val="003C6DC5"/>
    <w:rsid w:val="003C7D2A"/>
    <w:rsid w:val="003E76DE"/>
    <w:rsid w:val="003F560E"/>
    <w:rsid w:val="00401D52"/>
    <w:rsid w:val="00412B65"/>
    <w:rsid w:val="0043681C"/>
    <w:rsid w:val="00437C85"/>
    <w:rsid w:val="00440DE8"/>
    <w:rsid w:val="00442E7F"/>
    <w:rsid w:val="00445B91"/>
    <w:rsid w:val="0046105B"/>
    <w:rsid w:val="00466BA1"/>
    <w:rsid w:val="00472E3F"/>
    <w:rsid w:val="00477B82"/>
    <w:rsid w:val="00480606"/>
    <w:rsid w:val="00492E3B"/>
    <w:rsid w:val="004A5022"/>
    <w:rsid w:val="004B6545"/>
    <w:rsid w:val="004E17B2"/>
    <w:rsid w:val="004E7A5E"/>
    <w:rsid w:val="004F0032"/>
    <w:rsid w:val="004F0AC4"/>
    <w:rsid w:val="00501794"/>
    <w:rsid w:val="0050652A"/>
    <w:rsid w:val="00541DD3"/>
    <w:rsid w:val="005459C1"/>
    <w:rsid w:val="00550467"/>
    <w:rsid w:val="0055084D"/>
    <w:rsid w:val="0056396C"/>
    <w:rsid w:val="005718D2"/>
    <w:rsid w:val="00576BF6"/>
    <w:rsid w:val="005778E5"/>
    <w:rsid w:val="00583AA5"/>
    <w:rsid w:val="005857D4"/>
    <w:rsid w:val="005975C1"/>
    <w:rsid w:val="005A4A14"/>
    <w:rsid w:val="005B2CCA"/>
    <w:rsid w:val="005B6A45"/>
    <w:rsid w:val="005C66F7"/>
    <w:rsid w:val="005D1914"/>
    <w:rsid w:val="005F290D"/>
    <w:rsid w:val="005F756B"/>
    <w:rsid w:val="00602D85"/>
    <w:rsid w:val="00605647"/>
    <w:rsid w:val="006130D0"/>
    <w:rsid w:val="0063263F"/>
    <w:rsid w:val="00632E62"/>
    <w:rsid w:val="006406DD"/>
    <w:rsid w:val="006433E8"/>
    <w:rsid w:val="00673354"/>
    <w:rsid w:val="006745A6"/>
    <w:rsid w:val="0068017A"/>
    <w:rsid w:val="0068433B"/>
    <w:rsid w:val="00695379"/>
    <w:rsid w:val="006A04E5"/>
    <w:rsid w:val="006A7240"/>
    <w:rsid w:val="006B0FAD"/>
    <w:rsid w:val="006C7239"/>
    <w:rsid w:val="006E3283"/>
    <w:rsid w:val="006E78F2"/>
    <w:rsid w:val="00702069"/>
    <w:rsid w:val="00710CAA"/>
    <w:rsid w:val="0071318B"/>
    <w:rsid w:val="007201B1"/>
    <w:rsid w:val="007263F1"/>
    <w:rsid w:val="00736727"/>
    <w:rsid w:val="0074127A"/>
    <w:rsid w:val="00746309"/>
    <w:rsid w:val="00783252"/>
    <w:rsid w:val="007967EF"/>
    <w:rsid w:val="007A5316"/>
    <w:rsid w:val="007B3AF4"/>
    <w:rsid w:val="007B690B"/>
    <w:rsid w:val="007C1009"/>
    <w:rsid w:val="007C14C6"/>
    <w:rsid w:val="007D05B4"/>
    <w:rsid w:val="007E0C76"/>
    <w:rsid w:val="007E0ED9"/>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85299"/>
    <w:rsid w:val="00987BA2"/>
    <w:rsid w:val="00992484"/>
    <w:rsid w:val="009A5434"/>
    <w:rsid w:val="009B2C7E"/>
    <w:rsid w:val="009B48DD"/>
    <w:rsid w:val="009B765F"/>
    <w:rsid w:val="009B7EFF"/>
    <w:rsid w:val="009E3FDB"/>
    <w:rsid w:val="009E426D"/>
    <w:rsid w:val="009E7640"/>
    <w:rsid w:val="009F7889"/>
    <w:rsid w:val="00A011D9"/>
    <w:rsid w:val="00A074CA"/>
    <w:rsid w:val="00A43204"/>
    <w:rsid w:val="00A52E3C"/>
    <w:rsid w:val="00AA0C2D"/>
    <w:rsid w:val="00AB12F2"/>
    <w:rsid w:val="00AB60E1"/>
    <w:rsid w:val="00AC3000"/>
    <w:rsid w:val="00AC579F"/>
    <w:rsid w:val="00AF16E4"/>
    <w:rsid w:val="00AF689C"/>
    <w:rsid w:val="00B0061A"/>
    <w:rsid w:val="00B05A3E"/>
    <w:rsid w:val="00B10DA5"/>
    <w:rsid w:val="00B1766A"/>
    <w:rsid w:val="00B30C1B"/>
    <w:rsid w:val="00B4556F"/>
    <w:rsid w:val="00B53E44"/>
    <w:rsid w:val="00B561F4"/>
    <w:rsid w:val="00B7334B"/>
    <w:rsid w:val="00B809F4"/>
    <w:rsid w:val="00B836E4"/>
    <w:rsid w:val="00B957BD"/>
    <w:rsid w:val="00BA6239"/>
    <w:rsid w:val="00BD405C"/>
    <w:rsid w:val="00BD508D"/>
    <w:rsid w:val="00BD7B54"/>
    <w:rsid w:val="00BD7F28"/>
    <w:rsid w:val="00BF0AF6"/>
    <w:rsid w:val="00BF4A76"/>
    <w:rsid w:val="00BF539B"/>
    <w:rsid w:val="00BF637B"/>
    <w:rsid w:val="00C13502"/>
    <w:rsid w:val="00C17552"/>
    <w:rsid w:val="00C31E17"/>
    <w:rsid w:val="00C35AC8"/>
    <w:rsid w:val="00C60982"/>
    <w:rsid w:val="00C6491F"/>
    <w:rsid w:val="00C655AB"/>
    <w:rsid w:val="00C71FFC"/>
    <w:rsid w:val="00C807E9"/>
    <w:rsid w:val="00C90E54"/>
    <w:rsid w:val="00C92BD8"/>
    <w:rsid w:val="00C97043"/>
    <w:rsid w:val="00CA09DE"/>
    <w:rsid w:val="00CA7B5F"/>
    <w:rsid w:val="00CB73B1"/>
    <w:rsid w:val="00CD4926"/>
    <w:rsid w:val="00CE09F6"/>
    <w:rsid w:val="00D40302"/>
    <w:rsid w:val="00D44132"/>
    <w:rsid w:val="00D46B8C"/>
    <w:rsid w:val="00D47E72"/>
    <w:rsid w:val="00D620B1"/>
    <w:rsid w:val="00D722D1"/>
    <w:rsid w:val="00D74B40"/>
    <w:rsid w:val="00DB70C0"/>
    <w:rsid w:val="00DD77F8"/>
    <w:rsid w:val="00DE5624"/>
    <w:rsid w:val="00DF4052"/>
    <w:rsid w:val="00E0119E"/>
    <w:rsid w:val="00E05DDC"/>
    <w:rsid w:val="00E1600C"/>
    <w:rsid w:val="00E33B47"/>
    <w:rsid w:val="00E34A43"/>
    <w:rsid w:val="00E35D55"/>
    <w:rsid w:val="00E37F02"/>
    <w:rsid w:val="00E51B9F"/>
    <w:rsid w:val="00E97BBB"/>
    <w:rsid w:val="00EA30AE"/>
    <w:rsid w:val="00EB3B78"/>
    <w:rsid w:val="00ED11AE"/>
    <w:rsid w:val="00EE5B85"/>
    <w:rsid w:val="00EF1F76"/>
    <w:rsid w:val="00F05DCD"/>
    <w:rsid w:val="00F146E6"/>
    <w:rsid w:val="00F17EBF"/>
    <w:rsid w:val="00F207C2"/>
    <w:rsid w:val="00F21A08"/>
    <w:rsid w:val="00F2441D"/>
    <w:rsid w:val="00F244B4"/>
    <w:rsid w:val="00F257E1"/>
    <w:rsid w:val="00F60A39"/>
    <w:rsid w:val="00F61C9F"/>
    <w:rsid w:val="00F6599E"/>
    <w:rsid w:val="00F76519"/>
    <w:rsid w:val="00F940B7"/>
    <w:rsid w:val="00FA4F68"/>
    <w:rsid w:val="00FC0B84"/>
    <w:rsid w:val="00FC0ED8"/>
    <w:rsid w:val="00FC13FE"/>
    <w:rsid w:val="00FC1D12"/>
    <w:rsid w:val="00FD0769"/>
    <w:rsid w:val="00FD74C3"/>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e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2128</TotalTime>
  <Pages>1</Pages>
  <Words>4909</Words>
  <Characters>27984</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29</cp:revision>
  <dcterms:created xsi:type="dcterms:W3CDTF">2026-07-14T00:26:00Z</dcterms:created>
  <dcterms:modified xsi:type="dcterms:W3CDTF">2026-07-18T00:33:00Z</dcterms:modified>
</cp:coreProperties>
</file>