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w:t>
      </w:r>
      <w:r w:rsidR="00EB3B78">
        <w:t>(ISCCP, Zelinka XXXX, Webb XXXX</w:t>
      </w:r>
      <w:r w:rsidR="00EB3B78">
        <w:t>, Jin et al. 2026</w:t>
      </w:r>
      <w:r w:rsidR="00EB3B78">
        <w:t>)</w:t>
      </w:r>
      <w:r w:rsidR="00EB3B78">
        <w:t>, a positive shortwave radiative cloud feedback</w:t>
      </w:r>
      <w:r>
        <w:t xml:space="preserve">. </w:t>
      </w:r>
      <w:r>
        <w:rPr>
          <w:rFonts w:ascii="Aptos" w:hAnsi="Aptos"/>
        </w:rPr>
        <w:t>V</w:t>
      </w:r>
      <w:r w:rsidRPr="00891CDE">
        <w:rPr>
          <w:rFonts w:ascii="Aptos" w:hAnsi="Aptos"/>
        </w:rPr>
        <w:t xml:space="preserve">ariation of </w:t>
      </w:r>
      <w:r w:rsidR="00EB3B78">
        <w:rPr>
          <w:rFonts w:ascii="Aptos" w:hAnsi="Aptos"/>
        </w:rPr>
        <w:t>the shallow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to CO2</w:t>
      </w:r>
      <w:r>
        <w:rPr>
          <w:rFonts w:ascii="Aptos" w:hAnsi="Aptos"/>
        </w:rPr>
        <w:t xml:space="preserve"> </w:t>
      </w:r>
      <w:r w:rsidRPr="00891CDE">
        <w:rPr>
          <w:rFonts w:ascii="Aptos" w:hAnsi="Aptos"/>
        </w:rPr>
        <w:t xml:space="preserve">(Bony et al. 2005; Bony and Dufresne, 2006). </w:t>
      </w:r>
      <w:r w:rsidR="001A7E91">
        <w:rPr>
          <w:rFonts w:ascii="Aptos" w:hAnsi="Aptos"/>
        </w:rPr>
        <w:t xml:space="preserve">Satellite observations </w:t>
      </w:r>
      <w:r w:rsidR="001A7E91">
        <w:rPr>
          <w:rFonts w:ascii="Aptos" w:hAnsi="Aptos"/>
        </w:rPr>
        <w:t xml:space="preserve">of the last decades </w:t>
      </w:r>
      <w:r w:rsidR="001A7E91">
        <w:rPr>
          <w:rFonts w:ascii="Aptos" w:hAnsi="Aptos"/>
        </w:rPr>
        <w:t xml:space="preserve">show clearing of optically thin low clouds represents the strongest </w:t>
      </w:r>
      <w:r w:rsidR="001A7E91">
        <w:rPr>
          <w:rFonts w:ascii="Aptos" w:hAnsi="Aptos"/>
        </w:rPr>
        <w:t xml:space="preserve">contribution to </w:t>
      </w:r>
      <w:r w:rsidR="001A7E91">
        <w:rPr>
          <w:rFonts w:ascii="Aptos" w:hAnsi="Aptos"/>
        </w:rPr>
        <w:t>s</w:t>
      </w:r>
      <w:r w:rsidR="001A7E91">
        <w:rPr>
          <w:rFonts w:ascii="Aptos" w:hAnsi="Aptos"/>
        </w:rPr>
        <w:t>hortwave</w:t>
      </w:r>
      <w:r w:rsidR="001A7E91">
        <w:rPr>
          <w:rFonts w:ascii="Aptos" w:hAnsi="Aptos"/>
        </w:rPr>
        <w:t xml:space="preserve"> cloud feedback (Jin et al. 2026)</w:t>
      </w:r>
      <w:r w:rsidR="001A7E91">
        <w:rPr>
          <w:rFonts w:ascii="Aptos" w:hAnsi="Aptos"/>
        </w:rPr>
        <w:t>,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feedbacks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lastRenderedPageBreak/>
        <w:t>The sensitivity of clouds to mixing depends on desiccati</w:t>
      </w:r>
      <w:r w:rsidR="00FC1D12">
        <w:t>on of</w:t>
      </w:r>
      <w:r>
        <w:t xml:space="preserve"> </w:t>
      </w:r>
      <w:r>
        <w:t xml:space="preserve">layers of thin </w:t>
      </w:r>
      <w:r>
        <w:t>cloud</w:t>
      </w:r>
      <w:r>
        <w:t>s</w:t>
      </w:r>
      <w:r>
        <w:t xml:space="preserve">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0A1B6B" w:rsidRPr="009B2C7E">
        <w:rPr>
          <w:lang w:val="fr-FR"/>
        </w:rPr>
        <w:t>suggest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(Nuijens et al. 2013; Brient et al. 2016; Vial et al. 2017; Vogel et al. 2022</w:t>
      </w:r>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a</w:t>
      </w:r>
      <w:r w:rsidR="00EF1F76">
        <w:t xml:space="preserve"> </w:t>
      </w:r>
      <w:r w:rsidR="00C31E17">
        <w:t>negative feedback (Huang et al. 2026).</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equency of occurence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w:t>
      </w:r>
      <w:r w:rsidR="00CE09F6" w:rsidRPr="00891CDE">
        <w:rPr>
          <w:rFonts w:ascii="Aptos" w:hAnsi="Aptos"/>
        </w:rPr>
        <w:lastRenderedPageBreak/>
        <w:t xml:space="preserve">strongly </w:t>
      </w:r>
      <w:r w:rsidR="009179F7">
        <w:rPr>
          <w:rFonts w:ascii="Aptos" w:hAnsi="Aptos"/>
        </w:rPr>
        <w:t xml:space="preserve">(R = </w:t>
      </w:r>
      <w:r w:rsidR="00F05DCD">
        <w:rPr>
          <w:rFonts w:ascii="Aptos" w:hAnsi="Aptos"/>
        </w:rPr>
        <w:t>0.6X??</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Th</w:t>
      </w:r>
      <w:r>
        <w:t>e</w:t>
      </w:r>
      <w:r>
        <w:t xml:space="preserv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w:t>
      </w:r>
      <w:r w:rsidR="00184A45">
        <w:t>(Held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w:t>
      </w:r>
      <w:r w:rsidR="006433E8">
        <w:rPr>
          <w:rFonts w:eastAsiaTheme="minorEastAsia"/>
        </w:rPr>
        <w:t>s</w:t>
      </w:r>
      <w:r w:rsidR="006433E8">
        <w:rPr>
          <w:rFonts w:eastAsiaTheme="minorEastAsia"/>
        </w:rPr>
        <w:t xml:space="preserve"> -5% in response to</w:t>
      </w:r>
      <w:r w:rsidR="006433E8">
        <w:rPr>
          <w:rFonts w:eastAsiaTheme="minorEastAsia"/>
        </w:rPr>
        <w:t xml:space="preserve"> circulation</w:t>
      </w:r>
      <w:r w:rsidR="006433E8">
        <w:rPr>
          <w:rFonts w:eastAsiaTheme="minorEastAsia"/>
        </w:rPr>
        <w:t xml:space="preserve">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w:t>
      </w:r>
      <w:r>
        <w:rPr>
          <w:rFonts w:ascii="Aptos" w:hAnsi="Aptos"/>
        </w:rPr>
        <w:t>3</w:t>
      </w:r>
      <w:r>
        <w:rPr>
          <w:rFonts w:ascii="Aptos" w:hAnsi="Aptos"/>
        </w:rPr>
        <w:t xml:space="preserve">)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A0B0315" w:rsidR="00576BF6" w:rsidRPr="00576BF6" w:rsidRDefault="00242DA2" w:rsidP="00576BF6">
      <w:pPr>
        <w:pStyle w:val="BodyText"/>
        <w:rPr>
          <w:rFonts w:ascii="Aptos" w:hAnsi="Aptos"/>
        </w:rPr>
      </w:pPr>
      <w:r>
        <w:t>(</w:t>
      </w:r>
      <w:r>
        <w:t>4</w:t>
      </w:r>
      <w:r>
        <w:t xml:space="preserve">) </w:t>
      </w:r>
      <w:r w:rsidR="00576BF6" w:rsidRPr="00C6491F">
        <w:t xml:space="preserve">The shallow cumulus cloud fraction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m:oMath>
        <m:r>
          <w:rPr>
            <w:rFonts w:ascii="Cambria Math" w:eastAsiaTheme="minorEastAsia" w:hAnsi="Cambria Math"/>
          </w:rPr>
          <m:t>4.2</m:t>
        </m:r>
      </m:oMath>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w:t>
      </w:r>
      <w:r w:rsidR="00576BF6">
        <w:rPr>
          <w:rFonts w:eastAsiaTheme="minorEastAsia"/>
        </w:rPr>
        <w:t xml:space="preserve">is confirmed </w:t>
      </w:r>
      <w:r w:rsidR="0043681C">
        <w:rPr>
          <w:rFonts w:eastAsiaTheme="minorEastAsia"/>
        </w:rPr>
        <w:t xml:space="preserve">for GOES scenes </w:t>
      </w:r>
      <w:r w:rsidR="00576BF6">
        <w:rPr>
          <w:rFonts w:eastAsiaTheme="minorEastAsia"/>
        </w:rPr>
        <w:t xml:space="preserve">with a mass flux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8A33FB9"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w:r>
        <w:rPr>
          <w:rFonts w:ascii="Aptos" w:hAnsi="Aptos"/>
        </w:rPr>
        <w:t xml:space="preserve">is the simplest explanation for the change of clouds with the climate, </w:t>
      </w:r>
      <w:r w:rsidR="00FC13FE">
        <w:rPr>
          <w:rFonts w:ascii="Aptos" w:eastAsiaTheme="minorEastAsia" w:hAnsi="Aptos"/>
        </w:rPr>
        <w:t>from</w:t>
      </w:r>
      <w:r w:rsidR="00FC13F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Pr="00295C0E">
        <w:rPr>
          <w:rFonts w:ascii="Aptos" w:hAnsi="Aptos"/>
        </w:rPr>
        <w:t xml:space="preserve"> </w:t>
      </w:r>
      <w:r w:rsidR="00FC13FE">
        <w:rPr>
          <w:rFonts w:ascii="Aptos" w:hAnsi="Aptos"/>
        </w:rPr>
        <w:t xml:space="preserve">predicting the shallow cumulus cloud albedo </w:t>
      </w:r>
      <w:r w:rsidR="00FC13FE">
        <w:rPr>
          <w:rFonts w:ascii="Aptos" w:hAnsi="Aptos"/>
        </w:rPr>
        <w:t>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r w:rsidR="00242DA2">
        <w:t xml:space="preserve">a positive radiative feedback that scales with the </w:t>
      </w:r>
      <w:r w:rsidR="00242DA2">
        <w:t xml:space="preserve">planetary </w:t>
      </w:r>
      <w:r w:rsidR="00BF637B">
        <w:t>albedo</w:t>
      </w:r>
      <w:r w:rsidR="00242DA2">
        <w:t xml:space="preserve"> of </w:t>
      </w:r>
      <w:r w:rsidR="00242DA2">
        <w:t>shallow cumulus cloud</w:t>
      </w:r>
      <w:r w:rsidR="00242DA2">
        <w:t>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The autoconversion of cloud droplets to precipitation, the lateral entrainment rate, and the ratio of the area of active updraft to cloud area, are set to match emergent properties of the clouds in the present 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lastRenderedPageBreak/>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Updraft water in excess of the saturation specific humidity condenses as cloud liquid.</w:t>
      </w:r>
      <w:r w:rsidR="00CA09DE">
        <w:rPr>
          <w:rFonts w:ascii="Aptos" w:hAnsi="Aptos"/>
        </w:rPr>
        <w:t xml:space="preserve">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w:t>
      </w:r>
      <w:r w:rsidR="006E3283">
        <w:rPr>
          <w:rFonts w:eastAsiaTheme="minorEastAsia"/>
        </w:rPr>
        <w:t xml:space="preserve">total </w:t>
      </w:r>
      <w:r w:rsidR="006E3283">
        <w:rPr>
          <w:rFonts w:eastAsiaTheme="minorEastAsia"/>
        </w:rPr>
        <w:t xml:space="preserve">moisture sink rate </w:t>
      </w:r>
      <w:r w:rsidR="006E3283">
        <w:t>(</w:t>
      </w:r>
      <w:r w:rsidR="006E3283">
        <w:t xml:space="preserve">vapor </w:t>
      </w:r>
      <w:r w:rsidR="006E3283">
        <w:t xml:space="preserve">entrainment </w:t>
      </w:r>
      <w:r w:rsidR="006E3283">
        <w:t>and</w:t>
      </w:r>
      <w:r w:rsidR="006E3283">
        <w:t xml:space="preserve"> </w:t>
      </w:r>
      <w:r w:rsidR="006E3283">
        <w:t xml:space="preserve">liquid </w:t>
      </w:r>
      <w:r w:rsidR="006E3283">
        <w:t xml:space="preserve">autoconversion) </w:t>
      </w:r>
      <w:r w:rsidR="006E3283">
        <w:rPr>
          <w:rFonts w:eastAsiaTheme="minorEastAsia"/>
        </w:rPr>
        <w:t>parameterizes turbulence-scale processes within the clouds</w:t>
      </w:r>
      <w:r w:rsidR="006E3283">
        <w:rPr>
          <w:rFonts w:eastAsiaTheme="minorEastAsia"/>
        </w:rPr>
        <w:t xml:space="preserve">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 xml:space="preserve">sink rates </w:t>
      </w:r>
      <w:r w:rsidR="00FC0B84">
        <w:t>is</w:t>
      </w:r>
      <w:r w:rsidR="00FC0B84">
        <w:t xml:space="preserve">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75F5234"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484033A"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large scale moisture flux</w:t>
      </w:r>
      <w:r w:rsidR="005F290D">
        <w:rPr>
          <w:rFonts w:ascii="Aptos" w:hAnsi="Aptos"/>
        </w:rPr>
        <w:t xml:space="preserve">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Th t</w:t>
      </w:r>
      <w:r w:rsidR="005459C1">
        <w:rPr>
          <w:rFonts w:ascii="Aptos" w:eastAsiaTheme="minorEastAsia" w:hAnsi="Aptos"/>
        </w:rPr>
        <w:t>hermodynamic profile and the cloud field are identical to the control</w:t>
      </w:r>
      <w:r w:rsidR="005459C1">
        <w:rPr>
          <w:rFonts w:ascii="Aptos" w:eastAsiaTheme="minorEastAsia" w:hAnsi="Aptos"/>
        </w:rPr>
        <w:t xml:space="preserve"> in these experiments</w:t>
      </w:r>
      <w:r w:rsidR="005459C1">
        <w:rPr>
          <w:rFonts w:ascii="Aptos" w:eastAsiaTheme="minorEastAsia" w:hAnsi="Aptos"/>
        </w:rPr>
        <w:t xml:space="preserve">.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lastRenderedPageBreak/>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Table 1. Cloud fraction change 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EC604D">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hideMark/>
          </w:tcPr>
          <w:p w14:paraId="3A7B83B9" w14:textId="753C0591" w:rsidR="00BD7F28" w:rsidRPr="00B561F4" w:rsidRDefault="00BD7F28" w:rsidP="00EC604D">
            <w:pPr>
              <w:pStyle w:val="BodyText"/>
              <w:spacing w:before="0" w:after="0"/>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C</m:t>
              </m:r>
            </m:oMath>
            <w:r>
              <w:rPr>
                <w:b/>
                <w:bCs/>
              </w:rPr>
              <w:t xml:space="preserve"> (%)</w:t>
            </w:r>
          </w:p>
        </w:tc>
      </w:tr>
      <w:tr w:rsidR="00BD7F28" w:rsidRPr="00B561F4" w14:paraId="4DE810A7" w14:textId="77777777" w:rsidTr="00EC604D">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EC604D">
            <w:pPr>
              <w:pStyle w:val="BodyText"/>
              <w:spacing w:before="0" w:after="0"/>
            </w:pPr>
            <w:r w:rsidRPr="00B561F4">
              <w:t>-5.13</w:t>
            </w:r>
          </w:p>
        </w:tc>
      </w:tr>
      <w:tr w:rsidR="00BD7F28" w:rsidRPr="00B561F4" w14:paraId="68C91960" w14:textId="77777777" w:rsidTr="00EC604D">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EC604D">
            <w:pPr>
              <w:pStyle w:val="BodyText"/>
              <w:spacing w:before="0" w:after="0"/>
            </w:pPr>
            <w:r w:rsidRPr="00B561F4">
              <w:t>-</w:t>
            </w:r>
            <w:r w:rsidR="00205603">
              <w:t>5.13</w:t>
            </w:r>
          </w:p>
        </w:tc>
      </w:tr>
      <w:tr w:rsidR="00BD7F28" w:rsidRPr="00E33B47" w14:paraId="35F411A2" w14:textId="77777777" w:rsidTr="00EC604D">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EC604D">
            <w:pPr>
              <w:pStyle w:val="BodyText"/>
              <w:spacing w:before="0" w:after="0"/>
            </w:pPr>
            <w:r w:rsidRPr="00E33B47">
              <w:t>-7.86</w:t>
            </w:r>
          </w:p>
        </w:tc>
      </w:tr>
      <w:tr w:rsidR="00BD7F28" w:rsidRPr="00B561F4" w14:paraId="7CB40A30" w14:textId="77777777" w:rsidTr="00EC604D">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EC604D">
            <w:pPr>
              <w:pStyle w:val="BodyText"/>
              <w:spacing w:before="0" w:after="0"/>
            </w:pPr>
            <w:r w:rsidRPr="00B561F4">
              <w:t>-5.14</w:t>
            </w:r>
          </w:p>
        </w:tc>
      </w:tr>
    </w:tbl>
    <w:p w14:paraId="7F54BE98" w14:textId="78B94BE0" w:rsidR="00F146E6" w:rsidRDefault="00F146E6" w:rsidP="00F146E6">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Mesoscale organization</w:t>
      </w:r>
    </w:p>
    <w:p w14:paraId="1BABCBBC" w14:textId="741D51A7" w:rsidR="00F146E6" w:rsidRPr="00F146E6" w:rsidRDefault="00F146E6" w:rsidP="00F146E6">
      <w:pPr>
        <w:pStyle w:val="BodyText"/>
      </w:pPr>
      <w:r>
        <w:t xml:space="preserve">Mesoscale organization clusters clouds together, reducing their effective entrainment of </w:t>
      </w:r>
      <w:r w:rsidR="0068433B">
        <w:t>environmental</w:t>
      </w:r>
      <w:r>
        <w:t xml:space="preserve"> air. Larger cloudy updrafts</w:t>
      </w:r>
      <w:r w:rsidR="0068433B">
        <w:t>, and updrafts</w:t>
      </w:r>
      <w:r w:rsidR="001D4B88">
        <w:t xml:space="preserve"> </w:t>
      </w:r>
      <w:r w:rsidR="0068433B">
        <w:t>entraining</w:t>
      </w:r>
      <w:r>
        <w:t xml:space="preserve"> m</w:t>
      </w:r>
      <w:r>
        <w:t xml:space="preserve">oister air from </w:t>
      </w:r>
      <w:r w:rsidR="0068433B">
        <w:t xml:space="preserve">their </w:t>
      </w:r>
      <w:r>
        <w:t>surroundings</w:t>
      </w:r>
      <w:r w:rsidR="0068433B">
        <w:t xml:space="preserve">, </w:t>
      </w:r>
      <w:r w:rsidR="001D4B88">
        <w:t>are</w:t>
      </w:r>
      <w:r>
        <w:t xml:space="preserve"> </w:t>
      </w:r>
      <w:r w:rsidR="001D4B88">
        <w:t xml:space="preserve">parameterized </w:t>
      </w:r>
      <w:r>
        <w:t>by increasing the total moisture sink rate.</w:t>
      </w:r>
      <w:r w:rsidR="0068433B">
        <w:t xml:space="preserve"> Experiments are run with sink rate varied by </w:t>
      </w:r>
      <m:oMath>
        <m:r>
          <w:rPr>
            <w:rFonts w:ascii="Cambria Math" w:hAnsi="Cambria Math"/>
          </w:rPr>
          <m:t>±</m:t>
        </m:r>
      </m:oMath>
      <w:r w:rsidR="0068433B">
        <w:t>5% from the control.</w:t>
      </w:r>
    </w:p>
    <w:p w14:paraId="38CD5DEF" w14:textId="617FCFD3" w:rsidR="00952A89" w:rsidRPr="002F57C8" w:rsidRDefault="00952A89" w:rsidP="00952A89">
      <w:pPr>
        <w:pStyle w:val="Heading1"/>
      </w:pPr>
      <w:r w:rsidRPr="002F57C8">
        <w:t>Discussion</w:t>
      </w:r>
    </w:p>
    <w:p w14:paraId="399969D9" w14:textId="5F56B2D5"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flux, but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constraints, but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lastRenderedPageBreak/>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EUREC4A</w:t>
      </w:r>
      <w:r>
        <w:rPr>
          <w:rFonts w:eastAsiaTheme="minorEastAsia"/>
          <w:iCs/>
        </w:rPr>
        <w:t>, and</w:t>
      </w:r>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70A857F5" w14:textId="77777777" w:rsidR="005D1914" w:rsidRPr="005D1914" w:rsidRDefault="005D1914" w:rsidP="005D1914">
      <w:pPr>
        <w:pStyle w:val="Heading1"/>
      </w:pPr>
      <w:r w:rsidRPr="005D1914">
        <w:t>Summary</w:t>
      </w:r>
    </w:p>
    <w:p w14:paraId="392BD527" w14:textId="1E241526" w:rsidR="005D1914" w:rsidRDefault="0013760C" w:rsidP="005D1914">
      <w:pPr>
        <w:pStyle w:val="BodyText"/>
      </w:pPr>
      <w:r>
        <w:t xml:space="preserve">Using its </w:t>
      </w:r>
      <w:r>
        <w:t>emergent mean moisture balance</w:t>
      </w:r>
      <w:r>
        <w:t xml:space="preserve">, we project the climate of the </w:t>
      </w:r>
      <w:r>
        <w:t>shallow cumulus cloud region</w:t>
      </w:r>
      <w:r>
        <w:t xml:space="preserve"> from thermodynamic and cloud o</w:t>
      </w:r>
      <w:r w:rsidR="005D1914">
        <w:t>bservations</w:t>
      </w:r>
      <w:r>
        <w:t>.</w:t>
      </w:r>
    </w:p>
    <w:p w14:paraId="619D0645" w14:textId="77777777" w:rsidR="005D1914" w:rsidRDefault="005D1914" w:rsidP="005D1914">
      <w:pPr>
        <w:pStyle w:val="BodyText"/>
      </w:pPr>
      <w:r>
        <w:t>Cloud properties and within-regime feedbacks are similar between shallow cumulus and optically thicker stratocumulus clouds (Tselioudis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hPa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mean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lastRenderedPageBreak/>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0D0721BD"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is an underconstrained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r w:rsidRPr="00967E3C">
        <w:rPr>
          <w:rFonts w:ascii="ComicShannsMono Nerd Font" w:hAnsi="ComicShannsMono Nerd Font"/>
        </w:rPr>
        <w:t>amip</w:t>
      </w:r>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r w:rsidR="00440DE8" w:rsidRPr="00967E3C">
        <w:rPr>
          <w:rFonts w:ascii="ComicShannsMono Nerd Font" w:hAnsi="ComicShannsMono Nerd Font"/>
        </w:rPr>
        <w:t>amip</w:t>
      </w:r>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m:t>
        </m:r>
        <m:r>
          <w:rPr>
            <w:rFonts w:ascii="Cambria Math" w:hAnsi="Cambria Math"/>
          </w:rPr>
          <m: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0"/>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lastRenderedPageBreak/>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1"/>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w:t>
      </w:r>
      <w:r w:rsidR="00783252">
        <w:rPr>
          <w:rFonts w:ascii="Aptos Narrow" w:eastAsia="Times New Roman" w:hAnsi="Aptos Narrow" w:cstheme="minorHAnsi"/>
          <w:color w:val="323130"/>
        </w:rPr>
        <w:t xml:space="preserve"> modeled for a single cloud</w:t>
      </w:r>
      <w:r w:rsidR="00E37F02">
        <w:rPr>
          <w:rFonts w:ascii="Aptos Narrow" w:eastAsia="Times New Roman" w:hAnsi="Aptos Narrow" w:cstheme="minorHAnsi"/>
          <w:color w:val="323130"/>
        </w:rPr>
        <w:t xml:space="preserve"> with t</w:t>
      </w:r>
      <w:r w:rsidR="00E37F02">
        <w:rPr>
          <w:rFonts w:ascii="Aptos Narrow" w:eastAsia="Times New Roman" w:hAnsi="Aptos Narrow" w:cstheme="minorHAnsi"/>
          <w:color w:val="323130"/>
        </w:rPr>
        <w:t xml:space="preserve">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r w:rsidR="00E37F02">
        <w:rPr>
          <w:rFonts w:ascii="Aptos Narrow" w:eastAsia="Times New Roman" w:hAnsi="Aptos Narrow" w:cstheme="minorHAnsi"/>
          <w:color w:val="323130"/>
        </w:rPr>
        <w:t>.</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lastRenderedPageBreak/>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2"/>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3"/>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5A1CBCB3"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r>
                      <w:rPr>
                        <w:rFonts w:ascii="Cambria Math" w:eastAsiaTheme="minorEastAsia" w:hAnsi="Cambria Math" w:cs="Times New Roman"/>
                      </w:rPr>
                      <m:t>,i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276C53">
        <w:rPr>
          <w:rFonts w:ascii="Aptos" w:eastAsiaTheme="minorEastAsia" w:hAnsi="Aptos" w:cs="Times New Roman"/>
        </w:rPr>
        <w:t>P</w:t>
      </w:r>
      <w:r w:rsidRPr="00445B91">
        <w:rPr>
          <w:rFonts w:ascii="Aptos" w:eastAsiaTheme="minorEastAsia" w:hAnsi="Aptos" w:cs="Times New Roman"/>
        </w:rPr>
        <w:t>recipitation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7F33BDA2" w14:textId="77777777" w:rsidR="00112A94" w:rsidRDefault="00112A94" w:rsidP="00E97BBB">
      <w:pPr>
        <w:pStyle w:val="BodyText"/>
        <w:rPr>
          <w:rFonts w:ascii="Aptos" w:eastAsiaTheme="minorEastAsia" w:hAnsi="Aptos" w:cs="Times New Roman"/>
        </w:rPr>
      </w:pPr>
    </w:p>
    <w:p w14:paraId="093FC14B" w14:textId="77777777" w:rsidR="00112A94" w:rsidRDefault="00112A94" w:rsidP="00112A94">
      <w:pPr>
        <w:pStyle w:val="Heading2"/>
      </w:pPr>
      <w:bookmarkStart w:id="3" w:name="cloud-base-clouds"/>
      <w:r>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w:t>
      </w:r>
      <w:r>
        <w:rPr>
          <w:rFonts w:ascii="Aptos" w:hAnsi="Aptos"/>
        </w:rPr>
        <w:t xml:space="preserve"> have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t>
      </w:r>
      <w:r>
        <w:rPr>
          <w:rFonts w:ascii="Aptos" w:hAnsi="Aptos"/>
        </w:rPr>
        <w:t xml:space="preserve">While shallow cumulus decrease with reduced large-scale overturning, local scaling of the moist turbulent subcloud boundary </w:t>
      </w:r>
      <w:r>
        <w:rPr>
          <w:rFonts w:ascii="Aptos" w:hAnsi="Aptos"/>
        </w:rPr>
        <w:lastRenderedPageBreak/>
        <w:t xml:space="preserve">layer suggests that clouds at the LCL </w:t>
      </w:r>
      <w:r w:rsidRPr="00112A94">
        <w:rPr>
          <w:rFonts w:ascii="Aptos" w:hAnsi="Aptos"/>
          <w:i/>
          <w:iCs/>
        </w:rPr>
        <w:t>increase</w:t>
      </w:r>
      <w:r>
        <w:rPr>
          <w:rFonts w:ascii="Aptos" w:hAnsi="Aptos"/>
        </w:rPr>
        <w:t xml:space="preserve"> by about th</w:t>
      </w:r>
      <w:r>
        <w:rPr>
          <w:rFonts w:ascii="Aptos" w:hAnsi="Aptos"/>
        </w:rPr>
        <w:t>is</w:t>
      </w:r>
      <w:r>
        <w:rPr>
          <w:rFonts w:ascii="Aptos" w:hAnsi="Aptos"/>
        </w:rPr>
        <w:t xml:space="preserve"> same amount. The net cloud radiative effect depends on the relative amount of shallow cumulus vs. </w:t>
      </w:r>
      <w:r>
        <w:rPr>
          <w:rFonts w:ascii="Aptos" w:hAnsi="Aptos"/>
        </w:rPr>
        <w:t>LCL</w:t>
      </w:r>
      <w:r>
        <w:rPr>
          <w:rFonts w:ascii="Aptos" w:hAnsi="Aptos"/>
        </w:rPr>
        <w:t xml:space="preserve"> clouds.</w:t>
      </w:r>
    </w:p>
    <w:p w14:paraId="73511219" w14:textId="1B17842B" w:rsidR="00112A94" w:rsidRPr="00C949F2" w:rsidRDefault="00112A94" w:rsidP="00112A94">
      <w:pPr>
        <w:pStyle w:val="BodyText"/>
        <w:rPr>
          <w:rFonts w:ascii="Aptos" w:hAnsi="Aptos"/>
        </w:rPr>
      </w:pPr>
      <w:r>
        <w:rPr>
          <w:rFonts w:ascii="Aptos" w:hAnsi="Aptos"/>
        </w:rPr>
        <w:t>LCL</w:t>
      </w:r>
      <w:r>
        <w:rPr>
          <w:rFonts w:ascii="Aptos" w:hAnsi="Aptos"/>
        </w:rPr>
        <w:t xml:space="preserve">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w:t>
      </w:r>
      <w:r>
        <w:rPr>
          <w:rFonts w:ascii="Aptos" w:hAnsi="Aptos"/>
        </w:rPr>
        <w:t xml:space="preserve"> </w:t>
      </w:r>
      <w:r>
        <w:rPr>
          <w:rFonts w:ascii="Aptos" w:hAnsi="Aptos"/>
        </w:rPr>
        <w:t xml:space="preserve">represented by </w:t>
      </w:r>
      <w:r>
        <w:rPr>
          <w:rFonts w:ascii="Aptos" w:hAnsi="Aptos"/>
        </w:rPr>
        <w:t xml:space="preserve">the </w:t>
      </w:r>
      <w:r>
        <w:rPr>
          <w:rFonts w:ascii="Aptos" w:hAnsi="Aptos"/>
        </w:rPr>
        <w:t>moist updraft plumes</w:t>
      </w:r>
      <w:r>
        <w:rPr>
          <w:rFonts w:ascii="Aptos" w:hAnsi="Aptos"/>
        </w:rPr>
        <w:t xml:space="preserve">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 For a normal distribution of relative humidity</w:t>
      </w:r>
      <w:r>
        <w:rPr>
          <w:rFonts w:ascii="Aptos" w:hAnsi="Aptos"/>
        </w:rPr>
        <w:t xml:space="preserve"> in the subcloud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Pr="00C949F2">
        <w:rPr>
          <w:rFonts w:ascii="Aptos" w:hAnsi="Aptos"/>
        </w:rPr>
        <w:t>easur</w:t>
      </w:r>
      <w:r>
        <w:rPr>
          <w:rFonts w:ascii="Aptos" w:hAnsi="Aptos"/>
        </w:rPr>
        <w:t>ing</w:t>
      </w:r>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r>
        <w:rPr>
          <w:rFonts w:ascii="Aptos" w:eastAsiaTheme="minorEastAsia" w:hAnsi="Aptos"/>
        </w:rPr>
        <w:t xml:space="preserve">ividing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4583526A">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4"/>
                    <a:stretch>
                      <a:fillRect/>
                    </a:stretch>
                  </pic:blipFill>
                  <pic:spPr>
                    <a:xfrm>
                      <a:off x="0" y="0"/>
                      <a:ext cx="3225800" cy="242110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5BF437A2">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5"/>
                    <a:stretch>
                      <a:fillRect/>
                    </a:stretch>
                  </pic:blipFill>
                  <pic:spPr>
                    <a:xfrm>
                      <a:off x="0" y="0"/>
                      <a:ext cx="3417418" cy="4100901"/>
                    </a:xfrm>
                    <a:prstGeom prst="rect">
                      <a:avLst/>
                    </a:prstGeom>
                  </pic:spPr>
                </pic:pic>
              </a:graphicData>
            </a:graphic>
          </wp:inline>
        </w:drawing>
      </w:r>
    </w:p>
    <w:p w14:paraId="66FD2277" w14:textId="1360E759" w:rsidR="00C655AB" w:rsidRDefault="0046105B" w:rsidP="0055046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GOESISCCP. GOES-16 (a) cloud fraction by cloud type for 12.5-16 °N, 60-49 °W, 2020 Jan 15- February 28. (b) Shortwave cloud radiative effect (CRE) for each cloud top pressure and optical depth. The total cloud radiative effect for clouds below 680 hPa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0C5AFD89" w14:textId="4B95F2B7" w:rsidR="00862990" w:rsidRPr="00862990" w:rsidRDefault="00862990" w:rsidP="0055046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sidR="00632E62">
        <w:rPr>
          <w:rFonts w:eastAsiaTheme="minorEastAsia" w:cs="Times New Roman"/>
          <w:kern w:val="0"/>
          <w14:ligatures w14:val="none"/>
        </w:rPr>
        <w:t xml:space="preserve"> below 4-km (Fig. 1)</w:t>
      </w:r>
      <w:r>
        <w:rPr>
          <w:rFonts w:eastAsiaTheme="minorEastAsia" w:cs="Times New Roman"/>
          <w:kern w:val="0"/>
          <w14:ligatures w14:val="none"/>
        </w:rPr>
        <w:t xml:space="preserve"> because reflectance downweights the cloud fraction in pixels that the ISCCP-MODIS like algorithm counts as fully cloudy but having lower optical depth. In this way, we use pixel reflectance as pseudo-albedo, and exclude scenes where the low clouds are obscured.]</w:t>
      </w:r>
    </w:p>
    <w:sectPr w:rsidR="00862990" w:rsidRPr="00862990">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BA1DD" w14:textId="77777777" w:rsidR="000B0414" w:rsidRDefault="000B0414" w:rsidP="005D1914">
      <w:pPr>
        <w:spacing w:after="0" w:line="240" w:lineRule="auto"/>
      </w:pPr>
      <w:r>
        <w:separator/>
      </w:r>
    </w:p>
  </w:endnote>
  <w:endnote w:type="continuationSeparator" w:id="0">
    <w:p w14:paraId="3874279C" w14:textId="77777777" w:rsidR="000B0414" w:rsidRDefault="000B0414"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4C358" w14:textId="77777777" w:rsidR="000B0414" w:rsidRDefault="000B0414" w:rsidP="005D1914">
      <w:pPr>
        <w:spacing w:after="0" w:line="240" w:lineRule="auto"/>
      </w:pPr>
      <w:r>
        <w:separator/>
      </w:r>
    </w:p>
  </w:footnote>
  <w:footnote w:type="continuationSeparator" w:id="0">
    <w:p w14:paraId="4ECF36C2" w14:textId="77777777" w:rsidR="000B0414" w:rsidRDefault="000B0414"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934D8"/>
    <w:rsid w:val="00097B63"/>
    <w:rsid w:val="000A1B6B"/>
    <w:rsid w:val="000A6BC4"/>
    <w:rsid w:val="000B0414"/>
    <w:rsid w:val="000D5984"/>
    <w:rsid w:val="000E1686"/>
    <w:rsid w:val="000F4542"/>
    <w:rsid w:val="000F6B7E"/>
    <w:rsid w:val="00106684"/>
    <w:rsid w:val="00112A94"/>
    <w:rsid w:val="0011345F"/>
    <w:rsid w:val="0011468E"/>
    <w:rsid w:val="0013760C"/>
    <w:rsid w:val="00172408"/>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7EBD"/>
    <w:rsid w:val="00357FCD"/>
    <w:rsid w:val="00361790"/>
    <w:rsid w:val="003665E6"/>
    <w:rsid w:val="00387453"/>
    <w:rsid w:val="003960A4"/>
    <w:rsid w:val="003A2BBB"/>
    <w:rsid w:val="003B1BDD"/>
    <w:rsid w:val="003C6DC5"/>
    <w:rsid w:val="003C7D2A"/>
    <w:rsid w:val="003E76DE"/>
    <w:rsid w:val="003F560E"/>
    <w:rsid w:val="00401D52"/>
    <w:rsid w:val="00412B65"/>
    <w:rsid w:val="0043681C"/>
    <w:rsid w:val="00437C85"/>
    <w:rsid w:val="00440DE8"/>
    <w:rsid w:val="00442E7F"/>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41DD3"/>
    <w:rsid w:val="005459C1"/>
    <w:rsid w:val="00550467"/>
    <w:rsid w:val="0055084D"/>
    <w:rsid w:val="0056396C"/>
    <w:rsid w:val="005718D2"/>
    <w:rsid w:val="00576BF6"/>
    <w:rsid w:val="005778E5"/>
    <w:rsid w:val="00583AA5"/>
    <w:rsid w:val="005857D4"/>
    <w:rsid w:val="005975C1"/>
    <w:rsid w:val="005A4A14"/>
    <w:rsid w:val="005B2CCA"/>
    <w:rsid w:val="005B6A45"/>
    <w:rsid w:val="005C66F7"/>
    <w:rsid w:val="005D1914"/>
    <w:rsid w:val="005F290D"/>
    <w:rsid w:val="005F756B"/>
    <w:rsid w:val="00602D85"/>
    <w:rsid w:val="00605647"/>
    <w:rsid w:val="006130D0"/>
    <w:rsid w:val="00632E62"/>
    <w:rsid w:val="006406DD"/>
    <w:rsid w:val="006433E8"/>
    <w:rsid w:val="00673354"/>
    <w:rsid w:val="006745A6"/>
    <w:rsid w:val="0068017A"/>
    <w:rsid w:val="0068433B"/>
    <w:rsid w:val="00695379"/>
    <w:rsid w:val="006A04E5"/>
    <w:rsid w:val="006A7240"/>
    <w:rsid w:val="006B0FAD"/>
    <w:rsid w:val="006C7239"/>
    <w:rsid w:val="006E3283"/>
    <w:rsid w:val="006E78F2"/>
    <w:rsid w:val="00710CAA"/>
    <w:rsid w:val="0071318B"/>
    <w:rsid w:val="007201B1"/>
    <w:rsid w:val="007263F1"/>
    <w:rsid w:val="00736727"/>
    <w:rsid w:val="0074127A"/>
    <w:rsid w:val="00746309"/>
    <w:rsid w:val="00783252"/>
    <w:rsid w:val="007967EF"/>
    <w:rsid w:val="007A5316"/>
    <w:rsid w:val="007B3AF4"/>
    <w:rsid w:val="007B690B"/>
    <w:rsid w:val="007C1009"/>
    <w:rsid w:val="007C14C6"/>
    <w:rsid w:val="007D05B4"/>
    <w:rsid w:val="007E0C76"/>
    <w:rsid w:val="007E0ED9"/>
    <w:rsid w:val="007E7E57"/>
    <w:rsid w:val="007F06E9"/>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A5434"/>
    <w:rsid w:val="009B2C7E"/>
    <w:rsid w:val="009B48DD"/>
    <w:rsid w:val="009B765F"/>
    <w:rsid w:val="009B7EFF"/>
    <w:rsid w:val="009E3FDB"/>
    <w:rsid w:val="009E426D"/>
    <w:rsid w:val="009E7640"/>
    <w:rsid w:val="009F7889"/>
    <w:rsid w:val="00A011D9"/>
    <w:rsid w:val="00A074CA"/>
    <w:rsid w:val="00A43204"/>
    <w:rsid w:val="00A52E3C"/>
    <w:rsid w:val="00AA0C2D"/>
    <w:rsid w:val="00AB12F2"/>
    <w:rsid w:val="00AB60E1"/>
    <w:rsid w:val="00AC3000"/>
    <w:rsid w:val="00AF16E4"/>
    <w:rsid w:val="00AF689C"/>
    <w:rsid w:val="00B0061A"/>
    <w:rsid w:val="00B05A3E"/>
    <w:rsid w:val="00B10DA5"/>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539B"/>
    <w:rsid w:val="00BF637B"/>
    <w:rsid w:val="00C13502"/>
    <w:rsid w:val="00C17552"/>
    <w:rsid w:val="00C31E17"/>
    <w:rsid w:val="00C35AC8"/>
    <w:rsid w:val="00C60982"/>
    <w:rsid w:val="00C6491F"/>
    <w:rsid w:val="00C655AB"/>
    <w:rsid w:val="00C71FFC"/>
    <w:rsid w:val="00C807E9"/>
    <w:rsid w:val="00C90E54"/>
    <w:rsid w:val="00C92BD8"/>
    <w:rsid w:val="00C97043"/>
    <w:rsid w:val="00CA09DE"/>
    <w:rsid w:val="00CA7B5F"/>
    <w:rsid w:val="00CB73B1"/>
    <w:rsid w:val="00CD4926"/>
    <w:rsid w:val="00CE09F6"/>
    <w:rsid w:val="00D44132"/>
    <w:rsid w:val="00D46B8C"/>
    <w:rsid w:val="00D47E72"/>
    <w:rsid w:val="00D620B1"/>
    <w:rsid w:val="00D722D1"/>
    <w:rsid w:val="00D74B40"/>
    <w:rsid w:val="00DB70C0"/>
    <w:rsid w:val="00DD77F8"/>
    <w:rsid w:val="00DE5624"/>
    <w:rsid w:val="00DF4052"/>
    <w:rsid w:val="00E0119E"/>
    <w:rsid w:val="00E05DDC"/>
    <w:rsid w:val="00E1600C"/>
    <w:rsid w:val="00E33B47"/>
    <w:rsid w:val="00E34A43"/>
    <w:rsid w:val="00E35D55"/>
    <w:rsid w:val="00E37F02"/>
    <w:rsid w:val="00E51B9F"/>
    <w:rsid w:val="00E97BBB"/>
    <w:rsid w:val="00EA30AE"/>
    <w:rsid w:val="00EB3B78"/>
    <w:rsid w:val="00ED11AE"/>
    <w:rsid w:val="00EE5B85"/>
    <w:rsid w:val="00EF1F76"/>
    <w:rsid w:val="00F05DCD"/>
    <w:rsid w:val="00F146E6"/>
    <w:rsid w:val="00F207C2"/>
    <w:rsid w:val="00F21A08"/>
    <w:rsid w:val="00F2441D"/>
    <w:rsid w:val="00F244B4"/>
    <w:rsid w:val="00F257E1"/>
    <w:rsid w:val="00F60A39"/>
    <w:rsid w:val="00F61C9F"/>
    <w:rsid w:val="00F6599E"/>
    <w:rsid w:val="00F76519"/>
    <w:rsid w:val="00F940B7"/>
    <w:rsid w:val="00FA4F68"/>
    <w:rsid w:val="00FC0B84"/>
    <w:rsid w:val="00FC0ED8"/>
    <w:rsid w:val="00FC13FE"/>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18</Pages>
  <Words>4698</Words>
  <Characters>26783</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27</cp:revision>
  <dcterms:created xsi:type="dcterms:W3CDTF">2026-07-14T00:26:00Z</dcterms:created>
  <dcterms:modified xsi:type="dcterms:W3CDTF">2026-07-16T22:38:00Z</dcterms:modified>
</cp:coreProperties>
</file>