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B7046" w14:textId="462A3C0F" w:rsidR="008012E6" w:rsidRPr="005278BD" w:rsidRDefault="00EB20D1">
      <w:pPr>
        <w:pStyle w:val="Funotentext"/>
        <w:tabs>
          <w:tab w:val="left" w:pos="6379"/>
        </w:tabs>
        <w:spacing w:before="120"/>
        <w:ind w:right="141"/>
        <w:jc w:val="right"/>
        <w:rPr>
          <w:lang w:val="en-GB" w:eastAsia="zh-CN"/>
        </w:rPr>
      </w:pPr>
      <w:bookmarkStart w:id="0" w:name="_Hlk180764248"/>
      <w:bookmarkStart w:id="1" w:name="_Hlk135143585"/>
      <w:bookmarkEnd w:id="0"/>
      <w:r>
        <w:rPr>
          <w:noProof/>
        </w:rPr>
        <w:drawing>
          <wp:anchor distT="0" distB="0" distL="114300" distR="114300" simplePos="0" relativeHeight="251658240" behindDoc="0" locked="0" layoutInCell="1" allowOverlap="1" wp14:anchorId="24A2C61E" wp14:editId="5D4EE9EF">
            <wp:simplePos x="0" y="0"/>
            <wp:positionH relativeFrom="margin">
              <wp:posOffset>3711575</wp:posOffset>
            </wp:positionH>
            <wp:positionV relativeFrom="page">
              <wp:posOffset>575310</wp:posOffset>
            </wp:positionV>
            <wp:extent cx="2400935" cy="633095"/>
            <wp:effectExtent l="0" t="0" r="0" b="0"/>
            <wp:wrapNone/>
            <wp:docPr id="3" name="Grafik 3"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in Bild, das Text, Schrift, Logo, Grafiken enthält.&#10;&#10;Automatisch generierte Beschreibung"/>
                    <pic:cNvPicPr>
                      <a:picLocks noChangeAspect="1"/>
                    </pic:cNvPicPr>
                  </pic:nvPicPr>
                  <pic:blipFill>
                    <a:blip r:embed="rId11"/>
                    <a:stretch/>
                  </pic:blipFill>
                  <pic:spPr bwMode="auto">
                    <a:xfrm>
                      <a:off x="0" y="0"/>
                      <a:ext cx="2400935" cy="633095"/>
                    </a:xfrm>
                    <a:prstGeom prst="rect">
                      <a:avLst/>
                    </a:prstGeom>
                  </pic:spPr>
                </pic:pic>
              </a:graphicData>
            </a:graphic>
            <wp14:sizeRelH relativeFrom="margin">
              <wp14:pctWidth>0</wp14:pctWidth>
            </wp14:sizeRelH>
            <wp14:sizeRelV relativeFrom="margin">
              <wp14:pctHeight>0</wp14:pctHeight>
            </wp14:sizeRelV>
          </wp:anchor>
        </w:drawing>
      </w:r>
    </w:p>
    <w:p w14:paraId="2C9EF9EF" w14:textId="2AE32200" w:rsidR="008012E6" w:rsidRPr="005278BD" w:rsidRDefault="008012E6">
      <w:pPr>
        <w:pStyle w:val="Funotentext"/>
        <w:tabs>
          <w:tab w:val="left" w:pos="6379"/>
        </w:tabs>
        <w:spacing w:before="120"/>
        <w:ind w:right="141"/>
        <w:jc w:val="right"/>
        <w:rPr>
          <w:lang w:val="en-GB" w:eastAsia="zh-CN"/>
        </w:rPr>
      </w:pPr>
    </w:p>
    <w:p w14:paraId="69E70AC2" w14:textId="4E038795" w:rsidR="008012E6" w:rsidRPr="005278BD" w:rsidRDefault="008012E6">
      <w:pPr>
        <w:spacing w:before="120"/>
      </w:pPr>
    </w:p>
    <w:p w14:paraId="5F949283" w14:textId="2C263B69" w:rsidR="008012E6" w:rsidRPr="005278BD" w:rsidRDefault="008012E6">
      <w:pPr>
        <w:spacing w:before="120"/>
      </w:pPr>
    </w:p>
    <w:p w14:paraId="61C583DB" w14:textId="77777777" w:rsidR="008012E6" w:rsidRPr="005278BD" w:rsidRDefault="008012E6">
      <w:pPr>
        <w:spacing w:before="120"/>
        <w:jc w:val="right"/>
      </w:pPr>
    </w:p>
    <w:p w14:paraId="71604159" w14:textId="6D0811CC" w:rsidR="008012E6" w:rsidRPr="005278BD" w:rsidRDefault="008012E6">
      <w:pPr>
        <w:spacing w:before="120"/>
        <w:ind w:left="2160"/>
        <w:jc w:val="right"/>
        <w:rPr>
          <w:szCs w:val="20"/>
        </w:rPr>
      </w:pPr>
    </w:p>
    <w:p w14:paraId="14B7D68A" w14:textId="77777777" w:rsidR="008012E6" w:rsidRPr="005278BD" w:rsidRDefault="008012E6">
      <w:pPr>
        <w:spacing w:before="120"/>
        <w:ind w:left="2160"/>
      </w:pPr>
    </w:p>
    <w:p w14:paraId="6BAE327D" w14:textId="14F71CC1" w:rsidR="008012E6" w:rsidRPr="005278BD" w:rsidRDefault="00624019">
      <w:pPr>
        <w:spacing w:before="120"/>
        <w:ind w:left="284"/>
      </w:pPr>
      <w:r w:rsidRPr="005278BD">
        <w:rPr>
          <w:noProof/>
        </w:rPr>
        <mc:AlternateContent>
          <mc:Choice Requires="wps">
            <w:drawing>
              <wp:anchor distT="45720" distB="45720" distL="114300" distR="114300" simplePos="0" relativeHeight="251658241" behindDoc="0" locked="0" layoutInCell="1" allowOverlap="1" wp14:anchorId="7F7299DF" wp14:editId="29E31C23">
                <wp:simplePos x="0" y="0"/>
                <wp:positionH relativeFrom="margin">
                  <wp:posOffset>109220</wp:posOffset>
                </wp:positionH>
                <wp:positionV relativeFrom="paragraph">
                  <wp:posOffset>177800</wp:posOffset>
                </wp:positionV>
                <wp:extent cx="4601210" cy="3409950"/>
                <wp:effectExtent l="0" t="0" r="8890" b="0"/>
                <wp:wrapNone/>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1210" cy="3409950"/>
                        </a:xfrm>
                        <a:prstGeom prst="rect">
                          <a:avLst/>
                        </a:prstGeom>
                        <a:noFill/>
                        <a:ln w="9525">
                          <a:noFill/>
                          <a:miter lim="800000"/>
                          <a:headEnd/>
                          <a:tailEnd/>
                        </a:ln>
                      </wps:spPr>
                      <wps:txbx>
                        <w:txbxContent>
                          <w:p w14:paraId="698F8126" w14:textId="1291FE74" w:rsidR="0007422F" w:rsidRDefault="00A13CBF">
                            <w:pPr>
                              <w:pStyle w:val="Headline-Titel"/>
                              <w:rPr>
                                <w:sz w:val="56"/>
                                <w:szCs w:val="56"/>
                                <w:lang w:val="en-GB"/>
                              </w:rPr>
                            </w:pPr>
                            <w:r>
                              <w:rPr>
                                <w:sz w:val="56"/>
                                <w:szCs w:val="56"/>
                                <w:lang w:val="en-GB"/>
                              </w:rPr>
                              <w:t xml:space="preserve">Uzbekistan’s electricity demand forecasting: </w:t>
                            </w:r>
                            <w:r w:rsidR="00F27561">
                              <w:rPr>
                                <w:sz w:val="56"/>
                                <w:szCs w:val="56"/>
                                <w:lang w:val="en-GB"/>
                              </w:rPr>
                              <w:t xml:space="preserve">an outlook </w:t>
                            </w:r>
                            <w:r w:rsidR="00895936">
                              <w:rPr>
                                <w:sz w:val="56"/>
                                <w:szCs w:val="56"/>
                                <w:lang w:val="en-GB"/>
                              </w:rPr>
                              <w:t>until 2035</w:t>
                            </w:r>
                          </w:p>
                          <w:p w14:paraId="415A8B56" w14:textId="77777777" w:rsidR="0007422F" w:rsidRDefault="0007422F">
                            <w:pPr>
                              <w:pStyle w:val="Headline-Titel"/>
                              <w:rPr>
                                <w:sz w:val="56"/>
                                <w:szCs w:val="56"/>
                                <w:lang w:val="en-GB"/>
                              </w:rPr>
                            </w:pPr>
                          </w:p>
                          <w:p w14:paraId="0A9C1943" w14:textId="2AF8DAC8" w:rsidR="00EE19F0" w:rsidRDefault="0007422F" w:rsidP="002B2AAA">
                            <w:pPr>
                              <w:pStyle w:val="Subhead-Titel"/>
                            </w:pPr>
                            <w:r>
                              <w:t xml:space="preserve">by </w:t>
                            </w:r>
                            <w:r w:rsidR="00D8121C">
                              <w:t>Jente Mo</w:t>
                            </w:r>
                            <w:r w:rsidR="00472218">
                              <w:t>r</w:t>
                            </w:r>
                            <w:r w:rsidR="00D8121C">
                              <w:t>k, Dinara Saparova, Pavel Bilek</w:t>
                            </w:r>
                          </w:p>
                          <w:p w14:paraId="0B262A88" w14:textId="77777777" w:rsidR="00907F32" w:rsidRDefault="00907F32" w:rsidP="002B2AAA">
                            <w:pPr>
                              <w:pStyle w:val="Subhead-Titel"/>
                            </w:pPr>
                          </w:p>
                          <w:p w14:paraId="608C502E" w14:textId="77777777" w:rsidR="00907F32" w:rsidRDefault="00907F32" w:rsidP="002B2AAA">
                            <w:pPr>
                              <w:pStyle w:val="Subhead-Titel"/>
                            </w:pPr>
                          </w:p>
                          <w:p w14:paraId="75655CC1" w14:textId="47A8F50B" w:rsidR="00907F32" w:rsidRPr="00C74E6E" w:rsidRDefault="00C74E6E" w:rsidP="00C74E6E">
                            <w:pPr>
                              <w:pStyle w:val="Subhead-Titel"/>
                              <w:numPr>
                                <w:ilvl w:val="0"/>
                                <w:numId w:val="40"/>
                              </w:numPr>
                              <w:rPr>
                                <w:i/>
                                <w:iCs/>
                                <w:color w:val="FF0000"/>
                              </w:rPr>
                            </w:pPr>
                            <w:r w:rsidRPr="00C74E6E">
                              <w:rPr>
                                <w:i/>
                                <w:iCs/>
                                <w:color w:val="FF0000"/>
                              </w:rPr>
                              <w:t>Confidential</w:t>
                            </w:r>
                            <w:r w:rsidR="000618AC" w:rsidRPr="00C74E6E">
                              <w:rPr>
                                <w:i/>
                                <w:iCs/>
                                <w:color w:val="FF0000"/>
                              </w:rPr>
                              <w:t xml:space="preserve"> draft</w:t>
                            </w:r>
                            <w:r w:rsidR="006A6EFA" w:rsidRPr="00C74E6E">
                              <w:rPr>
                                <w:i/>
                                <w:iCs/>
                                <w:color w:val="FF0000"/>
                              </w:rPr>
                              <w:t xml:space="preserve"> as of </w:t>
                            </w:r>
                            <w:r w:rsidR="00D41D11">
                              <w:rPr>
                                <w:i/>
                                <w:iCs/>
                                <w:color w:val="FF0000"/>
                              </w:rPr>
                              <w:t>20</w:t>
                            </w:r>
                            <w:r w:rsidR="006A6EFA" w:rsidRPr="00C74E6E">
                              <w:rPr>
                                <w:i/>
                                <w:iCs/>
                                <w:color w:val="FF0000"/>
                              </w:rPr>
                              <w:t>.11.2024</w:t>
                            </w:r>
                            <w:r w:rsidRPr="00C74E6E">
                              <w:rPr>
                                <w:i/>
                                <w:iCs/>
                                <w:color w:val="FF0000"/>
                              </w:rPr>
                              <w:t xml:space="preserve"> -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7299DF" id="_x0000_t202" coordsize="21600,21600" o:spt="202" path="m,l,21600r21600,l21600,xe">
                <v:stroke joinstyle="miter"/>
                <v:path gradientshapeok="t" o:connecttype="rect"/>
              </v:shapetype>
              <v:shape id="Textfeld 27" o:spid="_x0000_s1026" type="#_x0000_t202" style="position:absolute;left:0;text-align:left;margin-left:8.6pt;margin-top:14pt;width:362.3pt;height:268.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" filled="f" stroked="f">
                <v:textbox inset="0,0,0,0">
                  <w:txbxContent>
                    <w:p w14:paraId="698F8126" w14:textId="1291FE74" w:rsidR="0007422F" w:rsidRDefault="00A13CBF">
                      <w:pPr>
                        <w:pStyle w:val="Headline-Titel"/>
                        <w:rPr>
                          <w:sz w:val="56"/>
                          <w:szCs w:val="56"/>
                          <w:lang w:val="en-GB"/>
                        </w:rPr>
                      </w:pPr>
                      <w:r>
                        <w:rPr>
                          <w:sz w:val="56"/>
                          <w:szCs w:val="56"/>
                          <w:lang w:val="en-GB"/>
                        </w:rPr>
                        <w:t xml:space="preserve">Uzbekistan’s electricity demand forecasting: </w:t>
                      </w:r>
                      <w:r w:rsidR="00F27561">
                        <w:rPr>
                          <w:sz w:val="56"/>
                          <w:szCs w:val="56"/>
                          <w:lang w:val="en-GB"/>
                        </w:rPr>
                        <w:t xml:space="preserve">an outlook </w:t>
                      </w:r>
                      <w:r w:rsidR="00895936">
                        <w:rPr>
                          <w:sz w:val="56"/>
                          <w:szCs w:val="56"/>
                          <w:lang w:val="en-GB"/>
                        </w:rPr>
                        <w:t>until 2035</w:t>
                      </w:r>
                    </w:p>
                    <w:p w14:paraId="415A8B56" w14:textId="77777777" w:rsidR="0007422F" w:rsidRDefault="0007422F">
                      <w:pPr>
                        <w:pStyle w:val="Headline-Titel"/>
                        <w:rPr>
                          <w:sz w:val="56"/>
                          <w:szCs w:val="56"/>
                          <w:lang w:val="en-GB"/>
                        </w:rPr>
                      </w:pPr>
                    </w:p>
                    <w:p w14:paraId="0A9C1943" w14:textId="2AF8DAC8" w:rsidR="00EE19F0" w:rsidRDefault="0007422F" w:rsidP="002B2AAA">
                      <w:pPr>
                        <w:pStyle w:val="Subhead-Titel"/>
                      </w:pPr>
                      <w:r>
                        <w:t xml:space="preserve">by </w:t>
                      </w:r>
                      <w:r w:rsidR="00D8121C">
                        <w:t>Jente Mo</w:t>
                      </w:r>
                      <w:r w:rsidR="00472218">
                        <w:t>r</w:t>
                      </w:r>
                      <w:r w:rsidR="00D8121C">
                        <w:t>k, Dinara Saparova, Pavel Bilek</w:t>
                      </w:r>
                    </w:p>
                    <w:p w14:paraId="0B262A88" w14:textId="77777777" w:rsidR="00907F32" w:rsidRDefault="00907F32" w:rsidP="002B2AAA">
                      <w:pPr>
                        <w:pStyle w:val="Subhead-Titel"/>
                      </w:pPr>
                    </w:p>
                    <w:p w14:paraId="608C502E" w14:textId="77777777" w:rsidR="00907F32" w:rsidRDefault="00907F32" w:rsidP="002B2AAA">
                      <w:pPr>
                        <w:pStyle w:val="Subhead-Titel"/>
                      </w:pPr>
                    </w:p>
                    <w:p w14:paraId="75655CC1" w14:textId="47A8F50B" w:rsidR="00907F32" w:rsidRPr="00C74E6E" w:rsidRDefault="00C74E6E" w:rsidP="00C74E6E">
                      <w:pPr>
                        <w:pStyle w:val="Subhead-Titel"/>
                        <w:numPr>
                          <w:ilvl w:val="0"/>
                          <w:numId w:val="40"/>
                        </w:numPr>
                        <w:rPr>
                          <w:i/>
                          <w:iCs/>
                          <w:color w:val="FF0000"/>
                        </w:rPr>
                      </w:pPr>
                      <w:r w:rsidRPr="00C74E6E">
                        <w:rPr>
                          <w:i/>
                          <w:iCs/>
                          <w:color w:val="FF0000"/>
                        </w:rPr>
                        <w:t>Confidential</w:t>
                      </w:r>
                      <w:r w:rsidR="000618AC" w:rsidRPr="00C74E6E">
                        <w:rPr>
                          <w:i/>
                          <w:iCs/>
                          <w:color w:val="FF0000"/>
                        </w:rPr>
                        <w:t xml:space="preserve"> draft</w:t>
                      </w:r>
                      <w:r w:rsidR="006A6EFA" w:rsidRPr="00C74E6E">
                        <w:rPr>
                          <w:i/>
                          <w:iCs/>
                          <w:color w:val="FF0000"/>
                        </w:rPr>
                        <w:t xml:space="preserve"> as of </w:t>
                      </w:r>
                      <w:r w:rsidR="00D41D11">
                        <w:rPr>
                          <w:i/>
                          <w:iCs/>
                          <w:color w:val="FF0000"/>
                        </w:rPr>
                        <w:t>20</w:t>
                      </w:r>
                      <w:r w:rsidR="006A6EFA" w:rsidRPr="00C74E6E">
                        <w:rPr>
                          <w:i/>
                          <w:iCs/>
                          <w:color w:val="FF0000"/>
                        </w:rPr>
                        <w:t>.11.2024</w:t>
                      </w:r>
                      <w:r w:rsidRPr="00C74E6E">
                        <w:rPr>
                          <w:i/>
                          <w:iCs/>
                          <w:color w:val="FF0000"/>
                        </w:rPr>
                        <w:t xml:space="preserve"> - </w:t>
                      </w:r>
                    </w:p>
                  </w:txbxContent>
                </v:textbox>
                <w10:wrap anchorx="margin"/>
              </v:shape>
            </w:pict>
          </mc:Fallback>
        </mc:AlternateContent>
      </w:r>
    </w:p>
    <w:p w14:paraId="14D3D4C2" w14:textId="77777777" w:rsidR="008012E6" w:rsidRPr="005278BD" w:rsidRDefault="008012E6">
      <w:pPr>
        <w:spacing w:before="120"/>
        <w:ind w:left="284"/>
      </w:pPr>
    </w:p>
    <w:p w14:paraId="1D95C6F5" w14:textId="733EE90D" w:rsidR="008012E6" w:rsidRPr="005278BD" w:rsidRDefault="00624019">
      <w:pPr>
        <w:spacing w:before="120"/>
      </w:pPr>
      <w:r w:rsidRPr="005278BD">
        <w:rPr>
          <w:noProof/>
        </w:rPr>
        <mc:AlternateContent>
          <mc:Choice Requires="wps">
            <w:drawing>
              <wp:anchor distT="45720" distB="45720" distL="114300" distR="114300" simplePos="0" relativeHeight="251658242" behindDoc="0" locked="0" layoutInCell="1" allowOverlap="1" wp14:anchorId="6A860528" wp14:editId="2EAE63FF">
                <wp:simplePos x="0" y="0"/>
                <wp:positionH relativeFrom="margin">
                  <wp:posOffset>-1028700</wp:posOffset>
                </wp:positionH>
                <wp:positionV relativeFrom="paragraph">
                  <wp:posOffset>4886325</wp:posOffset>
                </wp:positionV>
                <wp:extent cx="2879725" cy="795020"/>
                <wp:effectExtent l="13653" t="5397" r="0" b="0"/>
                <wp:wrapNone/>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199999">
                          <a:off x="0" y="0"/>
                          <a:ext cx="2879725" cy="795020"/>
                        </a:xfrm>
                        <a:prstGeom prst="rect">
                          <a:avLst/>
                        </a:prstGeom>
                        <a:noFill/>
                        <a:ln w="9525">
                          <a:noFill/>
                          <a:miter lim="800000"/>
                          <a:headEnd/>
                          <a:tailEnd/>
                        </a:ln>
                      </wps:spPr>
                      <wps:txbx>
                        <w:txbxContent>
                          <w:p w14:paraId="3743A440" w14:textId="10F5607D" w:rsidR="0007422F" w:rsidRPr="00B505CB" w:rsidRDefault="0007422F">
                            <w:pPr>
                              <w:spacing w:before="0" w:line="216" w:lineRule="auto"/>
                              <w:jc w:val="right"/>
                              <w:rPr>
                                <w:rFonts w:cs="Calibri"/>
                                <w:b/>
                                <w:bCs/>
                                <w:caps/>
                                <w:color w:val="343234"/>
                                <w:sz w:val="60"/>
                                <w:szCs w:val="60"/>
                                <w:lang w:val="de-DE" w:eastAsia="de-DE"/>
                              </w:rPr>
                            </w:pPr>
                            <w:r w:rsidRPr="00282FEE">
                              <w:rPr>
                                <w:rFonts w:cs="Calibri"/>
                                <w:b/>
                                <w:bCs/>
                                <w:caps/>
                                <w:color w:val="343234"/>
                                <w:sz w:val="60"/>
                                <w:szCs w:val="60"/>
                                <w:lang w:val="de-DE" w:eastAsia="de-DE"/>
                              </w:rPr>
                              <w:t xml:space="preserve">PolicY </w:t>
                            </w:r>
                            <w:r w:rsidR="001B27DC" w:rsidRPr="00282FEE">
                              <w:rPr>
                                <w:rFonts w:cs="Calibri"/>
                                <w:b/>
                                <w:bCs/>
                                <w:caps/>
                                <w:color w:val="343234"/>
                                <w:sz w:val="60"/>
                                <w:szCs w:val="60"/>
                                <w:lang w:val="de-DE" w:eastAsia="de-DE"/>
                              </w:rPr>
                              <w:t>STUDY</w:t>
                            </w:r>
                          </w:p>
                          <w:p w14:paraId="39010371" w14:textId="77777777" w:rsidR="0007422F" w:rsidRDefault="0007422F">
                            <w:pPr>
                              <w:pStyle w:val="Subhead-Titel"/>
                              <w:spacing w:line="216" w:lineRule="auto"/>
                              <w:jc w:val="right"/>
                              <w:rPr>
                                <w:sz w:val="60"/>
                                <w:szCs w:val="60"/>
                                <w:lang w:val="de-DE"/>
                              </w:rPr>
                            </w:pPr>
                            <w:r w:rsidRPr="00B505CB">
                              <w:rPr>
                                <w:rFonts w:ascii="Calibri" w:hAnsi="Calibri" w:cs="Calibri"/>
                                <w:b/>
                                <w:bCs/>
                                <w:caps/>
                                <w:color w:val="F49B19"/>
                                <w:sz w:val="60"/>
                                <w:szCs w:val="60"/>
                                <w:lang w:val="de-DE"/>
                              </w:rPr>
                              <w:t>UZBEKISTAN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60528" id="Textfeld 26" o:spid="_x0000_s1027" type="#_x0000_t202" style="position:absolute;left:0;text-align:left;margin-left:-81pt;margin-top:384.75pt;width:226.75pt;height:62.6pt;rotation:-5898241fd;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" filled="f" stroked="f">
                <v:textbox inset="0,0,0,0">
                  <w:txbxContent>
                    <w:p w14:paraId="3743A440" w14:textId="10F5607D" w:rsidR="0007422F" w:rsidRPr="00B505CB" w:rsidRDefault="0007422F">
                      <w:pPr>
                        <w:spacing w:before="0" w:line="216" w:lineRule="auto"/>
                        <w:jc w:val="right"/>
                        <w:rPr>
                          <w:rFonts w:cs="Calibri"/>
                          <w:b/>
                          <w:bCs/>
                          <w:caps/>
                          <w:color w:val="343234"/>
                          <w:sz w:val="60"/>
                          <w:szCs w:val="60"/>
                          <w:lang w:val="de-DE" w:eastAsia="de-DE"/>
                        </w:rPr>
                      </w:pPr>
                      <w:r w:rsidRPr="00282FEE">
                        <w:rPr>
                          <w:rFonts w:cs="Calibri"/>
                          <w:b/>
                          <w:bCs/>
                          <w:caps/>
                          <w:color w:val="343234"/>
                          <w:sz w:val="60"/>
                          <w:szCs w:val="60"/>
                          <w:lang w:val="de-DE" w:eastAsia="de-DE"/>
                        </w:rPr>
                        <w:t xml:space="preserve">PolicY </w:t>
                      </w:r>
                      <w:r w:rsidR="001B27DC" w:rsidRPr="00282FEE">
                        <w:rPr>
                          <w:rFonts w:cs="Calibri"/>
                          <w:b/>
                          <w:bCs/>
                          <w:caps/>
                          <w:color w:val="343234"/>
                          <w:sz w:val="60"/>
                          <w:szCs w:val="60"/>
                          <w:lang w:val="de-DE" w:eastAsia="de-DE"/>
                        </w:rPr>
                        <w:t>STUDY</w:t>
                      </w:r>
                    </w:p>
                    <w:p w14:paraId="39010371" w14:textId="77777777" w:rsidR="0007422F" w:rsidRDefault="0007422F">
                      <w:pPr>
                        <w:pStyle w:val="Subhead-Titel"/>
                        <w:spacing w:line="216" w:lineRule="auto"/>
                        <w:jc w:val="right"/>
                        <w:rPr>
                          <w:sz w:val="60"/>
                          <w:szCs w:val="60"/>
                          <w:lang w:val="de-DE"/>
                        </w:rPr>
                      </w:pPr>
                      <w:r w:rsidRPr="00B505CB">
                        <w:rPr>
                          <w:rFonts w:ascii="Calibri" w:hAnsi="Calibri" w:cs="Calibri"/>
                          <w:b/>
                          <w:bCs/>
                          <w:caps/>
                          <w:color w:val="F49B19"/>
                          <w:sz w:val="60"/>
                          <w:szCs w:val="60"/>
                          <w:lang w:val="de-DE"/>
                        </w:rPr>
                        <w:t>UZBEKISTAN</w:t>
                      </w:r>
                    </w:p>
                  </w:txbxContent>
                </v:textbox>
                <w10:wrap anchorx="margin"/>
              </v:shape>
            </w:pict>
          </mc:Fallback>
        </mc:AlternateContent>
      </w:r>
      <w:r w:rsidRPr="005278BD">
        <w:rPr>
          <w:noProof/>
        </w:rPr>
        <mc:AlternateContent>
          <mc:Choice Requires="wps">
            <w:drawing>
              <wp:anchor distT="45720" distB="45720" distL="114300" distR="114300" simplePos="0" relativeHeight="251658243" behindDoc="0" locked="0" layoutInCell="1" allowOverlap="1" wp14:anchorId="3280C731" wp14:editId="054A2575">
                <wp:simplePos x="0" y="0"/>
                <wp:positionH relativeFrom="margin">
                  <wp:posOffset>-449580</wp:posOffset>
                </wp:positionH>
                <wp:positionV relativeFrom="paragraph">
                  <wp:posOffset>3440430</wp:posOffset>
                </wp:positionV>
                <wp:extent cx="1263015" cy="216535"/>
                <wp:effectExtent l="0" t="0" r="0" b="0"/>
                <wp:wrapNone/>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216535"/>
                        </a:xfrm>
                        <a:prstGeom prst="rect">
                          <a:avLst/>
                        </a:prstGeom>
                        <a:noFill/>
                        <a:ln w="9525">
                          <a:noFill/>
                          <a:miter lim="800000"/>
                          <a:headEnd/>
                          <a:tailEnd/>
                        </a:ln>
                      </wps:spPr>
                      <wps:txbx>
                        <w:txbxContent>
                          <w:p w14:paraId="1D7F6D57" w14:textId="783C81E2" w:rsidR="0007422F" w:rsidRDefault="0007422F">
                            <w:pPr>
                              <w:pStyle w:val="Datum-Titel"/>
                            </w:pPr>
                            <w:r w:rsidRPr="00282FEE">
                              <w:t>NO 0</w:t>
                            </w:r>
                            <w:r w:rsidR="009725A9" w:rsidRPr="00282FEE">
                              <w:t>1</w:t>
                            </w:r>
                            <w:r w:rsidRPr="00282FEE">
                              <w:t xml:space="preserve"> | </w:t>
                            </w:r>
                            <w:r w:rsidR="009E64FB" w:rsidRPr="00282FEE">
                              <w:t>NOV</w:t>
                            </w:r>
                            <w:r w:rsidRPr="00282FEE">
                              <w:t xml:space="preserve"> 202</w:t>
                            </w:r>
                            <w:r w:rsidR="009E64FB" w:rsidRPr="00282FEE">
                              <w:t>4</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0C731" id="Textfeld 25" o:spid="_x0000_s1028" type="#_x0000_t202" style="position:absolute;left:0;text-align:left;margin-left:-35.4pt;margin-top:270.9pt;width:99.45pt;height:17.0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" filled="f" stroked="f">
                <v:textbox inset="0,0,0,0">
                  <w:txbxContent>
                    <w:p w14:paraId="1D7F6D57" w14:textId="783C81E2" w:rsidR="0007422F" w:rsidRDefault="0007422F">
                      <w:pPr>
                        <w:pStyle w:val="Datum-Titel"/>
                      </w:pPr>
                      <w:r w:rsidRPr="00282FEE">
                        <w:t>NO 0</w:t>
                      </w:r>
                      <w:r w:rsidR="009725A9" w:rsidRPr="00282FEE">
                        <w:t>1</w:t>
                      </w:r>
                      <w:r w:rsidRPr="00282FEE">
                        <w:t xml:space="preserve"> | </w:t>
                      </w:r>
                      <w:r w:rsidR="009E64FB" w:rsidRPr="00282FEE">
                        <w:t>NOV</w:t>
                      </w:r>
                      <w:r w:rsidRPr="00282FEE">
                        <w:t xml:space="preserve"> 202</w:t>
                      </w:r>
                      <w:r w:rsidR="009E64FB" w:rsidRPr="00282FEE">
                        <w:t>4</w:t>
                      </w:r>
                    </w:p>
                  </w:txbxContent>
                </v:textbox>
                <w10:wrap anchorx="margin"/>
              </v:shape>
            </w:pict>
          </mc:Fallback>
        </mc:AlternateContent>
      </w:r>
      <w:r w:rsidRPr="005278BD">
        <w:rPr>
          <w:noProof/>
        </w:rPr>
        <mc:AlternateContent>
          <mc:Choice Requires="wps">
            <w:drawing>
              <wp:anchor distT="0" distB="0" distL="114300" distR="114300" simplePos="0" relativeHeight="251658244" behindDoc="0" locked="0" layoutInCell="1" allowOverlap="1" wp14:anchorId="11667FB7" wp14:editId="1AF9A5FD">
                <wp:simplePos x="0" y="0"/>
                <wp:positionH relativeFrom="page">
                  <wp:align>left</wp:align>
                </wp:positionH>
                <wp:positionV relativeFrom="paragraph">
                  <wp:posOffset>3637280</wp:posOffset>
                </wp:positionV>
                <wp:extent cx="1720850" cy="6350"/>
                <wp:effectExtent l="0" t="0" r="12700" b="12700"/>
                <wp:wrapNone/>
                <wp:docPr id="24" name="Gerader Verbinde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720850" cy="6350"/>
                        </a:xfrm>
                        <a:prstGeom prst="line">
                          <a:avLst/>
                        </a:prstGeom>
                        <a:noFill/>
                        <a:ln w="12700" cap="flat" cmpd="sng" algn="ctr">
                          <a:solidFill>
                            <a:srgbClr val="F49B1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4A6014" id="Gerader Verbinder 24" o:spid="_x0000_s1026" style="position:absolute;flip:y;z-index:2516582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86.4pt" to="135.5pt,2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" strokecolor="#f49b19" strokeweight="1pt">
                <v:stroke joinstyle="miter"/>
                <o:lock v:ext="edit" shapetype="f"/>
                <w10:wrap anchorx="page"/>
              </v:line>
            </w:pict>
          </mc:Fallback>
        </mc:AlternateContent>
      </w:r>
      <w:r w:rsidR="00F6201B" w:rsidRPr="005278BD">
        <w:br w:type="page" w:clear="all"/>
      </w:r>
    </w:p>
    <w:p w14:paraId="15FE6C7D" w14:textId="77777777" w:rsidR="008012E6" w:rsidRPr="005278BD" w:rsidRDefault="00F6201B">
      <w:pPr>
        <w:pStyle w:val="Headline"/>
      </w:pPr>
      <w:bookmarkStart w:id="2" w:name="_Hlk31796986"/>
      <w:r w:rsidRPr="005278BD">
        <w:lastRenderedPageBreak/>
        <w:t>About the German Eco</w:t>
      </w:r>
      <w:r w:rsidR="006A4178" w:rsidRPr="005278BD">
        <w:t>n</w:t>
      </w:r>
      <w:r w:rsidRPr="005278BD">
        <w:t>omic Team</w:t>
      </w:r>
    </w:p>
    <w:p w14:paraId="5C94B5D3" w14:textId="77777777" w:rsidR="008012E6" w:rsidRPr="005278BD" w:rsidRDefault="00F6201B" w:rsidP="007B6428">
      <w:pPr>
        <w:pStyle w:val="Fliesstext"/>
        <w:jc w:val="both"/>
      </w:pPr>
      <w:r w:rsidRPr="005278BD">
        <w:t>Financed by the Federal Ministry for Economics and Energy, the German Economic Team (GET) advises the governments of Ukraine, Belarus, Moldova, Kosovo, Armenia, Georgia and Uzbekistan on economic policy matters. Berlin Economics has been commissioned with the implementation of the consultancy.</w:t>
      </w:r>
      <w:bookmarkEnd w:id="2"/>
    </w:p>
    <w:p w14:paraId="50104541" w14:textId="77777777" w:rsidR="008012E6" w:rsidRPr="005278BD" w:rsidRDefault="00AC1274">
      <w:pPr>
        <w:pStyle w:val="Fliesstext"/>
        <w:rPr>
          <w:sz w:val="20"/>
          <w:szCs w:val="18"/>
        </w:rPr>
      </w:pPr>
      <w:r w:rsidRPr="005278BD">
        <w:rPr>
          <w:rStyle w:val="markedcontent"/>
          <w:szCs w:val="24"/>
        </w:rPr>
        <w:t>*Advisory activities in Belarus are currently suspended.</w:t>
      </w:r>
    </w:p>
    <w:p w14:paraId="1B3DB425" w14:textId="77777777" w:rsidR="00AC1274" w:rsidRPr="005278BD" w:rsidRDefault="00AC1274">
      <w:pPr>
        <w:pStyle w:val="Fliesstext"/>
      </w:pPr>
    </w:p>
    <w:p w14:paraId="2934A7A4" w14:textId="4AED4F0D" w:rsidR="008012E6" w:rsidRPr="005278BD" w:rsidRDefault="00624019">
      <w:pPr>
        <w:spacing w:before="120" w:line="240" w:lineRule="auto"/>
        <w:jc w:val="left"/>
        <w:rPr>
          <w:rFonts w:ascii="Calibri Light" w:hAnsi="Calibri Light" w:cs="Calibri Light"/>
          <w:color w:val="343234"/>
          <w:sz w:val="20"/>
          <w:szCs w:val="20"/>
          <w:lang w:eastAsia="de-DE"/>
        </w:rPr>
      </w:pPr>
      <w:r w:rsidRPr="005278BD">
        <w:rPr>
          <w:noProof/>
        </w:rPr>
        <mc:AlternateContent>
          <mc:Choice Requires="wps">
            <w:drawing>
              <wp:anchor distT="45720" distB="45720" distL="114300" distR="114300" simplePos="0" relativeHeight="251658245" behindDoc="0" locked="0" layoutInCell="1" allowOverlap="1" wp14:anchorId="243E4BF3" wp14:editId="1A79BA50">
                <wp:simplePos x="0" y="0"/>
                <wp:positionH relativeFrom="margin">
                  <wp:posOffset>3702685</wp:posOffset>
                </wp:positionH>
                <wp:positionV relativeFrom="paragraph">
                  <wp:posOffset>69850</wp:posOffset>
                </wp:positionV>
                <wp:extent cx="2347595" cy="1079500"/>
                <wp:effectExtent l="0" t="0" r="0" b="0"/>
                <wp:wrapNone/>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7595" cy="1079500"/>
                        </a:xfrm>
                        <a:prstGeom prst="rect">
                          <a:avLst/>
                        </a:prstGeom>
                        <a:noFill/>
                        <a:ln w="9525">
                          <a:noFill/>
                          <a:miter lim="800000"/>
                          <a:headEnd/>
                          <a:tailEnd/>
                        </a:ln>
                      </wps:spPr>
                      <wps:txbx>
                        <w:txbxContent>
                          <w:p w14:paraId="57C6153A" w14:textId="77777777" w:rsidR="0007422F" w:rsidRDefault="0007422F">
                            <w:pPr>
                              <w:spacing w:before="0" w:after="160" w:line="288" w:lineRule="auto"/>
                              <w:jc w:val="left"/>
                              <w:rPr>
                                <w:rFonts w:cs="Calibri"/>
                                <w:color w:val="333333"/>
                                <w:sz w:val="14"/>
                                <w:szCs w:val="14"/>
                                <w:lang w:val="de-DE" w:eastAsia="de-DE"/>
                              </w:rPr>
                            </w:pPr>
                            <w:proofErr w:type="spellStart"/>
                            <w:r w:rsidRPr="006D6C64">
                              <w:rPr>
                                <w:rFonts w:cs="Calibri"/>
                                <w:color w:val="333333"/>
                                <w:sz w:val="14"/>
                                <w:szCs w:val="14"/>
                                <w:lang w:val="de-DE" w:eastAsia="de-DE"/>
                              </w:rPr>
                              <w:t>Implemented</w:t>
                            </w:r>
                            <w:proofErr w:type="spellEnd"/>
                            <w:r w:rsidRPr="006D6C64">
                              <w:rPr>
                                <w:rFonts w:cs="Calibri"/>
                                <w:color w:val="333333"/>
                                <w:sz w:val="14"/>
                                <w:szCs w:val="14"/>
                                <w:lang w:val="de-DE" w:eastAsia="de-DE"/>
                              </w:rPr>
                              <w:t xml:space="preserve"> </w:t>
                            </w:r>
                            <w:proofErr w:type="spellStart"/>
                            <w:r w:rsidRPr="006D6C64">
                              <w:rPr>
                                <w:rFonts w:cs="Calibri"/>
                                <w:color w:val="333333"/>
                                <w:sz w:val="14"/>
                                <w:szCs w:val="14"/>
                                <w:lang w:val="de-DE" w:eastAsia="de-DE"/>
                              </w:rPr>
                              <w:t>by</w:t>
                            </w:r>
                            <w:proofErr w:type="spellEnd"/>
                          </w:p>
                          <w:p w14:paraId="6529393F" w14:textId="7308F7B3" w:rsidR="0007422F" w:rsidRDefault="00624019">
                            <w:pPr>
                              <w:spacing w:before="0" w:line="240" w:lineRule="atLeast"/>
                              <w:jc w:val="left"/>
                              <w:rPr>
                                <w:rFonts w:cs="Calibri"/>
                                <w:color w:val="333333"/>
                                <w:sz w:val="14"/>
                                <w:szCs w:val="14"/>
                                <w:lang w:val="de-DE" w:eastAsia="de-DE"/>
                              </w:rPr>
                            </w:pPr>
                            <w:r w:rsidRPr="006D6C64">
                              <w:rPr>
                                <w:rFonts w:cs="Calibri"/>
                                <w:noProof/>
                                <w:color w:val="333333"/>
                                <w:sz w:val="14"/>
                                <w:szCs w:val="14"/>
                                <w:lang w:val="ru-RU" w:eastAsia="ru-RU"/>
                              </w:rPr>
                              <w:drawing>
                                <wp:inline distT="0" distB="0" distL="0" distR="0" wp14:anchorId="33292DDB" wp14:editId="41A85D1D">
                                  <wp:extent cx="1752600" cy="447675"/>
                                  <wp:effectExtent l="0" t="0" r="0" b="0"/>
                                  <wp:docPr id="1135841688" name="Grafik 95776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447675"/>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E4BF3" id="Textfeld 23" o:spid="_x0000_s1029" type="#_x0000_t202" style="position:absolute;margin-left:291.55pt;margin-top:5.5pt;width:184.85pt;height:8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" filled="f" stroked="f">
                <v:textbox inset="0,0,0,0">
                  <w:txbxContent>
                    <w:p w14:paraId="57C6153A" w14:textId="77777777" w:rsidR="0007422F" w:rsidRDefault="0007422F">
                      <w:pPr>
                        <w:spacing w:before="0" w:after="160" w:line="288" w:lineRule="auto"/>
                        <w:jc w:val="left"/>
                        <w:rPr>
                          <w:rFonts w:cs="Calibri"/>
                          <w:color w:val="333333"/>
                          <w:sz w:val="14"/>
                          <w:szCs w:val="14"/>
                          <w:lang w:val="de-DE" w:eastAsia="de-DE"/>
                        </w:rPr>
                      </w:pPr>
                      <w:proofErr w:type="spellStart"/>
                      <w:r w:rsidRPr="006D6C64">
                        <w:rPr>
                          <w:rFonts w:cs="Calibri"/>
                          <w:color w:val="333333"/>
                          <w:sz w:val="14"/>
                          <w:szCs w:val="14"/>
                          <w:lang w:val="de-DE" w:eastAsia="de-DE"/>
                        </w:rPr>
                        <w:t>Implemented</w:t>
                      </w:r>
                      <w:proofErr w:type="spellEnd"/>
                      <w:r w:rsidRPr="006D6C64">
                        <w:rPr>
                          <w:rFonts w:cs="Calibri"/>
                          <w:color w:val="333333"/>
                          <w:sz w:val="14"/>
                          <w:szCs w:val="14"/>
                          <w:lang w:val="de-DE" w:eastAsia="de-DE"/>
                        </w:rPr>
                        <w:t xml:space="preserve"> </w:t>
                      </w:r>
                      <w:proofErr w:type="spellStart"/>
                      <w:r w:rsidRPr="006D6C64">
                        <w:rPr>
                          <w:rFonts w:cs="Calibri"/>
                          <w:color w:val="333333"/>
                          <w:sz w:val="14"/>
                          <w:szCs w:val="14"/>
                          <w:lang w:val="de-DE" w:eastAsia="de-DE"/>
                        </w:rPr>
                        <w:t>by</w:t>
                      </w:r>
                      <w:proofErr w:type="spellEnd"/>
                    </w:p>
                    <w:p w14:paraId="6529393F" w14:textId="7308F7B3" w:rsidR="0007422F" w:rsidRDefault="00624019">
                      <w:pPr>
                        <w:spacing w:before="0" w:line="240" w:lineRule="atLeast"/>
                        <w:jc w:val="left"/>
                        <w:rPr>
                          <w:rFonts w:cs="Calibri"/>
                          <w:color w:val="333333"/>
                          <w:sz w:val="14"/>
                          <w:szCs w:val="14"/>
                          <w:lang w:val="de-DE" w:eastAsia="de-DE"/>
                        </w:rPr>
                      </w:pPr>
                      <w:r w:rsidRPr="006D6C64">
                        <w:rPr>
                          <w:rFonts w:cs="Calibri"/>
                          <w:noProof/>
                          <w:color w:val="333333"/>
                          <w:sz w:val="14"/>
                          <w:szCs w:val="14"/>
                          <w:lang w:val="ru-RU" w:eastAsia="ru-RU"/>
                        </w:rPr>
                        <w:drawing>
                          <wp:inline distT="0" distB="0" distL="0" distR="0" wp14:anchorId="33292DDB" wp14:editId="41A85D1D">
                            <wp:extent cx="1752600" cy="447675"/>
                            <wp:effectExtent l="0" t="0" r="0" b="0"/>
                            <wp:docPr id="1135841688" name="Grafik 95776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447675"/>
                                    </a:xfrm>
                                    <a:prstGeom prst="rect">
                                      <a:avLst/>
                                    </a:prstGeom>
                                    <a:noFill/>
                                    <a:ln>
                                      <a:noFill/>
                                    </a:ln>
                                  </pic:spPr>
                                </pic:pic>
                              </a:graphicData>
                            </a:graphic>
                          </wp:inline>
                        </w:drawing>
                      </w:r>
                    </w:p>
                  </w:txbxContent>
                </v:textbox>
                <w10:wrap anchorx="margin"/>
              </v:shape>
            </w:pict>
          </mc:Fallback>
        </mc:AlternateContent>
      </w:r>
      <w:r w:rsidR="00F6201B" w:rsidRPr="005278BD">
        <w:rPr>
          <w:rFonts w:cs="Calibri"/>
          <w:b/>
          <w:bCs/>
          <w:color w:val="0F4B90"/>
          <w:sz w:val="20"/>
          <w:szCs w:val="20"/>
          <w:lang w:eastAsia="de-DE"/>
        </w:rPr>
        <w:t>CONTACT</w:t>
      </w:r>
      <w:r w:rsidR="00F6201B" w:rsidRPr="005278BD">
        <w:rPr>
          <w:rFonts w:ascii="Calibri Light" w:hAnsi="Calibri Light" w:cs="Calibri Light"/>
          <w:color w:val="343234"/>
          <w:sz w:val="20"/>
          <w:szCs w:val="20"/>
          <w:lang w:eastAsia="de-DE"/>
        </w:rPr>
        <w:br/>
      </w:r>
    </w:p>
    <w:p w14:paraId="640FFAE5" w14:textId="77777777" w:rsidR="008012E6" w:rsidRPr="005278BD" w:rsidRDefault="00563D59">
      <w:pPr>
        <w:pStyle w:val="Fliesstext-ohneAbstand"/>
        <w:rPr>
          <w:lang w:val="en-GB"/>
        </w:rPr>
      </w:pPr>
      <w:r w:rsidRPr="005278BD">
        <w:rPr>
          <w:lang w:val="en-GB"/>
        </w:rPr>
        <w:t>Woldemar Walter</w:t>
      </w:r>
      <w:r w:rsidR="00F6201B" w:rsidRPr="005278BD">
        <w:rPr>
          <w:lang w:val="en-GB"/>
        </w:rPr>
        <w:t xml:space="preserve">, Project Manager </w:t>
      </w:r>
      <w:r w:rsidRPr="005278BD">
        <w:rPr>
          <w:lang w:val="en-GB"/>
        </w:rPr>
        <w:t>Uzbekistan</w:t>
      </w:r>
    </w:p>
    <w:p w14:paraId="5419057F" w14:textId="2BC29181" w:rsidR="008012E6" w:rsidRPr="005278BD" w:rsidRDefault="00563D59">
      <w:pPr>
        <w:spacing w:before="0" w:line="240" w:lineRule="auto"/>
        <w:jc w:val="left"/>
        <w:rPr>
          <w:rStyle w:val="Hyperlink"/>
          <w:lang w:val="en-GB"/>
        </w:rPr>
      </w:pPr>
      <w:hyperlink r:id="rId13" w:history="1">
        <w:r w:rsidRPr="005278BD">
          <w:rPr>
            <w:rStyle w:val="Hyperlink"/>
            <w:lang w:val="en-GB"/>
          </w:rPr>
          <w:t>walter@berlin-economics.com</w:t>
        </w:r>
      </w:hyperlink>
    </w:p>
    <w:p w14:paraId="5EF4BEF6" w14:textId="77777777" w:rsidR="008012E6" w:rsidRPr="005278BD" w:rsidRDefault="008012E6">
      <w:pPr>
        <w:pStyle w:val="Fliesstext"/>
        <w:spacing w:before="0" w:line="240" w:lineRule="auto"/>
        <w:rPr>
          <w:rFonts w:cs="Calibri"/>
          <w:b/>
          <w:bCs/>
          <w:color w:val="0F4B90"/>
          <w:lang w:eastAsia="de-DE"/>
        </w:rPr>
      </w:pPr>
    </w:p>
    <w:p w14:paraId="6E4EDDCC" w14:textId="77777777" w:rsidR="008012E6" w:rsidRPr="005278BD" w:rsidRDefault="00F6201B">
      <w:pPr>
        <w:pStyle w:val="Fliesstext"/>
        <w:spacing w:before="60" w:line="240" w:lineRule="auto"/>
        <w:rPr>
          <w:rFonts w:cs="Calibri"/>
          <w:b/>
          <w:bCs/>
          <w:color w:val="0F4B90"/>
          <w:lang w:eastAsia="de-DE"/>
        </w:rPr>
      </w:pPr>
      <w:r w:rsidRPr="005278BD">
        <w:rPr>
          <w:rFonts w:cs="Calibri"/>
          <w:b/>
          <w:bCs/>
          <w:color w:val="0F4B90"/>
          <w:lang w:eastAsia="de-DE"/>
        </w:rPr>
        <w:t xml:space="preserve">German Economic Team </w:t>
      </w:r>
    </w:p>
    <w:p w14:paraId="629FD3AB" w14:textId="77777777" w:rsidR="008012E6" w:rsidRPr="005278BD" w:rsidRDefault="00F6201B">
      <w:pPr>
        <w:pStyle w:val="Fliesstext-ohneAbstand"/>
        <w:rPr>
          <w:lang w:val="en-GB"/>
        </w:rPr>
      </w:pPr>
      <w:r w:rsidRPr="005278BD">
        <w:rPr>
          <w:lang w:val="en-GB"/>
        </w:rPr>
        <w:t xml:space="preserve">c/o BE Berlin Economics GmbH </w:t>
      </w:r>
      <w:r w:rsidRPr="005278BD">
        <w:rPr>
          <w:lang w:val="en-GB"/>
        </w:rPr>
        <w:br/>
      </w:r>
      <w:proofErr w:type="spellStart"/>
      <w:r w:rsidRPr="005278BD">
        <w:rPr>
          <w:lang w:val="en-GB"/>
        </w:rPr>
        <w:t>Schillerstraße</w:t>
      </w:r>
      <w:proofErr w:type="spellEnd"/>
      <w:r w:rsidRPr="005278BD">
        <w:rPr>
          <w:lang w:val="en-GB"/>
        </w:rPr>
        <w:t xml:space="preserve"> 59 | 10627 Berlin </w:t>
      </w:r>
      <w:r w:rsidRPr="005278BD">
        <w:rPr>
          <w:lang w:val="en-GB"/>
        </w:rPr>
        <w:br/>
        <w:t xml:space="preserve">Tel: +49 30 / 20 61 34 64 0 </w:t>
      </w:r>
      <w:r w:rsidRPr="005278BD">
        <w:rPr>
          <w:lang w:val="en-GB"/>
        </w:rPr>
        <w:br/>
        <w:t xml:space="preserve">info@german-economic-team.com </w:t>
      </w:r>
      <w:r w:rsidRPr="005278BD">
        <w:rPr>
          <w:lang w:val="en-GB"/>
        </w:rPr>
        <w:br/>
        <w:t>www.german-economic-team.com</w:t>
      </w:r>
    </w:p>
    <w:p w14:paraId="28882B01" w14:textId="77777777" w:rsidR="008012E6" w:rsidRPr="005278BD" w:rsidRDefault="008012E6">
      <w:pPr>
        <w:pStyle w:val="Fliesstext-ohneAbstand"/>
        <w:rPr>
          <w:lang w:val="en-GB"/>
        </w:rPr>
      </w:pPr>
    </w:p>
    <w:p w14:paraId="0AE67DB7" w14:textId="77777777" w:rsidR="008012E6" w:rsidRPr="005278BD" w:rsidRDefault="00F6201B">
      <w:pPr>
        <w:pStyle w:val="Fliesstext-ohneAbstand"/>
        <w:rPr>
          <w:lang w:val="en-GB"/>
        </w:rPr>
      </w:pPr>
      <w:r w:rsidRPr="005278BD">
        <w:rPr>
          <w:lang w:val="en-GB"/>
        </w:rPr>
        <w:t>Our p</w:t>
      </w:r>
      <w:r w:rsidR="007B6428" w:rsidRPr="005278BD">
        <w:rPr>
          <w:lang w:val="en-GB"/>
        </w:rPr>
        <w:t>ublications are available under</w:t>
      </w:r>
    </w:p>
    <w:p w14:paraId="4771795F" w14:textId="77777777" w:rsidR="008012E6" w:rsidRPr="005278BD" w:rsidRDefault="00F6201B">
      <w:pPr>
        <w:pStyle w:val="Fliesstext"/>
        <w:spacing w:before="0" w:line="240" w:lineRule="auto"/>
        <w:rPr>
          <w:rStyle w:val="Hyperlink"/>
          <w:lang w:val="en-GB"/>
        </w:rPr>
      </w:pPr>
      <w:r w:rsidRPr="005278BD">
        <w:rPr>
          <w:rFonts w:cs="Calibri"/>
          <w:sz w:val="20"/>
          <w:lang w:eastAsia="de-DE"/>
        </w:rPr>
        <w:t>https://www.german-economic-team.com/u</w:t>
      </w:r>
      <w:r w:rsidR="007B6428" w:rsidRPr="005278BD">
        <w:rPr>
          <w:rFonts w:cs="Calibri"/>
          <w:sz w:val="20"/>
          <w:lang w:eastAsia="de-DE"/>
        </w:rPr>
        <w:t>zbekistan</w:t>
      </w:r>
    </w:p>
    <w:p w14:paraId="674A0B93" w14:textId="77777777" w:rsidR="008012E6" w:rsidRPr="005278BD" w:rsidRDefault="00F6201B">
      <w:pPr>
        <w:pStyle w:val="Fliesstext-ohneAbstand"/>
        <w:rPr>
          <w:rStyle w:val="Hyperlink"/>
          <w:lang w:val="en-GB"/>
        </w:rPr>
      </w:pPr>
      <w:r w:rsidRPr="005278BD">
        <w:rPr>
          <w:rStyle w:val="Hyperlink"/>
          <w:lang w:val="en-GB"/>
        </w:rPr>
        <w:br w:type="page" w:clear="all"/>
      </w:r>
    </w:p>
    <w:p w14:paraId="7958BFF5" w14:textId="05F4E7A0" w:rsidR="008012E6" w:rsidRPr="005278BD" w:rsidRDefault="00F6201B">
      <w:pPr>
        <w:pStyle w:val="Inhaltsverzeichnisberschrift"/>
        <w:rPr>
          <w:lang w:val="en-GB"/>
        </w:rPr>
      </w:pPr>
      <w:r w:rsidRPr="005278BD">
        <w:rPr>
          <w:lang w:val="en-GB"/>
        </w:rPr>
        <w:lastRenderedPageBreak/>
        <w:t>Content</w:t>
      </w:r>
    </w:p>
    <w:p w14:paraId="106F12C3" w14:textId="4569439D" w:rsidR="00D40716" w:rsidRDefault="003727A0">
      <w:pPr>
        <w:pStyle w:val="Verzeichnis1"/>
        <w:rPr>
          <w:rFonts w:asciiTheme="minorHAnsi" w:eastAsiaTheme="minorEastAsia" w:hAnsiTheme="minorHAnsi" w:cstheme="minorBidi"/>
          <w:b w:val="0"/>
          <w:bCs w:val="0"/>
          <w:noProof/>
          <w:color w:val="auto"/>
          <w:kern w:val="2"/>
          <w:sz w:val="24"/>
          <w:szCs w:val="24"/>
          <w:lang w:val="de-DE" w:eastAsia="de-DE"/>
          <w14:ligatures w14:val="standardContextual"/>
        </w:rPr>
      </w:pPr>
      <w:r w:rsidRPr="005278BD">
        <w:rPr>
          <w:b w:val="0"/>
          <w:bCs w:val="0"/>
        </w:rPr>
        <w:fldChar w:fldCharType="begin"/>
      </w:r>
      <w:r w:rsidR="00F6201B" w:rsidRPr="005278BD">
        <w:rPr>
          <w:b w:val="0"/>
          <w:bCs w:val="0"/>
        </w:rPr>
        <w:instrText xml:space="preserve"> TOC \o "1-3" \h \z \u </w:instrText>
      </w:r>
      <w:r w:rsidRPr="005278BD">
        <w:rPr>
          <w:b w:val="0"/>
          <w:bCs w:val="0"/>
        </w:rPr>
        <w:fldChar w:fldCharType="separate"/>
      </w:r>
      <w:hyperlink w:anchor="_Toc182575125" w:history="1">
        <w:r w:rsidR="00D40716" w:rsidRPr="00B506CC">
          <w:rPr>
            <w:rStyle w:val="Hyperlink"/>
            <w:noProof/>
          </w:rPr>
          <w:t>1.</w:t>
        </w:r>
        <w:r w:rsidR="00D40716">
          <w:rPr>
            <w:rFonts w:asciiTheme="minorHAnsi" w:eastAsiaTheme="minorEastAsia" w:hAnsiTheme="minorHAnsi" w:cstheme="minorBidi"/>
            <w:b w:val="0"/>
            <w:bCs w:val="0"/>
            <w:noProof/>
            <w:color w:val="auto"/>
            <w:kern w:val="2"/>
            <w:sz w:val="24"/>
            <w:szCs w:val="24"/>
            <w:lang w:val="de-DE" w:eastAsia="de-DE"/>
            <w14:ligatures w14:val="standardContextual"/>
          </w:rPr>
          <w:tab/>
        </w:r>
        <w:r w:rsidR="00D40716" w:rsidRPr="00B506CC">
          <w:rPr>
            <w:rStyle w:val="Hyperlink"/>
            <w:noProof/>
          </w:rPr>
          <w:t>Introduction</w:t>
        </w:r>
        <w:r w:rsidR="00D40716">
          <w:rPr>
            <w:noProof/>
            <w:webHidden/>
          </w:rPr>
          <w:tab/>
        </w:r>
        <w:r w:rsidR="00D40716">
          <w:rPr>
            <w:noProof/>
            <w:webHidden/>
          </w:rPr>
          <w:fldChar w:fldCharType="begin"/>
        </w:r>
        <w:r w:rsidR="00D40716">
          <w:rPr>
            <w:noProof/>
            <w:webHidden/>
          </w:rPr>
          <w:instrText xml:space="preserve"> PAGEREF _Toc182575125 \h </w:instrText>
        </w:r>
        <w:r w:rsidR="00D40716">
          <w:rPr>
            <w:noProof/>
            <w:webHidden/>
          </w:rPr>
        </w:r>
        <w:r w:rsidR="00D40716">
          <w:rPr>
            <w:noProof/>
            <w:webHidden/>
          </w:rPr>
          <w:fldChar w:fldCharType="separate"/>
        </w:r>
        <w:r w:rsidR="00D40716">
          <w:rPr>
            <w:noProof/>
            <w:webHidden/>
          </w:rPr>
          <w:t>1</w:t>
        </w:r>
        <w:r w:rsidR="00D40716">
          <w:rPr>
            <w:noProof/>
            <w:webHidden/>
          </w:rPr>
          <w:fldChar w:fldCharType="end"/>
        </w:r>
      </w:hyperlink>
    </w:p>
    <w:p w14:paraId="102F8F58" w14:textId="64EEEED5" w:rsidR="00D40716" w:rsidRDefault="00D40716">
      <w:pPr>
        <w:pStyle w:val="Verzeichnis1"/>
        <w:rPr>
          <w:rFonts w:asciiTheme="minorHAnsi" w:eastAsiaTheme="minorEastAsia" w:hAnsiTheme="minorHAnsi" w:cstheme="minorBidi"/>
          <w:b w:val="0"/>
          <w:bCs w:val="0"/>
          <w:noProof/>
          <w:color w:val="auto"/>
          <w:kern w:val="2"/>
          <w:sz w:val="24"/>
          <w:szCs w:val="24"/>
          <w:lang w:val="de-DE" w:eastAsia="de-DE"/>
          <w14:ligatures w14:val="standardContextual"/>
        </w:rPr>
      </w:pPr>
      <w:hyperlink w:anchor="_Toc182575126" w:history="1">
        <w:r w:rsidRPr="00B506CC">
          <w:rPr>
            <w:rStyle w:val="Hyperlink"/>
            <w:noProof/>
          </w:rPr>
          <w:t>2.</w:t>
        </w:r>
        <w:r>
          <w:rPr>
            <w:rFonts w:asciiTheme="minorHAnsi" w:eastAsiaTheme="minorEastAsia" w:hAnsiTheme="minorHAnsi" w:cstheme="minorBidi"/>
            <w:b w:val="0"/>
            <w:bCs w:val="0"/>
            <w:noProof/>
            <w:color w:val="auto"/>
            <w:kern w:val="2"/>
            <w:sz w:val="24"/>
            <w:szCs w:val="24"/>
            <w:lang w:val="de-DE" w:eastAsia="de-DE"/>
            <w14:ligatures w14:val="standardContextual"/>
          </w:rPr>
          <w:tab/>
        </w:r>
        <w:r w:rsidRPr="00B506CC">
          <w:rPr>
            <w:rStyle w:val="Hyperlink"/>
            <w:noProof/>
          </w:rPr>
          <w:t>Country context</w:t>
        </w:r>
        <w:r>
          <w:rPr>
            <w:noProof/>
            <w:webHidden/>
          </w:rPr>
          <w:tab/>
        </w:r>
        <w:r>
          <w:rPr>
            <w:noProof/>
            <w:webHidden/>
          </w:rPr>
          <w:fldChar w:fldCharType="begin"/>
        </w:r>
        <w:r>
          <w:rPr>
            <w:noProof/>
            <w:webHidden/>
          </w:rPr>
          <w:instrText xml:space="preserve"> PAGEREF _Toc182575126 \h </w:instrText>
        </w:r>
        <w:r>
          <w:rPr>
            <w:noProof/>
            <w:webHidden/>
          </w:rPr>
        </w:r>
        <w:r>
          <w:rPr>
            <w:noProof/>
            <w:webHidden/>
          </w:rPr>
          <w:fldChar w:fldCharType="separate"/>
        </w:r>
        <w:r>
          <w:rPr>
            <w:noProof/>
            <w:webHidden/>
          </w:rPr>
          <w:t>1</w:t>
        </w:r>
        <w:r>
          <w:rPr>
            <w:noProof/>
            <w:webHidden/>
          </w:rPr>
          <w:fldChar w:fldCharType="end"/>
        </w:r>
      </w:hyperlink>
    </w:p>
    <w:p w14:paraId="0B9AE7E8" w14:textId="48CC2D24"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27" w:history="1">
        <w:r w:rsidRPr="00B506CC">
          <w:rPr>
            <w:rStyle w:val="Hyperlink"/>
            <w:noProof/>
          </w:rPr>
          <w:t>2.1</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Electricity sector development and challenges</w:t>
        </w:r>
        <w:r>
          <w:rPr>
            <w:noProof/>
            <w:webHidden/>
          </w:rPr>
          <w:tab/>
        </w:r>
        <w:r>
          <w:rPr>
            <w:noProof/>
            <w:webHidden/>
          </w:rPr>
          <w:fldChar w:fldCharType="begin"/>
        </w:r>
        <w:r>
          <w:rPr>
            <w:noProof/>
            <w:webHidden/>
          </w:rPr>
          <w:instrText xml:space="preserve"> PAGEREF _Toc182575127 \h </w:instrText>
        </w:r>
        <w:r>
          <w:rPr>
            <w:noProof/>
            <w:webHidden/>
          </w:rPr>
        </w:r>
        <w:r>
          <w:rPr>
            <w:noProof/>
            <w:webHidden/>
          </w:rPr>
          <w:fldChar w:fldCharType="separate"/>
        </w:r>
        <w:r>
          <w:rPr>
            <w:noProof/>
            <w:webHidden/>
          </w:rPr>
          <w:t>1</w:t>
        </w:r>
        <w:r>
          <w:rPr>
            <w:noProof/>
            <w:webHidden/>
          </w:rPr>
          <w:fldChar w:fldCharType="end"/>
        </w:r>
      </w:hyperlink>
    </w:p>
    <w:p w14:paraId="50BF66F4" w14:textId="769624D3"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28" w:history="1">
        <w:r w:rsidRPr="00B506CC">
          <w:rPr>
            <w:rStyle w:val="Hyperlink"/>
            <w:noProof/>
          </w:rPr>
          <w:t>2.2</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Sector reforms and future needs</w:t>
        </w:r>
        <w:r>
          <w:rPr>
            <w:noProof/>
            <w:webHidden/>
          </w:rPr>
          <w:tab/>
        </w:r>
        <w:r>
          <w:rPr>
            <w:noProof/>
            <w:webHidden/>
          </w:rPr>
          <w:fldChar w:fldCharType="begin"/>
        </w:r>
        <w:r>
          <w:rPr>
            <w:noProof/>
            <w:webHidden/>
          </w:rPr>
          <w:instrText xml:space="preserve"> PAGEREF _Toc182575128 \h </w:instrText>
        </w:r>
        <w:r>
          <w:rPr>
            <w:noProof/>
            <w:webHidden/>
          </w:rPr>
        </w:r>
        <w:r>
          <w:rPr>
            <w:noProof/>
            <w:webHidden/>
          </w:rPr>
          <w:fldChar w:fldCharType="separate"/>
        </w:r>
        <w:r>
          <w:rPr>
            <w:noProof/>
            <w:webHidden/>
          </w:rPr>
          <w:t>3</w:t>
        </w:r>
        <w:r>
          <w:rPr>
            <w:noProof/>
            <w:webHidden/>
          </w:rPr>
          <w:fldChar w:fldCharType="end"/>
        </w:r>
      </w:hyperlink>
    </w:p>
    <w:p w14:paraId="59DD76E8" w14:textId="1BA6DC07" w:rsidR="00D40716" w:rsidRDefault="00D40716">
      <w:pPr>
        <w:pStyle w:val="Verzeichnis1"/>
        <w:rPr>
          <w:rFonts w:asciiTheme="minorHAnsi" w:eastAsiaTheme="minorEastAsia" w:hAnsiTheme="minorHAnsi" w:cstheme="minorBidi"/>
          <w:b w:val="0"/>
          <w:bCs w:val="0"/>
          <w:noProof/>
          <w:color w:val="auto"/>
          <w:kern w:val="2"/>
          <w:sz w:val="24"/>
          <w:szCs w:val="24"/>
          <w:lang w:val="de-DE" w:eastAsia="de-DE"/>
          <w14:ligatures w14:val="standardContextual"/>
        </w:rPr>
      </w:pPr>
      <w:hyperlink w:anchor="_Toc182575129" w:history="1">
        <w:r w:rsidRPr="00B506CC">
          <w:rPr>
            <w:rStyle w:val="Hyperlink"/>
            <w:noProof/>
          </w:rPr>
          <w:t>3.</w:t>
        </w:r>
        <w:r>
          <w:rPr>
            <w:rFonts w:asciiTheme="minorHAnsi" w:eastAsiaTheme="minorEastAsia" w:hAnsiTheme="minorHAnsi" w:cstheme="minorBidi"/>
            <w:b w:val="0"/>
            <w:bCs w:val="0"/>
            <w:noProof/>
            <w:color w:val="auto"/>
            <w:kern w:val="2"/>
            <w:sz w:val="24"/>
            <w:szCs w:val="24"/>
            <w:lang w:val="de-DE" w:eastAsia="de-DE"/>
            <w14:ligatures w14:val="standardContextual"/>
          </w:rPr>
          <w:tab/>
        </w:r>
        <w:r w:rsidRPr="00B506CC">
          <w:rPr>
            <w:rStyle w:val="Hyperlink"/>
            <w:noProof/>
          </w:rPr>
          <w:t>Model</w:t>
        </w:r>
        <w:r>
          <w:rPr>
            <w:noProof/>
            <w:webHidden/>
          </w:rPr>
          <w:tab/>
        </w:r>
        <w:r>
          <w:rPr>
            <w:noProof/>
            <w:webHidden/>
          </w:rPr>
          <w:fldChar w:fldCharType="begin"/>
        </w:r>
        <w:r>
          <w:rPr>
            <w:noProof/>
            <w:webHidden/>
          </w:rPr>
          <w:instrText xml:space="preserve"> PAGEREF _Toc182575129 \h </w:instrText>
        </w:r>
        <w:r>
          <w:rPr>
            <w:noProof/>
            <w:webHidden/>
          </w:rPr>
        </w:r>
        <w:r>
          <w:rPr>
            <w:noProof/>
            <w:webHidden/>
          </w:rPr>
          <w:fldChar w:fldCharType="separate"/>
        </w:r>
        <w:r>
          <w:rPr>
            <w:noProof/>
            <w:webHidden/>
          </w:rPr>
          <w:t>5</w:t>
        </w:r>
        <w:r>
          <w:rPr>
            <w:noProof/>
            <w:webHidden/>
          </w:rPr>
          <w:fldChar w:fldCharType="end"/>
        </w:r>
      </w:hyperlink>
    </w:p>
    <w:p w14:paraId="20277B13" w14:textId="5CC9C35D"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30" w:history="1">
        <w:r w:rsidRPr="00B506CC">
          <w:rPr>
            <w:rStyle w:val="Hyperlink"/>
            <w:noProof/>
          </w:rPr>
          <w:t>3.1</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Methodology</w:t>
        </w:r>
        <w:r>
          <w:rPr>
            <w:noProof/>
            <w:webHidden/>
          </w:rPr>
          <w:tab/>
        </w:r>
        <w:r>
          <w:rPr>
            <w:noProof/>
            <w:webHidden/>
          </w:rPr>
          <w:fldChar w:fldCharType="begin"/>
        </w:r>
        <w:r>
          <w:rPr>
            <w:noProof/>
            <w:webHidden/>
          </w:rPr>
          <w:instrText xml:space="preserve"> PAGEREF _Toc182575130 \h </w:instrText>
        </w:r>
        <w:r>
          <w:rPr>
            <w:noProof/>
            <w:webHidden/>
          </w:rPr>
        </w:r>
        <w:r>
          <w:rPr>
            <w:noProof/>
            <w:webHidden/>
          </w:rPr>
          <w:fldChar w:fldCharType="separate"/>
        </w:r>
        <w:r>
          <w:rPr>
            <w:noProof/>
            <w:webHidden/>
          </w:rPr>
          <w:t>5</w:t>
        </w:r>
        <w:r>
          <w:rPr>
            <w:noProof/>
            <w:webHidden/>
          </w:rPr>
          <w:fldChar w:fldCharType="end"/>
        </w:r>
      </w:hyperlink>
    </w:p>
    <w:p w14:paraId="25A944BF" w14:textId="1429A8B6"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31" w:history="1">
        <w:r w:rsidRPr="00B506CC">
          <w:rPr>
            <w:rStyle w:val="Hyperlink"/>
            <w:noProof/>
          </w:rPr>
          <w:t>3.2</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Data and model variants</w:t>
        </w:r>
        <w:r>
          <w:rPr>
            <w:noProof/>
            <w:webHidden/>
          </w:rPr>
          <w:tab/>
        </w:r>
        <w:r>
          <w:rPr>
            <w:noProof/>
            <w:webHidden/>
          </w:rPr>
          <w:fldChar w:fldCharType="begin"/>
        </w:r>
        <w:r>
          <w:rPr>
            <w:noProof/>
            <w:webHidden/>
          </w:rPr>
          <w:instrText xml:space="preserve"> PAGEREF _Toc182575131 \h </w:instrText>
        </w:r>
        <w:r>
          <w:rPr>
            <w:noProof/>
            <w:webHidden/>
          </w:rPr>
        </w:r>
        <w:r>
          <w:rPr>
            <w:noProof/>
            <w:webHidden/>
          </w:rPr>
          <w:fldChar w:fldCharType="separate"/>
        </w:r>
        <w:r>
          <w:rPr>
            <w:noProof/>
            <w:webHidden/>
          </w:rPr>
          <w:t>8</w:t>
        </w:r>
        <w:r>
          <w:rPr>
            <w:noProof/>
            <w:webHidden/>
          </w:rPr>
          <w:fldChar w:fldCharType="end"/>
        </w:r>
      </w:hyperlink>
    </w:p>
    <w:p w14:paraId="69BF19BE" w14:textId="496B7732" w:rsidR="00D40716" w:rsidRDefault="00D40716">
      <w:pPr>
        <w:pStyle w:val="Verzeichnis1"/>
        <w:rPr>
          <w:rFonts w:asciiTheme="minorHAnsi" w:eastAsiaTheme="minorEastAsia" w:hAnsiTheme="minorHAnsi" w:cstheme="minorBidi"/>
          <w:b w:val="0"/>
          <w:bCs w:val="0"/>
          <w:noProof/>
          <w:color w:val="auto"/>
          <w:kern w:val="2"/>
          <w:sz w:val="24"/>
          <w:szCs w:val="24"/>
          <w:lang w:val="de-DE" w:eastAsia="de-DE"/>
          <w14:ligatures w14:val="standardContextual"/>
        </w:rPr>
      </w:pPr>
      <w:hyperlink w:anchor="_Toc182575132" w:history="1">
        <w:r w:rsidRPr="00B506CC">
          <w:rPr>
            <w:rStyle w:val="Hyperlink"/>
            <w:noProof/>
          </w:rPr>
          <w:t>4.</w:t>
        </w:r>
        <w:r>
          <w:rPr>
            <w:rFonts w:asciiTheme="minorHAnsi" w:eastAsiaTheme="minorEastAsia" w:hAnsiTheme="minorHAnsi" w:cstheme="minorBidi"/>
            <w:b w:val="0"/>
            <w:bCs w:val="0"/>
            <w:noProof/>
            <w:color w:val="auto"/>
            <w:kern w:val="2"/>
            <w:sz w:val="24"/>
            <w:szCs w:val="24"/>
            <w:lang w:val="de-DE" w:eastAsia="de-DE"/>
            <w14:ligatures w14:val="standardContextual"/>
          </w:rPr>
          <w:tab/>
        </w:r>
        <w:r w:rsidRPr="00B506CC">
          <w:rPr>
            <w:rStyle w:val="Hyperlink"/>
            <w:noProof/>
          </w:rPr>
          <w:t>Model results</w:t>
        </w:r>
        <w:r>
          <w:rPr>
            <w:noProof/>
            <w:webHidden/>
          </w:rPr>
          <w:tab/>
        </w:r>
        <w:r>
          <w:rPr>
            <w:noProof/>
            <w:webHidden/>
          </w:rPr>
          <w:fldChar w:fldCharType="begin"/>
        </w:r>
        <w:r>
          <w:rPr>
            <w:noProof/>
            <w:webHidden/>
          </w:rPr>
          <w:instrText xml:space="preserve"> PAGEREF _Toc182575132 \h </w:instrText>
        </w:r>
        <w:r>
          <w:rPr>
            <w:noProof/>
            <w:webHidden/>
          </w:rPr>
        </w:r>
        <w:r>
          <w:rPr>
            <w:noProof/>
            <w:webHidden/>
          </w:rPr>
          <w:fldChar w:fldCharType="separate"/>
        </w:r>
        <w:r>
          <w:rPr>
            <w:noProof/>
            <w:webHidden/>
          </w:rPr>
          <w:t>11</w:t>
        </w:r>
        <w:r>
          <w:rPr>
            <w:noProof/>
            <w:webHidden/>
          </w:rPr>
          <w:fldChar w:fldCharType="end"/>
        </w:r>
      </w:hyperlink>
    </w:p>
    <w:p w14:paraId="634B7D5D" w14:textId="019D4276"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33" w:history="1">
        <w:r w:rsidRPr="00B506CC">
          <w:rPr>
            <w:rStyle w:val="Hyperlink"/>
            <w:noProof/>
          </w:rPr>
          <w:t>4.1</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Demand forecast results</w:t>
        </w:r>
        <w:r>
          <w:rPr>
            <w:noProof/>
            <w:webHidden/>
          </w:rPr>
          <w:tab/>
        </w:r>
        <w:r>
          <w:rPr>
            <w:noProof/>
            <w:webHidden/>
          </w:rPr>
          <w:fldChar w:fldCharType="begin"/>
        </w:r>
        <w:r>
          <w:rPr>
            <w:noProof/>
            <w:webHidden/>
          </w:rPr>
          <w:instrText xml:space="preserve"> PAGEREF _Toc182575133 \h </w:instrText>
        </w:r>
        <w:r>
          <w:rPr>
            <w:noProof/>
            <w:webHidden/>
          </w:rPr>
        </w:r>
        <w:r>
          <w:rPr>
            <w:noProof/>
            <w:webHidden/>
          </w:rPr>
          <w:fldChar w:fldCharType="separate"/>
        </w:r>
        <w:r>
          <w:rPr>
            <w:noProof/>
            <w:webHidden/>
          </w:rPr>
          <w:t>11</w:t>
        </w:r>
        <w:r>
          <w:rPr>
            <w:noProof/>
            <w:webHidden/>
          </w:rPr>
          <w:fldChar w:fldCharType="end"/>
        </w:r>
      </w:hyperlink>
    </w:p>
    <w:p w14:paraId="621555D7" w14:textId="5D13B467"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34" w:history="1">
        <w:r w:rsidRPr="00B506CC">
          <w:rPr>
            <w:rStyle w:val="Hyperlink"/>
            <w:noProof/>
          </w:rPr>
          <w:t>4.2</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Discussion of results</w:t>
        </w:r>
        <w:r>
          <w:rPr>
            <w:noProof/>
            <w:webHidden/>
          </w:rPr>
          <w:tab/>
        </w:r>
        <w:r>
          <w:rPr>
            <w:noProof/>
            <w:webHidden/>
          </w:rPr>
          <w:fldChar w:fldCharType="begin"/>
        </w:r>
        <w:r>
          <w:rPr>
            <w:noProof/>
            <w:webHidden/>
          </w:rPr>
          <w:instrText xml:space="preserve"> PAGEREF _Toc182575134 \h </w:instrText>
        </w:r>
        <w:r>
          <w:rPr>
            <w:noProof/>
            <w:webHidden/>
          </w:rPr>
        </w:r>
        <w:r>
          <w:rPr>
            <w:noProof/>
            <w:webHidden/>
          </w:rPr>
          <w:fldChar w:fldCharType="separate"/>
        </w:r>
        <w:r>
          <w:rPr>
            <w:noProof/>
            <w:webHidden/>
          </w:rPr>
          <w:t>13</w:t>
        </w:r>
        <w:r>
          <w:rPr>
            <w:noProof/>
            <w:webHidden/>
          </w:rPr>
          <w:fldChar w:fldCharType="end"/>
        </w:r>
      </w:hyperlink>
    </w:p>
    <w:p w14:paraId="678AF903" w14:textId="22CF9705" w:rsidR="00D40716" w:rsidRDefault="00D40716">
      <w:pPr>
        <w:pStyle w:val="Verzeichnis1"/>
        <w:rPr>
          <w:rFonts w:asciiTheme="minorHAnsi" w:eastAsiaTheme="minorEastAsia" w:hAnsiTheme="minorHAnsi" w:cstheme="minorBidi"/>
          <w:b w:val="0"/>
          <w:bCs w:val="0"/>
          <w:noProof/>
          <w:color w:val="auto"/>
          <w:kern w:val="2"/>
          <w:sz w:val="24"/>
          <w:szCs w:val="24"/>
          <w:lang w:val="de-DE" w:eastAsia="de-DE"/>
          <w14:ligatures w14:val="standardContextual"/>
        </w:rPr>
      </w:pPr>
      <w:hyperlink w:anchor="_Toc182575135" w:history="1">
        <w:r w:rsidRPr="00B506CC">
          <w:rPr>
            <w:rStyle w:val="Hyperlink"/>
            <w:noProof/>
          </w:rPr>
          <w:t>5.</w:t>
        </w:r>
        <w:r>
          <w:rPr>
            <w:rFonts w:asciiTheme="minorHAnsi" w:eastAsiaTheme="minorEastAsia" w:hAnsiTheme="minorHAnsi" w:cstheme="minorBidi"/>
            <w:b w:val="0"/>
            <w:bCs w:val="0"/>
            <w:noProof/>
            <w:color w:val="auto"/>
            <w:kern w:val="2"/>
            <w:sz w:val="24"/>
            <w:szCs w:val="24"/>
            <w:lang w:val="de-DE" w:eastAsia="de-DE"/>
            <w14:ligatures w14:val="standardContextual"/>
          </w:rPr>
          <w:tab/>
        </w:r>
        <w:r w:rsidRPr="00B506CC">
          <w:rPr>
            <w:rStyle w:val="Hyperlink"/>
            <w:noProof/>
          </w:rPr>
          <w:t>Implications for policy-making</w:t>
        </w:r>
        <w:r>
          <w:rPr>
            <w:noProof/>
            <w:webHidden/>
          </w:rPr>
          <w:tab/>
        </w:r>
        <w:r>
          <w:rPr>
            <w:noProof/>
            <w:webHidden/>
          </w:rPr>
          <w:fldChar w:fldCharType="begin"/>
        </w:r>
        <w:r>
          <w:rPr>
            <w:noProof/>
            <w:webHidden/>
          </w:rPr>
          <w:instrText xml:space="preserve"> PAGEREF _Toc182575135 \h </w:instrText>
        </w:r>
        <w:r>
          <w:rPr>
            <w:noProof/>
            <w:webHidden/>
          </w:rPr>
        </w:r>
        <w:r>
          <w:rPr>
            <w:noProof/>
            <w:webHidden/>
          </w:rPr>
          <w:fldChar w:fldCharType="separate"/>
        </w:r>
        <w:r>
          <w:rPr>
            <w:noProof/>
            <w:webHidden/>
          </w:rPr>
          <w:t>15</w:t>
        </w:r>
        <w:r>
          <w:rPr>
            <w:noProof/>
            <w:webHidden/>
          </w:rPr>
          <w:fldChar w:fldCharType="end"/>
        </w:r>
      </w:hyperlink>
    </w:p>
    <w:p w14:paraId="597FD51C" w14:textId="3C092003" w:rsidR="00D40716" w:rsidRDefault="00D40716">
      <w:pPr>
        <w:pStyle w:val="Verzeichnis1"/>
        <w:rPr>
          <w:rFonts w:asciiTheme="minorHAnsi" w:eastAsiaTheme="minorEastAsia" w:hAnsiTheme="minorHAnsi" w:cstheme="minorBidi"/>
          <w:b w:val="0"/>
          <w:bCs w:val="0"/>
          <w:noProof/>
          <w:color w:val="auto"/>
          <w:kern w:val="2"/>
          <w:sz w:val="24"/>
          <w:szCs w:val="24"/>
          <w:lang w:val="de-DE" w:eastAsia="de-DE"/>
          <w14:ligatures w14:val="standardContextual"/>
        </w:rPr>
      </w:pPr>
      <w:hyperlink w:anchor="_Toc182575136" w:history="1">
        <w:r w:rsidRPr="00B506CC">
          <w:rPr>
            <w:rStyle w:val="Hyperlink"/>
            <w:noProof/>
          </w:rPr>
          <w:t>6.</w:t>
        </w:r>
        <w:r>
          <w:rPr>
            <w:rFonts w:asciiTheme="minorHAnsi" w:eastAsiaTheme="minorEastAsia" w:hAnsiTheme="minorHAnsi" w:cstheme="minorBidi"/>
            <w:b w:val="0"/>
            <w:bCs w:val="0"/>
            <w:noProof/>
            <w:color w:val="auto"/>
            <w:kern w:val="2"/>
            <w:sz w:val="24"/>
            <w:szCs w:val="24"/>
            <w:lang w:val="de-DE" w:eastAsia="de-DE"/>
            <w14:ligatures w14:val="standardContextual"/>
          </w:rPr>
          <w:tab/>
        </w:r>
        <w:r w:rsidRPr="00B506CC">
          <w:rPr>
            <w:rStyle w:val="Hyperlink"/>
            <w:noProof/>
          </w:rPr>
          <w:t>Conclusion</w:t>
        </w:r>
        <w:r>
          <w:rPr>
            <w:noProof/>
            <w:webHidden/>
          </w:rPr>
          <w:tab/>
        </w:r>
        <w:r>
          <w:rPr>
            <w:noProof/>
            <w:webHidden/>
          </w:rPr>
          <w:fldChar w:fldCharType="begin"/>
        </w:r>
        <w:r>
          <w:rPr>
            <w:noProof/>
            <w:webHidden/>
          </w:rPr>
          <w:instrText xml:space="preserve"> PAGEREF _Toc182575136 \h </w:instrText>
        </w:r>
        <w:r>
          <w:rPr>
            <w:noProof/>
            <w:webHidden/>
          </w:rPr>
        </w:r>
        <w:r>
          <w:rPr>
            <w:noProof/>
            <w:webHidden/>
          </w:rPr>
          <w:fldChar w:fldCharType="separate"/>
        </w:r>
        <w:r>
          <w:rPr>
            <w:noProof/>
            <w:webHidden/>
          </w:rPr>
          <w:t>17</w:t>
        </w:r>
        <w:r>
          <w:rPr>
            <w:noProof/>
            <w:webHidden/>
          </w:rPr>
          <w:fldChar w:fldCharType="end"/>
        </w:r>
      </w:hyperlink>
    </w:p>
    <w:p w14:paraId="181F7807" w14:textId="499AB4DB" w:rsidR="00D40716" w:rsidRDefault="00D40716">
      <w:pPr>
        <w:pStyle w:val="Verzeichnis1"/>
        <w:rPr>
          <w:rFonts w:asciiTheme="minorHAnsi" w:eastAsiaTheme="minorEastAsia" w:hAnsiTheme="minorHAnsi" w:cstheme="minorBidi"/>
          <w:b w:val="0"/>
          <w:bCs w:val="0"/>
          <w:noProof/>
          <w:color w:val="auto"/>
          <w:kern w:val="2"/>
          <w:sz w:val="24"/>
          <w:szCs w:val="24"/>
          <w:lang w:val="de-DE" w:eastAsia="de-DE"/>
          <w14:ligatures w14:val="standardContextual"/>
        </w:rPr>
      </w:pPr>
      <w:hyperlink w:anchor="_Toc182575137" w:history="1">
        <w:r w:rsidRPr="00B506CC">
          <w:rPr>
            <w:rStyle w:val="Hyperlink"/>
            <w:noProof/>
          </w:rPr>
          <w:t>7.</w:t>
        </w:r>
        <w:r>
          <w:rPr>
            <w:rFonts w:asciiTheme="minorHAnsi" w:eastAsiaTheme="minorEastAsia" w:hAnsiTheme="minorHAnsi" w:cstheme="minorBidi"/>
            <w:b w:val="0"/>
            <w:bCs w:val="0"/>
            <w:noProof/>
            <w:color w:val="auto"/>
            <w:kern w:val="2"/>
            <w:sz w:val="24"/>
            <w:szCs w:val="24"/>
            <w:lang w:val="de-DE" w:eastAsia="de-DE"/>
            <w14:ligatures w14:val="standardContextual"/>
          </w:rPr>
          <w:tab/>
        </w:r>
        <w:r w:rsidRPr="00B506CC">
          <w:rPr>
            <w:rStyle w:val="Hyperlink"/>
            <w:noProof/>
          </w:rPr>
          <w:t>Annex</w:t>
        </w:r>
        <w:r>
          <w:rPr>
            <w:noProof/>
            <w:webHidden/>
          </w:rPr>
          <w:tab/>
        </w:r>
        <w:r>
          <w:rPr>
            <w:noProof/>
            <w:webHidden/>
          </w:rPr>
          <w:fldChar w:fldCharType="begin"/>
        </w:r>
        <w:r>
          <w:rPr>
            <w:noProof/>
            <w:webHidden/>
          </w:rPr>
          <w:instrText xml:space="preserve"> PAGEREF _Toc182575137 \h </w:instrText>
        </w:r>
        <w:r>
          <w:rPr>
            <w:noProof/>
            <w:webHidden/>
          </w:rPr>
        </w:r>
        <w:r>
          <w:rPr>
            <w:noProof/>
            <w:webHidden/>
          </w:rPr>
          <w:fldChar w:fldCharType="separate"/>
        </w:r>
        <w:r>
          <w:rPr>
            <w:noProof/>
            <w:webHidden/>
          </w:rPr>
          <w:t>19</w:t>
        </w:r>
        <w:r>
          <w:rPr>
            <w:noProof/>
            <w:webHidden/>
          </w:rPr>
          <w:fldChar w:fldCharType="end"/>
        </w:r>
      </w:hyperlink>
    </w:p>
    <w:p w14:paraId="0A4C6AC1" w14:textId="28C2448C"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38" w:history="1">
        <w:r w:rsidRPr="00B506CC">
          <w:rPr>
            <w:rStyle w:val="Hyperlink"/>
            <w:noProof/>
          </w:rPr>
          <w:t>7.1</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Descriptive statistics of input data</w:t>
        </w:r>
        <w:r>
          <w:rPr>
            <w:noProof/>
            <w:webHidden/>
          </w:rPr>
          <w:tab/>
        </w:r>
        <w:r>
          <w:rPr>
            <w:noProof/>
            <w:webHidden/>
          </w:rPr>
          <w:fldChar w:fldCharType="begin"/>
        </w:r>
        <w:r>
          <w:rPr>
            <w:noProof/>
            <w:webHidden/>
          </w:rPr>
          <w:instrText xml:space="preserve"> PAGEREF _Toc182575138 \h </w:instrText>
        </w:r>
        <w:r>
          <w:rPr>
            <w:noProof/>
            <w:webHidden/>
          </w:rPr>
        </w:r>
        <w:r>
          <w:rPr>
            <w:noProof/>
            <w:webHidden/>
          </w:rPr>
          <w:fldChar w:fldCharType="separate"/>
        </w:r>
        <w:r>
          <w:rPr>
            <w:noProof/>
            <w:webHidden/>
          </w:rPr>
          <w:t>19</w:t>
        </w:r>
        <w:r>
          <w:rPr>
            <w:noProof/>
            <w:webHidden/>
          </w:rPr>
          <w:fldChar w:fldCharType="end"/>
        </w:r>
      </w:hyperlink>
    </w:p>
    <w:p w14:paraId="30A82928" w14:textId="3C84F83E"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39" w:history="1">
        <w:r w:rsidRPr="00B506CC">
          <w:rPr>
            <w:rStyle w:val="Hyperlink"/>
            <w:noProof/>
          </w:rPr>
          <w:t>7.2</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Prophet model specifications</w:t>
        </w:r>
        <w:r>
          <w:rPr>
            <w:noProof/>
            <w:webHidden/>
          </w:rPr>
          <w:tab/>
        </w:r>
        <w:r>
          <w:rPr>
            <w:noProof/>
            <w:webHidden/>
          </w:rPr>
          <w:fldChar w:fldCharType="begin"/>
        </w:r>
        <w:r>
          <w:rPr>
            <w:noProof/>
            <w:webHidden/>
          </w:rPr>
          <w:instrText xml:space="preserve"> PAGEREF _Toc182575139 \h </w:instrText>
        </w:r>
        <w:r>
          <w:rPr>
            <w:noProof/>
            <w:webHidden/>
          </w:rPr>
        </w:r>
        <w:r>
          <w:rPr>
            <w:noProof/>
            <w:webHidden/>
          </w:rPr>
          <w:fldChar w:fldCharType="separate"/>
        </w:r>
        <w:r>
          <w:rPr>
            <w:noProof/>
            <w:webHidden/>
          </w:rPr>
          <w:t>21</w:t>
        </w:r>
        <w:r>
          <w:rPr>
            <w:noProof/>
            <w:webHidden/>
          </w:rPr>
          <w:fldChar w:fldCharType="end"/>
        </w:r>
      </w:hyperlink>
    </w:p>
    <w:p w14:paraId="3E3FC277" w14:textId="716C1510"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40" w:history="1">
        <w:r w:rsidRPr="00B506CC">
          <w:rPr>
            <w:rStyle w:val="Hyperlink"/>
            <w:noProof/>
          </w:rPr>
          <w:t>7.3</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Detailed assumptions of model variants</w:t>
        </w:r>
        <w:r>
          <w:rPr>
            <w:noProof/>
            <w:webHidden/>
          </w:rPr>
          <w:tab/>
        </w:r>
        <w:r>
          <w:rPr>
            <w:noProof/>
            <w:webHidden/>
          </w:rPr>
          <w:fldChar w:fldCharType="begin"/>
        </w:r>
        <w:r>
          <w:rPr>
            <w:noProof/>
            <w:webHidden/>
          </w:rPr>
          <w:instrText xml:space="preserve"> PAGEREF _Toc182575140 \h </w:instrText>
        </w:r>
        <w:r>
          <w:rPr>
            <w:noProof/>
            <w:webHidden/>
          </w:rPr>
        </w:r>
        <w:r>
          <w:rPr>
            <w:noProof/>
            <w:webHidden/>
          </w:rPr>
          <w:fldChar w:fldCharType="separate"/>
        </w:r>
        <w:r>
          <w:rPr>
            <w:noProof/>
            <w:webHidden/>
          </w:rPr>
          <w:t>21</w:t>
        </w:r>
        <w:r>
          <w:rPr>
            <w:noProof/>
            <w:webHidden/>
          </w:rPr>
          <w:fldChar w:fldCharType="end"/>
        </w:r>
      </w:hyperlink>
    </w:p>
    <w:p w14:paraId="2F142E64" w14:textId="384028B3" w:rsidR="00D40716" w:rsidRDefault="00D40716">
      <w:pPr>
        <w:pStyle w:val="Verzeichnis2"/>
        <w:rPr>
          <w:rFonts w:asciiTheme="minorHAnsi" w:eastAsiaTheme="minorEastAsia" w:hAnsiTheme="minorHAnsi" w:cstheme="minorBidi"/>
          <w:noProof/>
          <w:kern w:val="2"/>
          <w:sz w:val="24"/>
          <w:szCs w:val="24"/>
          <w:lang w:val="de-DE" w:eastAsia="de-DE"/>
          <w14:ligatures w14:val="standardContextual"/>
        </w:rPr>
      </w:pPr>
      <w:hyperlink w:anchor="_Toc182575141" w:history="1">
        <w:r w:rsidRPr="00B506CC">
          <w:rPr>
            <w:rStyle w:val="Hyperlink"/>
            <w:noProof/>
          </w:rPr>
          <w:t>7.4</w:t>
        </w:r>
        <w:r>
          <w:rPr>
            <w:rFonts w:asciiTheme="minorHAnsi" w:eastAsiaTheme="minorEastAsia" w:hAnsiTheme="minorHAnsi" w:cstheme="minorBidi"/>
            <w:noProof/>
            <w:kern w:val="2"/>
            <w:sz w:val="24"/>
            <w:szCs w:val="24"/>
            <w:lang w:val="de-DE" w:eastAsia="de-DE"/>
            <w14:ligatures w14:val="standardContextual"/>
          </w:rPr>
          <w:tab/>
        </w:r>
        <w:r w:rsidRPr="00B506CC">
          <w:rPr>
            <w:rStyle w:val="Hyperlink"/>
            <w:noProof/>
          </w:rPr>
          <w:t>Model results – complete annual figures</w:t>
        </w:r>
        <w:r>
          <w:rPr>
            <w:noProof/>
            <w:webHidden/>
          </w:rPr>
          <w:tab/>
        </w:r>
        <w:r>
          <w:rPr>
            <w:noProof/>
            <w:webHidden/>
          </w:rPr>
          <w:fldChar w:fldCharType="begin"/>
        </w:r>
        <w:r>
          <w:rPr>
            <w:noProof/>
            <w:webHidden/>
          </w:rPr>
          <w:instrText xml:space="preserve"> PAGEREF _Toc182575141 \h </w:instrText>
        </w:r>
        <w:r>
          <w:rPr>
            <w:noProof/>
            <w:webHidden/>
          </w:rPr>
        </w:r>
        <w:r>
          <w:rPr>
            <w:noProof/>
            <w:webHidden/>
          </w:rPr>
          <w:fldChar w:fldCharType="separate"/>
        </w:r>
        <w:r>
          <w:rPr>
            <w:noProof/>
            <w:webHidden/>
          </w:rPr>
          <w:t>23</w:t>
        </w:r>
        <w:r>
          <w:rPr>
            <w:noProof/>
            <w:webHidden/>
          </w:rPr>
          <w:fldChar w:fldCharType="end"/>
        </w:r>
      </w:hyperlink>
    </w:p>
    <w:p w14:paraId="3A2AE081" w14:textId="34448008" w:rsidR="008012E6" w:rsidRPr="005278BD" w:rsidRDefault="003727A0">
      <w:pPr>
        <w:spacing w:before="120"/>
      </w:pPr>
      <w:r w:rsidRPr="005278BD">
        <w:rPr>
          <w:rFonts w:eastAsia="Times New Roman"/>
          <w:b/>
          <w:bCs/>
          <w:sz w:val="20"/>
          <w:szCs w:val="22"/>
          <w:lang w:eastAsia="en-GB"/>
        </w:rPr>
        <w:fldChar w:fldCharType="end"/>
      </w:r>
    </w:p>
    <w:p w14:paraId="19F3967F" w14:textId="77777777" w:rsidR="008012E6" w:rsidRPr="005278BD" w:rsidRDefault="008012E6">
      <w:pPr>
        <w:spacing w:before="120"/>
        <w:jc w:val="center"/>
        <w:rPr>
          <w:sz w:val="18"/>
          <w:szCs w:val="16"/>
        </w:rPr>
      </w:pPr>
    </w:p>
    <w:p w14:paraId="065029E5" w14:textId="77777777" w:rsidR="00F90A7D" w:rsidRPr="005278BD" w:rsidRDefault="00F90A7D">
      <w:pPr>
        <w:spacing w:before="120"/>
        <w:jc w:val="center"/>
        <w:rPr>
          <w:sz w:val="18"/>
          <w:szCs w:val="16"/>
        </w:rPr>
      </w:pPr>
    </w:p>
    <w:p w14:paraId="237C96A2" w14:textId="77777777" w:rsidR="00F67467" w:rsidRPr="005278BD" w:rsidRDefault="00F67467">
      <w:pPr>
        <w:spacing w:before="0" w:line="240" w:lineRule="auto"/>
        <w:jc w:val="left"/>
        <w:rPr>
          <w:rFonts w:cs="Calibri"/>
          <w:b/>
          <w:bCs/>
          <w:color w:val="104C91"/>
          <w:sz w:val="32"/>
          <w:szCs w:val="32"/>
        </w:rPr>
      </w:pPr>
      <w:r w:rsidRPr="005278BD">
        <w:br w:type="page"/>
      </w:r>
    </w:p>
    <w:p w14:paraId="4C63F954" w14:textId="5AF5D1C0" w:rsidR="00F90A7D" w:rsidRPr="005278BD" w:rsidRDefault="00F90A7D" w:rsidP="00F90A7D">
      <w:pPr>
        <w:pStyle w:val="Headline"/>
        <w:spacing w:before="0"/>
        <w:rPr>
          <w:szCs w:val="24"/>
        </w:rPr>
      </w:pPr>
      <w:r w:rsidRPr="005278BD">
        <w:lastRenderedPageBreak/>
        <w:t>Executive summary</w:t>
      </w:r>
    </w:p>
    <w:p w14:paraId="5CF3824C" w14:textId="5FF1516C" w:rsidR="005D3B71" w:rsidRDefault="00247F16" w:rsidP="00DB71E9">
      <w:pPr>
        <w:spacing w:before="120" w:line="260" w:lineRule="atLeast"/>
        <w:jc w:val="left"/>
        <w:rPr>
          <w:rFonts w:cs="Calibri"/>
        </w:rPr>
      </w:pPr>
      <w:r w:rsidRPr="00247F16">
        <w:rPr>
          <w:rFonts w:cs="Calibri"/>
        </w:rPr>
        <w:t xml:space="preserve">This study </w:t>
      </w:r>
      <w:r w:rsidR="00A712B8">
        <w:rPr>
          <w:rFonts w:cs="Calibri"/>
        </w:rPr>
        <w:t xml:space="preserve">models </w:t>
      </w:r>
      <w:r w:rsidRPr="007F4C35">
        <w:rPr>
          <w:rFonts w:cs="Calibri"/>
          <w:b/>
          <w:bCs/>
        </w:rPr>
        <w:t>electricity demand in Uzbekistan</w:t>
      </w:r>
      <w:r w:rsidR="009D2432">
        <w:rPr>
          <w:rFonts w:cs="Calibri"/>
          <w:b/>
          <w:bCs/>
        </w:rPr>
        <w:t xml:space="preserve"> </w:t>
      </w:r>
      <w:r w:rsidR="007E4016">
        <w:rPr>
          <w:rFonts w:cs="Calibri"/>
          <w:b/>
          <w:bCs/>
        </w:rPr>
        <w:t xml:space="preserve">up to </w:t>
      </w:r>
      <w:r w:rsidR="009D2432">
        <w:rPr>
          <w:rFonts w:cs="Calibri"/>
          <w:b/>
          <w:bCs/>
        </w:rPr>
        <w:t>2035</w:t>
      </w:r>
      <w:r w:rsidRPr="00247F16">
        <w:rPr>
          <w:rFonts w:cs="Calibri"/>
        </w:rPr>
        <w:t xml:space="preserve">, evaluating the potential impact of various economic and policy assumptions on the country’s </w:t>
      </w:r>
      <w:r>
        <w:rPr>
          <w:rFonts w:cs="Calibri"/>
        </w:rPr>
        <w:t>electricity</w:t>
      </w:r>
      <w:r w:rsidRPr="00247F16">
        <w:rPr>
          <w:rFonts w:cs="Calibri"/>
        </w:rPr>
        <w:t xml:space="preserve"> needs. Uzbekistan is experiencing rapid population growth and a transitioning economy, with electricity consumption patterns expected to evolve</w:t>
      </w:r>
      <w:r>
        <w:rPr>
          <w:rFonts w:cs="Calibri"/>
        </w:rPr>
        <w:t xml:space="preserve"> </w:t>
      </w:r>
      <w:r w:rsidRPr="00247F16">
        <w:rPr>
          <w:rFonts w:cs="Calibri"/>
        </w:rPr>
        <w:t xml:space="preserve">due to </w:t>
      </w:r>
      <w:r w:rsidR="00A434BC">
        <w:rPr>
          <w:rFonts w:cs="Calibri"/>
        </w:rPr>
        <w:t xml:space="preserve">factors such as </w:t>
      </w:r>
      <w:r w:rsidRPr="00247F16">
        <w:rPr>
          <w:rFonts w:cs="Calibri"/>
        </w:rPr>
        <w:t xml:space="preserve">increasing industrialization, </w:t>
      </w:r>
      <w:r w:rsidR="00A434BC">
        <w:rPr>
          <w:rFonts w:cs="Calibri"/>
        </w:rPr>
        <w:t xml:space="preserve">the </w:t>
      </w:r>
      <w:r w:rsidR="00A434BC" w:rsidRPr="00247F16">
        <w:rPr>
          <w:rFonts w:cs="Calibri"/>
        </w:rPr>
        <w:t xml:space="preserve">electrification </w:t>
      </w:r>
      <w:r w:rsidR="00A434BC">
        <w:rPr>
          <w:rFonts w:cs="Calibri"/>
        </w:rPr>
        <w:t xml:space="preserve">of </w:t>
      </w:r>
      <w:r w:rsidRPr="00247F16">
        <w:rPr>
          <w:rFonts w:cs="Calibri"/>
        </w:rPr>
        <w:t>transport</w:t>
      </w:r>
      <w:r w:rsidR="00A434BC">
        <w:rPr>
          <w:rFonts w:cs="Calibri"/>
        </w:rPr>
        <w:t>ation</w:t>
      </w:r>
      <w:r w:rsidRPr="00247F16">
        <w:rPr>
          <w:rFonts w:cs="Calibri"/>
        </w:rPr>
        <w:t xml:space="preserve">, and </w:t>
      </w:r>
      <w:r w:rsidR="00A434BC">
        <w:rPr>
          <w:rFonts w:cs="Calibri"/>
        </w:rPr>
        <w:t xml:space="preserve">the implementation of </w:t>
      </w:r>
      <w:r w:rsidRPr="00247F16">
        <w:rPr>
          <w:rFonts w:cs="Calibri"/>
        </w:rPr>
        <w:t>energy efficiency measures.</w:t>
      </w:r>
    </w:p>
    <w:p w14:paraId="29F6ED10" w14:textId="6E9FE69B" w:rsidR="00A434BC" w:rsidRDefault="00DF0771" w:rsidP="00DB71E9">
      <w:pPr>
        <w:spacing w:before="120" w:line="260" w:lineRule="atLeast"/>
        <w:jc w:val="left"/>
        <w:rPr>
          <w:rFonts w:cs="Calibri"/>
        </w:rPr>
      </w:pPr>
      <w:r w:rsidRPr="00DF0771">
        <w:rPr>
          <w:rFonts w:cs="Calibri"/>
        </w:rPr>
        <w:t xml:space="preserve">The demand forecasts in this study are based on the </w:t>
      </w:r>
      <w:r w:rsidRPr="007F4C35">
        <w:rPr>
          <w:rFonts w:cs="Calibri"/>
          <w:b/>
          <w:bCs/>
        </w:rPr>
        <w:t>Prophet forecasting framework</w:t>
      </w:r>
      <w:r w:rsidRPr="00DF0771">
        <w:rPr>
          <w:rFonts w:cs="Calibri"/>
        </w:rPr>
        <w:t xml:space="preserve">, employing a long-term top-down </w:t>
      </w:r>
      <w:r>
        <w:rPr>
          <w:rFonts w:cs="Calibri"/>
        </w:rPr>
        <w:t xml:space="preserve">modelling </w:t>
      </w:r>
      <w:r w:rsidRPr="00DF0771">
        <w:rPr>
          <w:rFonts w:cs="Calibri"/>
        </w:rPr>
        <w:t xml:space="preserve">approach. </w:t>
      </w:r>
      <w:r w:rsidR="009D58C7" w:rsidRPr="009D58C7">
        <w:rPr>
          <w:rFonts w:cs="Calibri"/>
        </w:rPr>
        <w:t>To explore the range of possible future electricity demand scenarios, three distinct model variants are presented in this study. These variants differ in the external variables they incorporate, such as GDP growth, sector-specific consumption, and the potential impact of tariff reforms. By adjusting these variables, the model</w:t>
      </w:r>
      <w:r w:rsidR="007F4C35">
        <w:rPr>
          <w:rFonts w:cs="Calibri"/>
        </w:rPr>
        <w:t xml:space="preserve"> variant</w:t>
      </w:r>
      <w:r w:rsidR="009D58C7" w:rsidRPr="009D58C7">
        <w:rPr>
          <w:rFonts w:cs="Calibri"/>
        </w:rPr>
        <w:t xml:space="preserve">s provide insights into how different factors could influence electricity demand in Uzbekistan over </w:t>
      </w:r>
      <w:r w:rsidR="00D447E6">
        <w:rPr>
          <w:rFonts w:cs="Calibri"/>
        </w:rPr>
        <w:t>the coming years</w:t>
      </w:r>
      <w:r w:rsidR="009D58C7" w:rsidRPr="009D58C7">
        <w:rPr>
          <w:rFonts w:cs="Calibri"/>
        </w:rPr>
        <w:t xml:space="preserve">. </w:t>
      </w:r>
    </w:p>
    <w:p w14:paraId="3C9C3435" w14:textId="2D929BB5" w:rsidR="008D7339" w:rsidRDefault="00E72011" w:rsidP="00DB71E9">
      <w:pPr>
        <w:spacing w:before="120" w:line="260" w:lineRule="atLeast"/>
        <w:jc w:val="left"/>
        <w:rPr>
          <w:rFonts w:cs="Calibri"/>
        </w:rPr>
      </w:pPr>
      <w:r w:rsidRPr="00E72011">
        <w:rPr>
          <w:rFonts w:cs="Calibri"/>
        </w:rPr>
        <w:t xml:space="preserve">The model results show that Uzbekistan’s electricity demand is </w:t>
      </w:r>
      <w:r w:rsidRPr="007F4C35">
        <w:rPr>
          <w:rFonts w:cs="Calibri"/>
          <w:b/>
          <w:bCs/>
        </w:rPr>
        <w:t>expected to increase significantly</w:t>
      </w:r>
      <w:r w:rsidRPr="00E72011">
        <w:rPr>
          <w:rFonts w:cs="Calibri"/>
        </w:rPr>
        <w:t xml:space="preserve"> by 2030 and 2035. The forecasts range </w:t>
      </w:r>
      <w:r w:rsidR="00451CCA">
        <w:rPr>
          <w:rFonts w:cs="Calibri"/>
        </w:rPr>
        <w:t>between</w:t>
      </w:r>
      <w:r w:rsidR="00451CCA" w:rsidRPr="00E72011">
        <w:rPr>
          <w:rFonts w:cs="Calibri"/>
        </w:rPr>
        <w:t xml:space="preserve"> </w:t>
      </w:r>
      <w:r w:rsidRPr="007F4C35">
        <w:rPr>
          <w:rFonts w:cs="Calibri"/>
          <w:b/>
          <w:bCs/>
        </w:rPr>
        <w:t>109</w:t>
      </w:r>
      <w:r w:rsidR="00451CCA">
        <w:rPr>
          <w:rFonts w:cs="Calibri"/>
          <w:b/>
          <w:bCs/>
        </w:rPr>
        <w:t>-</w:t>
      </w:r>
      <w:r w:rsidRPr="007F4C35">
        <w:rPr>
          <w:rFonts w:cs="Calibri"/>
          <w:b/>
          <w:bCs/>
        </w:rPr>
        <w:t xml:space="preserve">123 TWh </w:t>
      </w:r>
      <w:r w:rsidRPr="00180818">
        <w:rPr>
          <w:rFonts w:cs="Calibri"/>
        </w:rPr>
        <w:t>in</w:t>
      </w:r>
      <w:r w:rsidRPr="007F4C35">
        <w:rPr>
          <w:rFonts w:cs="Calibri"/>
          <w:b/>
          <w:bCs/>
        </w:rPr>
        <w:t xml:space="preserve"> 2030</w:t>
      </w:r>
      <w:r w:rsidRPr="00E72011">
        <w:rPr>
          <w:rFonts w:cs="Calibri"/>
        </w:rPr>
        <w:t xml:space="preserve"> and </w:t>
      </w:r>
      <w:r w:rsidRPr="007F4C35">
        <w:rPr>
          <w:rFonts w:cs="Calibri"/>
          <w:b/>
          <w:bCs/>
        </w:rPr>
        <w:t>131</w:t>
      </w:r>
      <w:r w:rsidR="00451CCA">
        <w:rPr>
          <w:rFonts w:cs="Calibri"/>
          <w:b/>
          <w:bCs/>
        </w:rPr>
        <w:t>-</w:t>
      </w:r>
      <w:r w:rsidRPr="007F4C35">
        <w:rPr>
          <w:rFonts w:cs="Calibri"/>
          <w:b/>
          <w:bCs/>
        </w:rPr>
        <w:t xml:space="preserve">151 TWh </w:t>
      </w:r>
      <w:r w:rsidRPr="00180818">
        <w:rPr>
          <w:rFonts w:cs="Calibri"/>
        </w:rPr>
        <w:t xml:space="preserve">in </w:t>
      </w:r>
      <w:r w:rsidRPr="007F4C35">
        <w:rPr>
          <w:rFonts w:cs="Calibri"/>
          <w:b/>
          <w:bCs/>
        </w:rPr>
        <w:t>2035</w:t>
      </w:r>
      <w:r w:rsidRPr="00E72011">
        <w:rPr>
          <w:rFonts w:cs="Calibri"/>
        </w:rPr>
        <w:t xml:space="preserve">, representing a 35-52% and 62-87% increase from 2023, respectively. </w:t>
      </w:r>
      <w:r w:rsidRPr="008D7339">
        <w:rPr>
          <w:rFonts w:cs="Calibri"/>
        </w:rPr>
        <w:t>External factors such as GDP growth expectations, sectoral shifts, and tariff changes were found to significantly influence the projections</w:t>
      </w:r>
      <w:r>
        <w:rPr>
          <w:rFonts w:cs="Calibri"/>
        </w:rPr>
        <w:t xml:space="preserve">. </w:t>
      </w:r>
      <w:r w:rsidR="00CA59C9" w:rsidRPr="00CA59C9">
        <w:rPr>
          <w:rFonts w:cs="Calibri"/>
        </w:rPr>
        <w:t>These findings highlight the importance of making informed decisions based on evidence-driven projections</w:t>
      </w:r>
      <w:r w:rsidR="00CA59C9">
        <w:rPr>
          <w:rFonts w:cs="Calibri"/>
        </w:rPr>
        <w:t xml:space="preserve"> </w:t>
      </w:r>
      <w:r w:rsidR="008D7339" w:rsidRPr="008D7339">
        <w:rPr>
          <w:rFonts w:cs="Calibri"/>
        </w:rPr>
        <w:t xml:space="preserve">to avoid both underestimating and overestimating future demand. </w:t>
      </w:r>
    </w:p>
    <w:p w14:paraId="4C656B3B" w14:textId="2075FC79" w:rsidR="00401CE6" w:rsidRDefault="00401CE6" w:rsidP="00DB71E9">
      <w:pPr>
        <w:spacing w:before="120" w:line="260" w:lineRule="atLeast"/>
        <w:jc w:val="left"/>
        <w:rPr>
          <w:rFonts w:cs="Calibri"/>
        </w:rPr>
      </w:pPr>
      <w:r w:rsidRPr="00401CE6">
        <w:rPr>
          <w:rFonts w:cs="Calibri"/>
        </w:rPr>
        <w:t xml:space="preserve">To meet future electricity demand while supporting economic growth, this study emphasizes several </w:t>
      </w:r>
      <w:r w:rsidRPr="00924B6D">
        <w:rPr>
          <w:rFonts w:cs="Calibri"/>
          <w:b/>
          <w:bCs/>
        </w:rPr>
        <w:t>key policy recommendations</w:t>
      </w:r>
      <w:r w:rsidRPr="00401CE6">
        <w:rPr>
          <w:rFonts w:cs="Calibri"/>
        </w:rPr>
        <w:t xml:space="preserve">. First, the establishment of </w:t>
      </w:r>
      <w:r w:rsidRPr="00924B6D">
        <w:rPr>
          <w:rFonts w:cs="Calibri"/>
          <w:b/>
          <w:bCs/>
        </w:rPr>
        <w:t>in-house forecasting capabilities</w:t>
      </w:r>
      <w:r w:rsidRPr="00401CE6">
        <w:rPr>
          <w:rFonts w:cs="Calibri"/>
        </w:rPr>
        <w:t xml:space="preserve"> will enable Uzbekistan to produce precise demand projections tailored to its unique economic and sectoral dynamics. </w:t>
      </w:r>
      <w:r w:rsidRPr="00924B6D">
        <w:rPr>
          <w:rFonts w:cs="Calibri"/>
          <w:b/>
          <w:bCs/>
        </w:rPr>
        <w:t>Robust generation capacity planning</w:t>
      </w:r>
      <w:r w:rsidRPr="00401CE6">
        <w:rPr>
          <w:rFonts w:cs="Calibri"/>
        </w:rPr>
        <w:t xml:space="preserve"> is also essential, incorporating a </w:t>
      </w:r>
      <w:r w:rsidRPr="00924B6D">
        <w:rPr>
          <w:rFonts w:cs="Calibri"/>
          <w:b/>
          <w:bCs/>
        </w:rPr>
        <w:t>capacity reserve margin</w:t>
      </w:r>
      <w:r w:rsidRPr="00401CE6">
        <w:rPr>
          <w:rFonts w:cs="Calibri"/>
        </w:rPr>
        <w:t xml:space="preserve"> to address variability in renewable energy sources and ensure system reliability. Additionally, the continuation of </w:t>
      </w:r>
      <w:r w:rsidRPr="00924B6D">
        <w:rPr>
          <w:rFonts w:cs="Calibri"/>
          <w:b/>
          <w:bCs/>
        </w:rPr>
        <w:t>tariff reforms</w:t>
      </w:r>
      <w:r w:rsidRPr="00401CE6">
        <w:rPr>
          <w:rFonts w:cs="Calibri"/>
        </w:rPr>
        <w:t xml:space="preserve">, coupled with strengthened social support mechanisms, will promote cost-reflective pricing without overburdening vulnerable households. </w:t>
      </w:r>
      <w:r w:rsidR="00951568">
        <w:rPr>
          <w:rFonts w:cs="Calibri"/>
        </w:rPr>
        <w:t>Finally, s</w:t>
      </w:r>
      <w:r w:rsidRPr="00401CE6">
        <w:rPr>
          <w:rFonts w:cs="Calibri"/>
        </w:rPr>
        <w:t xml:space="preserve">trengthening </w:t>
      </w:r>
      <w:r w:rsidRPr="00924B6D">
        <w:rPr>
          <w:rFonts w:cs="Calibri"/>
          <w:b/>
          <w:bCs/>
        </w:rPr>
        <w:t>demand-side management (DSM)</w:t>
      </w:r>
      <w:r w:rsidRPr="00401CE6">
        <w:rPr>
          <w:rFonts w:cs="Calibri"/>
        </w:rPr>
        <w:t xml:space="preserve"> through digital tools and real-time analytics can optimize grid performance and balance growing energy needs, particularly as electric vehicle adoption rises. </w:t>
      </w:r>
    </w:p>
    <w:p w14:paraId="4311FC85" w14:textId="005D25F1" w:rsidR="00E613C9" w:rsidRDefault="00E613C9" w:rsidP="00DB71E9">
      <w:pPr>
        <w:spacing w:before="120" w:line="260" w:lineRule="atLeast"/>
        <w:jc w:val="left"/>
        <w:rPr>
          <w:rFonts w:cs="Calibri"/>
        </w:rPr>
      </w:pPr>
      <w:r w:rsidRPr="00E613C9">
        <w:rPr>
          <w:rFonts w:cs="Calibri"/>
        </w:rPr>
        <w:t>This study provides a valuable foundation for policymakers in Uzbekistan, offering insights into the complexities of energy demand forecasting and the potential implications for future energy policy and infrastructure development. The findings emphasize the need for flexibility in planning, as well as a multi-scenario approach to address the uncertainties that inevitably accompany long-term energy planning.</w:t>
      </w:r>
    </w:p>
    <w:p w14:paraId="0F0FE590" w14:textId="43C924DD" w:rsidR="00FA56B7" w:rsidRPr="005278BD" w:rsidRDefault="00FA56B7" w:rsidP="00F31D6A">
      <w:pPr>
        <w:spacing w:before="120"/>
        <w:rPr>
          <w:sz w:val="18"/>
          <w:szCs w:val="16"/>
        </w:rPr>
        <w:sectPr w:rsidR="00FA56B7" w:rsidRPr="005278BD" w:rsidSect="009F66C5">
          <w:footerReference w:type="default" r:id="rId14"/>
          <w:headerReference w:type="first" r:id="rId15"/>
          <w:footerReference w:type="first" r:id="rId16"/>
          <w:pgSz w:w="11907" w:h="16840"/>
          <w:pgMar w:top="1559" w:right="2396" w:bottom="1304" w:left="1418" w:header="567" w:footer="737" w:gutter="0"/>
          <w:pgNumType w:start="1"/>
          <w:cols w:space="720"/>
          <w:titlePg/>
          <w:docGrid w:linePitch="360"/>
        </w:sectPr>
      </w:pPr>
    </w:p>
    <w:p w14:paraId="2FC80DFC" w14:textId="26DE53FA" w:rsidR="00DE2631" w:rsidRDefault="001A07AC" w:rsidP="00DE2631">
      <w:pPr>
        <w:pStyle w:val="Formatvorlageberschrift1"/>
        <w:spacing w:before="0"/>
      </w:pPr>
      <w:bookmarkStart w:id="3" w:name="_Toc25922162"/>
      <w:bookmarkStart w:id="4" w:name="_Toc182575125"/>
      <w:bookmarkStart w:id="5" w:name="_Toc399927437"/>
      <w:r w:rsidRPr="005278BD">
        <w:lastRenderedPageBreak/>
        <w:t>Introduction</w:t>
      </w:r>
      <w:bookmarkEnd w:id="3"/>
      <w:bookmarkEnd w:id="4"/>
      <w:r w:rsidR="00747472">
        <w:t xml:space="preserve"> </w:t>
      </w:r>
    </w:p>
    <w:p w14:paraId="7D89EB03" w14:textId="3478597F" w:rsidR="00D91C24" w:rsidRDefault="008972D8" w:rsidP="00DE2631">
      <w:pPr>
        <w:pStyle w:val="Fliesstext"/>
        <w:rPr>
          <w:color w:val="auto"/>
        </w:rPr>
      </w:pPr>
      <w:r w:rsidRPr="008972D8">
        <w:rPr>
          <w:color w:val="auto"/>
        </w:rPr>
        <w:t xml:space="preserve">Uzbekistan is experiencing </w:t>
      </w:r>
      <w:r w:rsidRPr="00437E6A">
        <w:rPr>
          <w:b/>
          <w:bCs/>
          <w:color w:val="auto"/>
        </w:rPr>
        <w:t>significant transformations in its energy sector</w:t>
      </w:r>
      <w:r w:rsidRPr="008972D8">
        <w:rPr>
          <w:color w:val="auto"/>
        </w:rPr>
        <w:t xml:space="preserve">, driven by </w:t>
      </w:r>
      <w:r w:rsidR="00DC35A2">
        <w:t>economic and population growth and</w:t>
      </w:r>
      <w:r w:rsidR="00101333">
        <w:t xml:space="preserve"> </w:t>
      </w:r>
      <w:r w:rsidR="009E211A" w:rsidRPr="009E211A">
        <w:rPr>
          <w:color w:val="auto"/>
        </w:rPr>
        <w:t>pressing challenges related to energy security. The country’s reliance on diminishing domestic natural gas reserves, combined with rising demand and increasing import reliance, has placed substantial pressure on its energy infrastructure. The energy crisis of 2022/2023, which saw blackouts and supply shortfalls, underscored the urgency of addressing these issues</w:t>
      </w:r>
      <w:r w:rsidRPr="008972D8">
        <w:rPr>
          <w:color w:val="auto"/>
        </w:rPr>
        <w:t xml:space="preserve">. </w:t>
      </w:r>
      <w:r w:rsidR="008913D6">
        <w:t xml:space="preserve">Apart from the mentioned growth factors, </w:t>
      </w:r>
      <w:r w:rsidR="008913D6">
        <w:rPr>
          <w:color w:val="auto"/>
        </w:rPr>
        <w:t>t</w:t>
      </w:r>
      <w:r w:rsidRPr="008972D8">
        <w:rPr>
          <w:color w:val="auto"/>
        </w:rPr>
        <w:t xml:space="preserve">he country’s electricity demand is </w:t>
      </w:r>
      <w:r w:rsidR="008913D6">
        <w:rPr>
          <w:color w:val="auto"/>
        </w:rPr>
        <w:t xml:space="preserve">also </w:t>
      </w:r>
      <w:r w:rsidRPr="008972D8">
        <w:rPr>
          <w:color w:val="auto"/>
        </w:rPr>
        <w:t xml:space="preserve">expected to rise substantially </w:t>
      </w:r>
      <w:r w:rsidR="0027105D">
        <w:t>due to</w:t>
      </w:r>
      <w:r w:rsidR="0027105D" w:rsidRPr="0024042D">
        <w:t xml:space="preserve"> </w:t>
      </w:r>
      <w:r w:rsidRPr="008972D8">
        <w:rPr>
          <w:color w:val="auto"/>
        </w:rPr>
        <w:t>industrial expansion</w:t>
      </w:r>
      <w:r w:rsidR="008913D6" w:rsidRPr="008913D6">
        <w:rPr>
          <w:color w:val="auto"/>
        </w:rPr>
        <w:t xml:space="preserve"> </w:t>
      </w:r>
      <w:r w:rsidR="008913D6" w:rsidRPr="008972D8">
        <w:rPr>
          <w:color w:val="auto"/>
        </w:rPr>
        <w:t>over the next decade</w:t>
      </w:r>
      <w:r w:rsidRPr="008972D8">
        <w:rPr>
          <w:color w:val="auto"/>
        </w:rPr>
        <w:t xml:space="preserve">. </w:t>
      </w:r>
      <w:r w:rsidR="003613D3" w:rsidRPr="004E3FD5">
        <w:t>Conversely,</w:t>
      </w:r>
      <w:r w:rsidR="003613D3">
        <w:t xml:space="preserve"> improvements in</w:t>
      </w:r>
      <w:r w:rsidR="003613D3" w:rsidRPr="004E3FD5">
        <w:t xml:space="preserve"> energy efficiency </w:t>
      </w:r>
      <w:r w:rsidR="003613D3">
        <w:t xml:space="preserve">have a </w:t>
      </w:r>
      <w:r w:rsidR="00C23006">
        <w:t>dampening</w:t>
      </w:r>
      <w:r w:rsidR="003613D3">
        <w:t xml:space="preserve"> effect on</w:t>
      </w:r>
      <w:r w:rsidR="003613D3" w:rsidRPr="004E3FD5">
        <w:t xml:space="preserve"> </w:t>
      </w:r>
      <w:r w:rsidR="00D91C24" w:rsidRPr="004E3FD5">
        <w:t>consumption</w:t>
      </w:r>
      <w:r w:rsidR="00D91C24">
        <w:t>.</w:t>
      </w:r>
      <w:r w:rsidR="00D91C24" w:rsidRPr="00D91C24">
        <w:rPr>
          <w:color w:val="auto"/>
        </w:rPr>
        <w:t xml:space="preserve"> </w:t>
      </w:r>
      <w:proofErr w:type="gramStart"/>
      <w:r w:rsidR="00D91C24" w:rsidRPr="00D91C24">
        <w:rPr>
          <w:color w:val="auto"/>
        </w:rPr>
        <w:t>In light of</w:t>
      </w:r>
      <w:proofErr w:type="gramEnd"/>
      <w:r w:rsidR="00D91C24" w:rsidRPr="00D91C24">
        <w:rPr>
          <w:color w:val="auto"/>
        </w:rPr>
        <w:t xml:space="preserve"> these dynamics, forecasting Uzbekistan's electricity demand over the coming years is essential</w:t>
      </w:r>
      <w:r w:rsidR="00426190">
        <w:rPr>
          <w:color w:val="auto"/>
        </w:rPr>
        <w:t xml:space="preserve"> </w:t>
      </w:r>
      <w:r w:rsidR="00426190" w:rsidRPr="0024042D">
        <w:t>to make the right investment choices to meet the electricity demand in the most cost-efficient way without endangering energy security</w:t>
      </w:r>
      <w:r w:rsidR="00D91C24" w:rsidRPr="00D91C24">
        <w:rPr>
          <w:color w:val="auto"/>
        </w:rPr>
        <w:t xml:space="preserve">. </w:t>
      </w:r>
    </w:p>
    <w:p w14:paraId="3A5283BC" w14:textId="0D97399D" w:rsidR="008972D8" w:rsidRPr="00D91C24" w:rsidRDefault="008972D8" w:rsidP="00DE2631">
      <w:pPr>
        <w:pStyle w:val="Fliesstext"/>
        <w:rPr>
          <w:color w:val="auto"/>
        </w:rPr>
      </w:pPr>
      <w:r w:rsidRPr="008972D8">
        <w:rPr>
          <w:color w:val="auto"/>
        </w:rPr>
        <w:t xml:space="preserve">This </w:t>
      </w:r>
      <w:r w:rsidR="00370EEB">
        <w:rPr>
          <w:color w:val="auto"/>
        </w:rPr>
        <w:t>study</w:t>
      </w:r>
      <w:r w:rsidRPr="008972D8">
        <w:rPr>
          <w:color w:val="auto"/>
        </w:rPr>
        <w:t xml:space="preserve"> aims to </w:t>
      </w:r>
      <w:r w:rsidRPr="00437E6A">
        <w:rPr>
          <w:b/>
          <w:bCs/>
          <w:color w:val="auto"/>
        </w:rPr>
        <w:t>forecast Uzbekistan's electricity demand for 2030 and 2035</w:t>
      </w:r>
      <w:r w:rsidRPr="008972D8">
        <w:rPr>
          <w:color w:val="auto"/>
        </w:rPr>
        <w:t xml:space="preserve">. </w:t>
      </w:r>
      <w:r w:rsidR="0087107F" w:rsidRPr="0087107F">
        <w:rPr>
          <w:color w:val="auto"/>
        </w:rPr>
        <w:t>By evaluating multiple scenarios, th</w:t>
      </w:r>
      <w:r w:rsidR="0087107F">
        <w:rPr>
          <w:color w:val="auto"/>
        </w:rPr>
        <w:t xml:space="preserve">e study </w:t>
      </w:r>
      <w:r w:rsidR="0087107F" w:rsidRPr="0087107F">
        <w:rPr>
          <w:color w:val="auto"/>
        </w:rPr>
        <w:t>seeks to provide insights into potential future electricity consumption patterns, assess the implications of different growth trajectories, and inform policymakers about the strategic planning necessary to meet anticipated demand</w:t>
      </w:r>
      <w:r w:rsidR="009B48A7">
        <w:rPr>
          <w:color w:val="auto"/>
        </w:rPr>
        <w:t xml:space="preserve"> wi</w:t>
      </w:r>
      <w:r w:rsidR="009B48A7" w:rsidRPr="009B48A7">
        <w:rPr>
          <w:color w:val="auto"/>
        </w:rPr>
        <w:t>thout incurring excessive costs</w:t>
      </w:r>
      <w:r w:rsidR="0087107F" w:rsidRPr="0087107F">
        <w:rPr>
          <w:color w:val="auto"/>
        </w:rPr>
        <w:t>. Understanding these dynamics is crucial for ensuring that Uzbekistan's energy infrastructure can support economic growth while also transitioning to a more sustainable energy model.</w:t>
      </w:r>
    </w:p>
    <w:p w14:paraId="04B9B2E5" w14:textId="225F079C" w:rsidR="00132006" w:rsidRPr="00E30622" w:rsidRDefault="00DE2631" w:rsidP="00E30622">
      <w:pPr>
        <w:pStyle w:val="Fliesstext"/>
        <w:rPr>
          <w:color w:val="auto"/>
        </w:rPr>
      </w:pPr>
      <w:r w:rsidRPr="004E457A">
        <w:rPr>
          <w:color w:val="auto"/>
        </w:rPr>
        <w:t xml:space="preserve">This policy </w:t>
      </w:r>
      <w:r w:rsidR="0024286B" w:rsidRPr="004E457A">
        <w:rPr>
          <w:color w:val="auto"/>
        </w:rPr>
        <w:t>study</w:t>
      </w:r>
      <w:r w:rsidRPr="004E457A">
        <w:rPr>
          <w:color w:val="auto"/>
        </w:rPr>
        <w:t xml:space="preserve"> is structured as follows. </w:t>
      </w:r>
      <w:r w:rsidR="00FA05FC">
        <w:rPr>
          <w:color w:val="auto"/>
        </w:rPr>
        <w:t xml:space="preserve">Chapter </w:t>
      </w:r>
      <w:r w:rsidR="00FA05FC">
        <w:rPr>
          <w:color w:val="auto"/>
        </w:rPr>
        <w:fldChar w:fldCharType="begin"/>
      </w:r>
      <w:r w:rsidR="00FA05FC">
        <w:rPr>
          <w:color w:val="auto"/>
        </w:rPr>
        <w:instrText xml:space="preserve"> REF _Ref181895048 \w \h </w:instrText>
      </w:r>
      <w:r w:rsidR="00FA05FC">
        <w:rPr>
          <w:color w:val="auto"/>
        </w:rPr>
      </w:r>
      <w:r w:rsidR="00FA05FC">
        <w:rPr>
          <w:color w:val="auto"/>
        </w:rPr>
        <w:fldChar w:fldCharType="separate"/>
      </w:r>
      <w:r w:rsidR="002401AF">
        <w:rPr>
          <w:color w:val="auto"/>
        </w:rPr>
        <w:t>2</w:t>
      </w:r>
      <w:r w:rsidR="00FA05FC">
        <w:rPr>
          <w:color w:val="auto"/>
        </w:rPr>
        <w:fldChar w:fldCharType="end"/>
      </w:r>
      <w:r w:rsidR="00FA05FC">
        <w:rPr>
          <w:color w:val="auto"/>
        </w:rPr>
        <w:t xml:space="preserve"> </w:t>
      </w:r>
      <w:r w:rsidR="00EB63B0" w:rsidRPr="00EB63B0">
        <w:rPr>
          <w:color w:val="auto"/>
        </w:rPr>
        <w:t xml:space="preserve">delves into the current economic landscape and electricity sector in Uzbekistan. Chapter </w:t>
      </w:r>
      <w:r w:rsidR="0010312B">
        <w:rPr>
          <w:color w:val="auto"/>
        </w:rPr>
        <w:fldChar w:fldCharType="begin"/>
      </w:r>
      <w:r w:rsidR="0010312B">
        <w:rPr>
          <w:color w:val="auto"/>
        </w:rPr>
        <w:instrText xml:space="preserve"> REF _Ref181895084 \r \h </w:instrText>
      </w:r>
      <w:r w:rsidR="0010312B">
        <w:rPr>
          <w:color w:val="auto"/>
        </w:rPr>
      </w:r>
      <w:r w:rsidR="0010312B">
        <w:rPr>
          <w:color w:val="auto"/>
        </w:rPr>
        <w:fldChar w:fldCharType="separate"/>
      </w:r>
      <w:r w:rsidR="002401AF">
        <w:rPr>
          <w:color w:val="auto"/>
        </w:rPr>
        <w:t>3</w:t>
      </w:r>
      <w:r w:rsidR="0010312B">
        <w:rPr>
          <w:color w:val="auto"/>
        </w:rPr>
        <w:fldChar w:fldCharType="end"/>
      </w:r>
      <w:r w:rsidR="00EB63B0" w:rsidRPr="00EB63B0">
        <w:rPr>
          <w:color w:val="auto"/>
        </w:rPr>
        <w:t xml:space="preserve"> offers an overview of long-term forecasting methods, details the methodology employed, and outlines the various model variants developed. Chapter </w:t>
      </w:r>
      <w:r w:rsidR="0010312B">
        <w:rPr>
          <w:color w:val="auto"/>
        </w:rPr>
        <w:fldChar w:fldCharType="begin"/>
      </w:r>
      <w:r w:rsidR="0010312B">
        <w:rPr>
          <w:color w:val="auto"/>
        </w:rPr>
        <w:instrText xml:space="preserve"> REF _Ref181895105 \r \h </w:instrText>
      </w:r>
      <w:r w:rsidR="0010312B">
        <w:rPr>
          <w:color w:val="auto"/>
        </w:rPr>
      </w:r>
      <w:r w:rsidR="0010312B">
        <w:rPr>
          <w:color w:val="auto"/>
        </w:rPr>
        <w:fldChar w:fldCharType="separate"/>
      </w:r>
      <w:r w:rsidR="002401AF">
        <w:rPr>
          <w:color w:val="auto"/>
        </w:rPr>
        <w:t>4</w:t>
      </w:r>
      <w:r w:rsidR="0010312B">
        <w:rPr>
          <w:color w:val="auto"/>
        </w:rPr>
        <w:fldChar w:fldCharType="end"/>
      </w:r>
      <w:r w:rsidR="00EB63B0" w:rsidRPr="00EB63B0">
        <w:rPr>
          <w:color w:val="auto"/>
        </w:rPr>
        <w:t xml:space="preserve"> presents and analy</w:t>
      </w:r>
      <w:r w:rsidR="00EB63B0">
        <w:rPr>
          <w:color w:val="auto"/>
        </w:rPr>
        <w:t>s</w:t>
      </w:r>
      <w:r w:rsidR="00EB63B0" w:rsidRPr="00EB63B0">
        <w:rPr>
          <w:color w:val="auto"/>
        </w:rPr>
        <w:t>es the results of the models. Finally, Chapter</w:t>
      </w:r>
      <w:r w:rsidR="008A6546">
        <w:rPr>
          <w:color w:val="auto"/>
        </w:rPr>
        <w:t xml:space="preserve"> </w:t>
      </w:r>
      <w:r w:rsidR="00CE30D3">
        <w:rPr>
          <w:color w:val="auto"/>
        </w:rPr>
        <w:fldChar w:fldCharType="begin"/>
      </w:r>
      <w:r w:rsidR="00CE30D3">
        <w:rPr>
          <w:color w:val="auto"/>
        </w:rPr>
        <w:instrText xml:space="preserve"> REF _Ref182314745 \r \h </w:instrText>
      </w:r>
      <w:r w:rsidR="00CE30D3">
        <w:rPr>
          <w:color w:val="auto"/>
        </w:rPr>
      </w:r>
      <w:r w:rsidR="00CE30D3">
        <w:rPr>
          <w:color w:val="auto"/>
        </w:rPr>
        <w:fldChar w:fldCharType="separate"/>
      </w:r>
      <w:r w:rsidR="002401AF">
        <w:rPr>
          <w:color w:val="auto"/>
        </w:rPr>
        <w:t>5</w:t>
      </w:r>
      <w:r w:rsidR="00CE30D3">
        <w:rPr>
          <w:color w:val="auto"/>
        </w:rPr>
        <w:fldChar w:fldCharType="end"/>
      </w:r>
      <w:r w:rsidR="00C9473F">
        <w:rPr>
          <w:color w:val="auto"/>
        </w:rPr>
        <w:t xml:space="preserve"> </w:t>
      </w:r>
      <w:r w:rsidR="00EB63B0" w:rsidRPr="00EB63B0">
        <w:rPr>
          <w:color w:val="auto"/>
        </w:rPr>
        <w:t xml:space="preserve">discusses potential </w:t>
      </w:r>
      <w:r w:rsidR="00CE30D3">
        <w:rPr>
          <w:color w:val="auto"/>
        </w:rPr>
        <w:t xml:space="preserve">implications for </w:t>
      </w:r>
      <w:r w:rsidR="003B196A" w:rsidRPr="00EB63B0">
        <w:rPr>
          <w:color w:val="auto"/>
        </w:rPr>
        <w:t>policy</w:t>
      </w:r>
      <w:r w:rsidR="003B196A">
        <w:rPr>
          <w:color w:val="auto"/>
        </w:rPr>
        <w:t>making</w:t>
      </w:r>
      <w:r w:rsidR="00E30622">
        <w:rPr>
          <w:color w:val="auto"/>
        </w:rPr>
        <w:t xml:space="preserve">, and </w:t>
      </w:r>
      <w:r w:rsidR="003B196A">
        <w:rPr>
          <w:color w:val="auto"/>
        </w:rPr>
        <w:t>C</w:t>
      </w:r>
      <w:r w:rsidR="00E30622">
        <w:rPr>
          <w:color w:val="auto"/>
        </w:rPr>
        <w:t xml:space="preserve">hapter </w:t>
      </w:r>
      <w:r w:rsidR="00E30622">
        <w:rPr>
          <w:color w:val="auto"/>
        </w:rPr>
        <w:fldChar w:fldCharType="begin"/>
      </w:r>
      <w:r w:rsidR="00E30622">
        <w:rPr>
          <w:color w:val="auto"/>
        </w:rPr>
        <w:instrText xml:space="preserve"> REF _Ref181895137 \r \h </w:instrText>
      </w:r>
      <w:r w:rsidR="00E30622">
        <w:rPr>
          <w:color w:val="auto"/>
        </w:rPr>
      </w:r>
      <w:r w:rsidR="00E30622">
        <w:rPr>
          <w:color w:val="auto"/>
        </w:rPr>
        <w:fldChar w:fldCharType="separate"/>
      </w:r>
      <w:r w:rsidR="002401AF">
        <w:rPr>
          <w:color w:val="auto"/>
        </w:rPr>
        <w:t>6</w:t>
      </w:r>
      <w:r w:rsidR="00E30622">
        <w:rPr>
          <w:color w:val="auto"/>
        </w:rPr>
        <w:fldChar w:fldCharType="end"/>
      </w:r>
      <w:r w:rsidR="00E30622">
        <w:rPr>
          <w:color w:val="auto"/>
        </w:rPr>
        <w:t xml:space="preserve"> concludes.</w:t>
      </w:r>
    </w:p>
    <w:p w14:paraId="35A4D118" w14:textId="6EB62E02" w:rsidR="00675C62" w:rsidRDefault="00675C62" w:rsidP="00EF390D">
      <w:pPr>
        <w:pStyle w:val="berschrift1"/>
      </w:pPr>
      <w:bookmarkStart w:id="6" w:name="_Ref181895015"/>
      <w:bookmarkStart w:id="7" w:name="_Ref181895038"/>
      <w:bookmarkStart w:id="8" w:name="_Ref181895044"/>
      <w:bookmarkStart w:id="9" w:name="_Ref181895048"/>
      <w:bookmarkStart w:id="10" w:name="_Toc182575126"/>
      <w:r>
        <w:t>Country context</w:t>
      </w:r>
      <w:bookmarkEnd w:id="6"/>
      <w:bookmarkEnd w:id="7"/>
      <w:bookmarkEnd w:id="8"/>
      <w:bookmarkEnd w:id="9"/>
      <w:bookmarkEnd w:id="10"/>
    </w:p>
    <w:p w14:paraId="05B49893" w14:textId="0933A12A" w:rsidR="00FE5A87" w:rsidRPr="00FE5A87" w:rsidRDefault="00FE5A87" w:rsidP="00FE5A87">
      <w:pPr>
        <w:pStyle w:val="Fliesstext"/>
        <w:rPr>
          <w:lang w:eastAsia="ja-JP"/>
        </w:rPr>
      </w:pPr>
      <w:r w:rsidRPr="00FE5A87">
        <w:rPr>
          <w:lang w:eastAsia="ja-JP"/>
        </w:rPr>
        <w:t>This section provides an overview of the key factors driving electricity demand in Uzbekistan and the challenges the energy sector faces in meeting these needs, as well as the ongoing reforms designed to modernise the sector and ensure it can support the country’s future growth.</w:t>
      </w:r>
    </w:p>
    <w:p w14:paraId="200B6436" w14:textId="301720C5" w:rsidR="008316F6" w:rsidRDefault="008316F6" w:rsidP="008316F6">
      <w:pPr>
        <w:pStyle w:val="berschrift2"/>
      </w:pPr>
      <w:bookmarkStart w:id="11" w:name="_Toc182575127"/>
      <w:r>
        <w:t>Electricity sector development and challenges</w:t>
      </w:r>
      <w:bookmarkEnd w:id="11"/>
    </w:p>
    <w:p w14:paraId="1C8BE4D2" w14:textId="1A451E80" w:rsidR="00675C62" w:rsidRDefault="00D94889" w:rsidP="00675C62">
      <w:pPr>
        <w:pStyle w:val="Fliesstext"/>
        <w:rPr>
          <w:rFonts w:cs="Calibri"/>
          <w:color w:val="auto"/>
          <w:szCs w:val="22"/>
        </w:rPr>
      </w:pPr>
      <w:r w:rsidRPr="00D94889">
        <w:rPr>
          <w:rFonts w:cs="Calibri"/>
          <w:color w:val="auto"/>
          <w:szCs w:val="22"/>
        </w:rPr>
        <w:t>Uzbekistan's economy has grown consistently over the past two decades, with GDP in constant 2020 UZS rising</w:t>
      </w:r>
      <w:r>
        <w:rPr>
          <w:rFonts w:cs="Calibri"/>
          <w:color w:val="auto"/>
          <w:szCs w:val="22"/>
        </w:rPr>
        <w:t xml:space="preserve"> </w:t>
      </w:r>
      <w:r w:rsidR="005020DA" w:rsidRPr="00AA46AF">
        <w:rPr>
          <w:rFonts w:cs="Calibri"/>
          <w:color w:val="auto"/>
          <w:szCs w:val="22"/>
        </w:rPr>
        <w:t>from UZS 175 trillion in 2000 to UZS 728 trillion in 2023</w:t>
      </w:r>
      <w:r w:rsidR="005020DA">
        <w:rPr>
          <w:rFonts w:cs="Calibri"/>
          <w:color w:val="auto"/>
          <w:szCs w:val="22"/>
        </w:rPr>
        <w:t xml:space="preserve"> and </w:t>
      </w:r>
      <w:r w:rsidR="00675C62" w:rsidRPr="003C7319">
        <w:rPr>
          <w:rFonts w:cs="Calibri"/>
          <w:color w:val="auto"/>
          <w:szCs w:val="22"/>
        </w:rPr>
        <w:t xml:space="preserve">is projected </w:t>
      </w:r>
      <w:r w:rsidR="00675C62" w:rsidRPr="0089297E">
        <w:rPr>
          <w:rFonts w:cs="Calibri"/>
          <w:color w:val="auto"/>
          <w:szCs w:val="22"/>
        </w:rPr>
        <w:t xml:space="preserve">to </w:t>
      </w:r>
      <w:r w:rsidR="008028A9" w:rsidRPr="0089297E">
        <w:rPr>
          <w:rFonts w:cs="Calibri"/>
          <w:color w:val="auto"/>
          <w:szCs w:val="22"/>
        </w:rPr>
        <w:t xml:space="preserve">reach </w:t>
      </w:r>
      <w:r w:rsidR="005020DA" w:rsidRPr="0089297E">
        <w:rPr>
          <w:rFonts w:cs="Calibri"/>
          <w:color w:val="auto"/>
          <w:szCs w:val="22"/>
        </w:rPr>
        <w:t xml:space="preserve">UZS </w:t>
      </w:r>
      <w:r w:rsidR="007E59AB" w:rsidRPr="0089297E">
        <w:rPr>
          <w:rFonts w:cs="Calibri"/>
          <w:color w:val="auto"/>
          <w:szCs w:val="22"/>
        </w:rPr>
        <w:t>1</w:t>
      </w:r>
      <w:r w:rsidR="007E6006" w:rsidRPr="0089297E">
        <w:rPr>
          <w:rFonts w:cs="Calibri"/>
          <w:color w:val="auto"/>
          <w:szCs w:val="22"/>
        </w:rPr>
        <w:t xml:space="preserve">,055 trillion </w:t>
      </w:r>
      <w:r w:rsidR="00675C62" w:rsidRPr="0089297E">
        <w:rPr>
          <w:rFonts w:cs="Calibri"/>
          <w:color w:val="auto"/>
          <w:szCs w:val="22"/>
        </w:rPr>
        <w:t>by 2030</w:t>
      </w:r>
      <w:r w:rsidR="00AA46AF">
        <w:rPr>
          <w:rFonts w:cs="Calibri"/>
          <w:color w:val="auto"/>
          <w:szCs w:val="22"/>
        </w:rPr>
        <w:t>.</w:t>
      </w:r>
      <w:r w:rsidR="00BA1672">
        <w:rPr>
          <w:rStyle w:val="Funotenzeichen"/>
          <w:rFonts w:cs="Calibri"/>
          <w:color w:val="auto"/>
          <w:szCs w:val="22"/>
        </w:rPr>
        <w:footnoteReference w:id="2"/>
      </w:r>
      <w:r w:rsidR="00EA70C5" w:rsidRPr="00EA70C5">
        <w:rPr>
          <w:rFonts w:cs="Calibri"/>
          <w:color w:val="auto"/>
          <w:szCs w:val="22"/>
          <w:vertAlign w:val="superscript"/>
        </w:rPr>
        <w:t>,</w:t>
      </w:r>
      <w:r w:rsidR="00EA70C5">
        <w:rPr>
          <w:rStyle w:val="Funotenzeichen"/>
          <w:rFonts w:cs="Calibri"/>
          <w:color w:val="auto"/>
          <w:szCs w:val="22"/>
        </w:rPr>
        <w:footnoteReference w:id="3"/>
      </w:r>
      <w:r w:rsidR="00AA46AF">
        <w:rPr>
          <w:rFonts w:cs="Calibri"/>
          <w:color w:val="auto"/>
          <w:szCs w:val="22"/>
        </w:rPr>
        <w:t xml:space="preserve"> </w:t>
      </w:r>
      <w:r w:rsidR="00AA46AF" w:rsidRPr="00AA46AF">
        <w:rPr>
          <w:rFonts w:cs="Calibri"/>
          <w:color w:val="auto"/>
          <w:szCs w:val="22"/>
        </w:rPr>
        <w:t xml:space="preserve">Annual growth rates fluctuated, peaking at 9.5% in 2007 and remaining high during the late 2000s. </w:t>
      </w:r>
      <w:r w:rsidR="00BA2E70" w:rsidRPr="00BA2E70">
        <w:rPr>
          <w:rFonts w:cs="Calibri"/>
          <w:color w:val="auto"/>
          <w:szCs w:val="22"/>
        </w:rPr>
        <w:t>However, it should be noted that statistical figures prior to 2017 are not considered particularly reliable</w:t>
      </w:r>
      <w:r w:rsidR="00BA2E70">
        <w:rPr>
          <w:rFonts w:cs="Calibri"/>
          <w:color w:val="auto"/>
          <w:szCs w:val="22"/>
        </w:rPr>
        <w:t xml:space="preserve">. </w:t>
      </w:r>
      <w:r w:rsidR="008F3E49" w:rsidRPr="008F3E49">
        <w:rPr>
          <w:rFonts w:cs="Calibri"/>
          <w:color w:val="auto"/>
          <w:szCs w:val="22"/>
        </w:rPr>
        <w:t xml:space="preserve">After a </w:t>
      </w:r>
      <w:r w:rsidR="008F3E49" w:rsidRPr="008F3E49">
        <w:rPr>
          <w:rFonts w:cs="Calibri"/>
          <w:color w:val="auto"/>
          <w:szCs w:val="22"/>
        </w:rPr>
        <w:lastRenderedPageBreak/>
        <w:t>slowdown to 4.4% in 2017, the economy rebounded in subsequent years, despite a dip to 2% in 2020 due to the COVID-19 pandemic</w:t>
      </w:r>
      <w:r w:rsidR="00AA46AF" w:rsidRPr="00AA46AF">
        <w:rPr>
          <w:rFonts w:cs="Calibri"/>
          <w:color w:val="auto"/>
          <w:szCs w:val="22"/>
        </w:rPr>
        <w:t xml:space="preserve">. </w:t>
      </w:r>
      <w:r w:rsidR="00587389">
        <w:rPr>
          <w:rFonts w:cs="Calibri"/>
          <w:color w:val="auto"/>
          <w:szCs w:val="22"/>
        </w:rPr>
        <w:t>Between 2021 and 2023</w:t>
      </w:r>
      <w:r w:rsidR="00AA46AF" w:rsidRPr="00AA46AF">
        <w:rPr>
          <w:rFonts w:cs="Calibri"/>
          <w:color w:val="auto"/>
          <w:szCs w:val="22"/>
        </w:rPr>
        <w:t xml:space="preserve">, </w:t>
      </w:r>
      <w:r w:rsidR="003A2A1C">
        <w:rPr>
          <w:rFonts w:cs="Calibri"/>
          <w:color w:val="auto"/>
          <w:szCs w:val="22"/>
        </w:rPr>
        <w:t xml:space="preserve">real </w:t>
      </w:r>
      <w:r w:rsidR="00AA46AF" w:rsidRPr="00AA46AF">
        <w:rPr>
          <w:rFonts w:cs="Calibri"/>
          <w:color w:val="auto"/>
          <w:szCs w:val="22"/>
        </w:rPr>
        <w:t xml:space="preserve">GDP growth </w:t>
      </w:r>
      <w:r w:rsidR="0077610C">
        <w:rPr>
          <w:rFonts w:cs="Calibri"/>
          <w:color w:val="auto"/>
          <w:szCs w:val="22"/>
        </w:rPr>
        <w:t xml:space="preserve">reached around </w:t>
      </w:r>
      <w:r w:rsidR="00E066F5">
        <w:rPr>
          <w:rFonts w:cs="Calibri"/>
          <w:color w:val="auto"/>
          <w:szCs w:val="22"/>
        </w:rPr>
        <w:t>6</w:t>
      </w:r>
      <w:r w:rsidR="00AA46AF" w:rsidRPr="00AA46AF">
        <w:rPr>
          <w:rFonts w:cs="Calibri"/>
          <w:color w:val="auto"/>
          <w:szCs w:val="22"/>
        </w:rPr>
        <w:t>%</w:t>
      </w:r>
      <w:r w:rsidR="0077610C">
        <w:rPr>
          <w:rFonts w:cs="Calibri"/>
          <w:color w:val="auto"/>
          <w:szCs w:val="22"/>
        </w:rPr>
        <w:t xml:space="preserve"> p.a.</w:t>
      </w:r>
      <w:r w:rsidR="00AA46AF" w:rsidRPr="00AA46AF">
        <w:rPr>
          <w:rFonts w:cs="Calibri"/>
          <w:color w:val="auto"/>
          <w:szCs w:val="22"/>
        </w:rPr>
        <w:t>, reflecting a stable recovery.</w:t>
      </w:r>
      <w:r w:rsidR="00E27961">
        <w:rPr>
          <w:rFonts w:cs="Calibri"/>
          <w:color w:val="auto"/>
          <w:szCs w:val="22"/>
        </w:rPr>
        <w:t xml:space="preserve"> Such growth </w:t>
      </w:r>
      <w:r w:rsidR="00675C62" w:rsidRPr="003C7319">
        <w:rPr>
          <w:rFonts w:cs="Calibri"/>
          <w:color w:val="auto"/>
          <w:szCs w:val="22"/>
        </w:rPr>
        <w:t>spur</w:t>
      </w:r>
      <w:r w:rsidR="00E27961">
        <w:rPr>
          <w:rFonts w:cs="Calibri"/>
          <w:color w:val="auto"/>
          <w:szCs w:val="22"/>
        </w:rPr>
        <w:t>s</w:t>
      </w:r>
      <w:r w:rsidR="00675C62" w:rsidRPr="003C7319">
        <w:rPr>
          <w:rFonts w:cs="Calibri"/>
          <w:color w:val="auto"/>
          <w:szCs w:val="22"/>
        </w:rPr>
        <w:t xml:space="preserve"> greater energy consumption across industries and households. In tandem with economic growth, the living standards of Uzbekistan’s citizens have been rising, resulting in increased use of electricity-intensive appliances and equipment. </w:t>
      </w:r>
    </w:p>
    <w:p w14:paraId="013E2844" w14:textId="1366B153" w:rsidR="002601AD" w:rsidRPr="002601AD" w:rsidRDefault="002601AD" w:rsidP="002601AD">
      <w:pPr>
        <w:pStyle w:val="Beschriftung"/>
        <w:rPr>
          <w:rFonts w:cs="calibri light (Überschriften)"/>
          <w:b w:val="0"/>
          <w:bCs/>
          <w:color w:val="104C91"/>
          <w:sz w:val="22"/>
          <w:lang w:val="en-GB"/>
        </w:rPr>
      </w:pPr>
      <w:r w:rsidRPr="002601AD">
        <w:rPr>
          <w:rFonts w:cs="calibri light (Überschriften)"/>
          <w:b w:val="0"/>
          <w:bCs/>
          <w:color w:val="104C91"/>
          <w:sz w:val="22"/>
          <w:lang w:val="en-GB"/>
        </w:rPr>
        <w:t xml:space="preserve">Figure </w:t>
      </w:r>
      <w:r w:rsidRPr="002601AD">
        <w:rPr>
          <w:rFonts w:cs="calibri light (Überschriften)"/>
          <w:b w:val="0"/>
          <w:bCs/>
          <w:color w:val="104C91"/>
          <w:sz w:val="22"/>
          <w:lang w:val="en-GB"/>
        </w:rPr>
        <w:fldChar w:fldCharType="begin"/>
      </w:r>
      <w:r w:rsidRPr="002601AD">
        <w:rPr>
          <w:rFonts w:cs="calibri light (Überschriften)"/>
          <w:b w:val="0"/>
          <w:bCs/>
          <w:color w:val="104C91"/>
          <w:sz w:val="22"/>
          <w:lang w:val="en-GB"/>
        </w:rPr>
        <w:instrText xml:space="preserve"> SEQ Figure \* ARABIC </w:instrText>
      </w:r>
      <w:r w:rsidRPr="002601AD">
        <w:rPr>
          <w:rFonts w:cs="calibri light (Überschriften)"/>
          <w:b w:val="0"/>
          <w:bCs/>
          <w:color w:val="104C91"/>
          <w:sz w:val="22"/>
          <w:lang w:val="en-GB"/>
        </w:rPr>
        <w:fldChar w:fldCharType="separate"/>
      </w:r>
      <w:r w:rsidR="002401AF">
        <w:rPr>
          <w:rFonts w:cs="calibri light (Überschriften)"/>
          <w:b w:val="0"/>
          <w:bCs/>
          <w:noProof/>
          <w:color w:val="104C91"/>
          <w:sz w:val="22"/>
          <w:lang w:val="en-GB"/>
        </w:rPr>
        <w:t>1</w:t>
      </w:r>
      <w:r w:rsidRPr="002601AD">
        <w:rPr>
          <w:rFonts w:cs="calibri light (Überschriften)"/>
          <w:b w:val="0"/>
          <w:bCs/>
          <w:color w:val="104C91"/>
          <w:sz w:val="22"/>
          <w:lang w:val="en-GB"/>
        </w:rPr>
        <w:fldChar w:fldCharType="end"/>
      </w:r>
      <w:r w:rsidRPr="002601AD">
        <w:rPr>
          <w:rFonts w:cs="calibri light (Überschriften)"/>
          <w:b w:val="0"/>
          <w:bCs/>
          <w:color w:val="104C91"/>
          <w:sz w:val="22"/>
          <w:lang w:val="en-GB"/>
        </w:rPr>
        <w:t xml:space="preserve">: GDP </w:t>
      </w:r>
      <w:r w:rsidR="00F72AE5">
        <w:rPr>
          <w:rFonts w:cs="calibri light (Überschriften)"/>
          <w:b w:val="0"/>
          <w:bCs/>
          <w:color w:val="104C91"/>
          <w:sz w:val="22"/>
          <w:lang w:val="en-GB"/>
        </w:rPr>
        <w:t xml:space="preserve">in constant prices </w:t>
      </w:r>
      <w:r w:rsidRPr="002601AD">
        <w:rPr>
          <w:rFonts w:cs="calibri light (Überschriften)"/>
          <w:b w:val="0"/>
          <w:bCs/>
          <w:color w:val="104C91"/>
          <w:sz w:val="22"/>
          <w:lang w:val="en-GB"/>
        </w:rPr>
        <w:t xml:space="preserve">and its </w:t>
      </w:r>
      <w:r w:rsidR="006640FE">
        <w:rPr>
          <w:rFonts w:cs="calibri light (Überschriften)"/>
          <w:b w:val="0"/>
          <w:bCs/>
          <w:color w:val="104C91"/>
          <w:sz w:val="22"/>
          <w:lang w:val="en-GB"/>
        </w:rPr>
        <w:t xml:space="preserve">real </w:t>
      </w:r>
      <w:r w:rsidRPr="002601AD">
        <w:rPr>
          <w:rFonts w:cs="calibri light (Überschriften)"/>
          <w:b w:val="0"/>
          <w:bCs/>
          <w:color w:val="104C91"/>
          <w:sz w:val="22"/>
          <w:lang w:val="en-GB"/>
        </w:rPr>
        <w:t>growth rate, 2000-2023</w:t>
      </w:r>
    </w:p>
    <w:p w14:paraId="5A707DF2" w14:textId="404BD594" w:rsidR="00675C62" w:rsidRPr="005278BD" w:rsidRDefault="00920FB1" w:rsidP="00675C62">
      <w:pPr>
        <w:pStyle w:val="Fliesstext"/>
        <w:spacing w:line="240" w:lineRule="auto"/>
        <w:jc w:val="both"/>
        <w:rPr>
          <w:rFonts w:cs="Calibri"/>
          <w:color w:val="auto"/>
          <w:szCs w:val="22"/>
        </w:rPr>
      </w:pPr>
      <w:r>
        <w:rPr>
          <w:noProof/>
        </w:rPr>
        <w:drawing>
          <wp:inline distT="0" distB="0" distL="0" distR="0" wp14:anchorId="384D63E3" wp14:editId="3C30A817">
            <wp:extent cx="5111750" cy="2592000"/>
            <wp:effectExtent l="0" t="0" r="0" b="0"/>
            <wp:docPr id="1059427782" name="Chart 1">
              <a:extLst xmlns:a="http://schemas.openxmlformats.org/drawingml/2006/main">
                <a:ext uri="{FF2B5EF4-FFF2-40B4-BE49-F238E27FC236}">
                  <a16:creationId xmlns:a16="http://schemas.microsoft.com/office/drawing/2014/main" id="{C9324312-498E-4EF0-AAA6-4668688323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89C8E2C" w14:textId="72D432D3" w:rsidR="00675C62" w:rsidRPr="005278BD" w:rsidRDefault="00675C62" w:rsidP="00675C62">
      <w:pPr>
        <w:pStyle w:val="Fliesstext"/>
        <w:spacing w:line="240" w:lineRule="auto"/>
        <w:jc w:val="both"/>
        <w:rPr>
          <w:rFonts w:cs="Calibri"/>
          <w:i/>
          <w:iCs/>
          <w:color w:val="auto"/>
          <w:szCs w:val="22"/>
        </w:rPr>
      </w:pPr>
      <w:r w:rsidRPr="005278BD">
        <w:rPr>
          <w:rFonts w:cs="Calibri"/>
          <w:i/>
          <w:iCs/>
          <w:color w:val="ADADAD"/>
          <w:sz w:val="18"/>
          <w:szCs w:val="18"/>
        </w:rPr>
        <w:t xml:space="preserve">Source: </w:t>
      </w:r>
      <w:r>
        <w:rPr>
          <w:rFonts w:cs="Calibri"/>
          <w:i/>
          <w:iCs/>
          <w:color w:val="ADADAD"/>
          <w:sz w:val="18"/>
          <w:szCs w:val="18"/>
        </w:rPr>
        <w:t>International Monetary Fund, World Economic Outlook, April 2024</w:t>
      </w:r>
      <w:r w:rsidR="0073799D">
        <w:rPr>
          <w:rFonts w:cs="Calibri"/>
          <w:i/>
          <w:iCs/>
          <w:color w:val="ADADAD"/>
          <w:sz w:val="18"/>
          <w:szCs w:val="18"/>
        </w:rPr>
        <w:t>.</w:t>
      </w:r>
      <w:r w:rsidR="000637A1">
        <w:rPr>
          <w:rFonts w:cs="Calibri"/>
          <w:i/>
          <w:iCs/>
          <w:color w:val="ADADAD"/>
          <w:sz w:val="18"/>
          <w:szCs w:val="18"/>
        </w:rPr>
        <w:t xml:space="preserve"> No</w:t>
      </w:r>
      <w:r w:rsidR="0086125C">
        <w:rPr>
          <w:rFonts w:cs="Calibri"/>
          <w:i/>
          <w:iCs/>
          <w:color w:val="ADADAD"/>
          <w:sz w:val="18"/>
          <w:szCs w:val="18"/>
        </w:rPr>
        <w:t xml:space="preserve">te: GDP at constant 2020 </w:t>
      </w:r>
      <w:r w:rsidR="00F442E1">
        <w:rPr>
          <w:rFonts w:cs="Calibri"/>
          <w:i/>
          <w:iCs/>
          <w:color w:val="ADADAD"/>
          <w:sz w:val="18"/>
          <w:szCs w:val="18"/>
        </w:rPr>
        <w:t>UZS</w:t>
      </w:r>
      <w:r w:rsidR="0086125C">
        <w:rPr>
          <w:rFonts w:cs="Calibri"/>
          <w:i/>
          <w:iCs/>
          <w:color w:val="ADADAD"/>
          <w:sz w:val="18"/>
          <w:szCs w:val="18"/>
        </w:rPr>
        <w:t>.</w:t>
      </w:r>
    </w:p>
    <w:p w14:paraId="61615537" w14:textId="328748CE" w:rsidR="00086DF9" w:rsidRDefault="00DA5A73" w:rsidP="00675C62">
      <w:pPr>
        <w:pStyle w:val="Fliesstext"/>
        <w:rPr>
          <w:rFonts w:cs="Calibri"/>
          <w:color w:val="auto"/>
          <w:szCs w:val="22"/>
        </w:rPr>
      </w:pPr>
      <w:r>
        <w:rPr>
          <w:rFonts w:cs="Calibri"/>
          <w:color w:val="auto"/>
          <w:szCs w:val="22"/>
        </w:rPr>
        <w:t xml:space="preserve">Uzbekistan’s </w:t>
      </w:r>
      <w:r w:rsidR="00675C62" w:rsidRPr="003C7319">
        <w:rPr>
          <w:rFonts w:cs="Calibri"/>
          <w:color w:val="auto"/>
          <w:szCs w:val="22"/>
        </w:rPr>
        <w:t xml:space="preserve">population </w:t>
      </w:r>
      <w:r w:rsidR="000D1D43">
        <w:rPr>
          <w:rFonts w:cs="Calibri"/>
          <w:color w:val="auto"/>
          <w:szCs w:val="22"/>
        </w:rPr>
        <w:t xml:space="preserve">has grown steadily since 2000, </w:t>
      </w:r>
      <w:r w:rsidR="00BE7D2A" w:rsidRPr="00BE7D2A">
        <w:rPr>
          <w:rFonts w:cs="Calibri"/>
          <w:color w:val="auto"/>
          <w:szCs w:val="22"/>
        </w:rPr>
        <w:t>with an annual growth rate rising from around 1.2% in the early 2000s to 2.05% in 2023. This growth is expected to continue, with the population projected to reach 43 million by 2030</w:t>
      </w:r>
      <w:r w:rsidR="0053016E" w:rsidRPr="0053016E">
        <w:rPr>
          <w:rFonts w:cs="Calibri"/>
          <w:color w:val="auto"/>
          <w:szCs w:val="22"/>
        </w:rPr>
        <w:t>.</w:t>
      </w:r>
      <w:r w:rsidR="0053016E">
        <w:rPr>
          <w:rFonts w:cs="Calibri"/>
          <w:color w:val="auto"/>
          <w:szCs w:val="22"/>
        </w:rPr>
        <w:t xml:space="preserve"> </w:t>
      </w:r>
      <w:r w:rsidR="00BE7D2A">
        <w:rPr>
          <w:rFonts w:cs="Calibri"/>
          <w:color w:val="auto"/>
          <w:szCs w:val="22"/>
        </w:rPr>
        <w:t>C</w:t>
      </w:r>
      <w:r w:rsidR="00D150B3" w:rsidRPr="00D150B3">
        <w:rPr>
          <w:rFonts w:cs="Calibri"/>
          <w:color w:val="auto"/>
          <w:szCs w:val="22"/>
        </w:rPr>
        <w:t>ombined with a trend toward</w:t>
      </w:r>
      <w:r w:rsidR="00045CD4" w:rsidRPr="003C7319">
        <w:rPr>
          <w:rFonts w:cs="Calibri"/>
          <w:color w:val="auto"/>
          <w:szCs w:val="22"/>
        </w:rPr>
        <w:t xml:space="preserve"> urbanisation</w:t>
      </w:r>
      <w:r w:rsidR="00D150B3" w:rsidRPr="00D150B3">
        <w:rPr>
          <w:rFonts w:cs="Calibri"/>
          <w:color w:val="auto"/>
          <w:szCs w:val="22"/>
        </w:rPr>
        <w:t>,</w:t>
      </w:r>
      <w:r w:rsidR="00675C62" w:rsidRPr="003C7319">
        <w:rPr>
          <w:rFonts w:cs="Calibri"/>
          <w:color w:val="auto"/>
          <w:szCs w:val="22"/>
        </w:rPr>
        <w:t xml:space="preserve"> </w:t>
      </w:r>
      <w:r w:rsidR="00BE7D2A">
        <w:rPr>
          <w:rFonts w:cs="Calibri"/>
          <w:color w:val="auto"/>
          <w:szCs w:val="22"/>
        </w:rPr>
        <w:t xml:space="preserve">this development </w:t>
      </w:r>
      <w:r w:rsidR="00A60B00">
        <w:rPr>
          <w:rFonts w:cs="Calibri"/>
          <w:color w:val="auto"/>
          <w:szCs w:val="22"/>
        </w:rPr>
        <w:t>will</w:t>
      </w:r>
      <w:r w:rsidR="00675C62" w:rsidRPr="003C7319">
        <w:rPr>
          <w:rFonts w:cs="Calibri"/>
          <w:color w:val="auto"/>
          <w:szCs w:val="22"/>
        </w:rPr>
        <w:t xml:space="preserve"> amplify the demand for reliable electricity services</w:t>
      </w:r>
      <w:r w:rsidR="00D150B3" w:rsidRPr="00D150B3">
        <w:rPr>
          <w:rFonts w:cs="Calibri"/>
          <w:color w:val="auto"/>
          <w:szCs w:val="22"/>
        </w:rPr>
        <w:t xml:space="preserve"> across the country.</w:t>
      </w:r>
    </w:p>
    <w:p w14:paraId="16C99EA7" w14:textId="47B17AD0" w:rsidR="00C46488" w:rsidRPr="00C46488" w:rsidRDefault="00C46488" w:rsidP="00C46488">
      <w:pPr>
        <w:pStyle w:val="Beschriftung"/>
        <w:rPr>
          <w:rFonts w:cs="calibri light (Überschriften)"/>
          <w:b w:val="0"/>
          <w:bCs/>
          <w:color w:val="104C91"/>
          <w:sz w:val="22"/>
          <w:lang w:val="en-GB"/>
        </w:rPr>
      </w:pPr>
      <w:r w:rsidRPr="00C46488">
        <w:rPr>
          <w:rFonts w:cs="calibri light (Überschriften)"/>
          <w:b w:val="0"/>
          <w:bCs/>
          <w:color w:val="104C91"/>
          <w:sz w:val="22"/>
          <w:lang w:val="en-GB"/>
        </w:rPr>
        <w:t xml:space="preserve">Figure </w:t>
      </w:r>
      <w:r w:rsidRPr="00C46488">
        <w:rPr>
          <w:rFonts w:cs="calibri light (Überschriften)"/>
          <w:b w:val="0"/>
          <w:bCs/>
          <w:color w:val="104C91"/>
          <w:sz w:val="22"/>
          <w:lang w:val="en-GB"/>
        </w:rPr>
        <w:fldChar w:fldCharType="begin"/>
      </w:r>
      <w:r w:rsidRPr="00C46488">
        <w:rPr>
          <w:rFonts w:cs="calibri light (Überschriften)"/>
          <w:b w:val="0"/>
          <w:bCs/>
          <w:color w:val="104C91"/>
          <w:sz w:val="22"/>
          <w:lang w:val="en-GB"/>
        </w:rPr>
        <w:instrText xml:space="preserve"> SEQ Figure \* ARABIC </w:instrText>
      </w:r>
      <w:r w:rsidRPr="00C46488">
        <w:rPr>
          <w:rFonts w:cs="calibri light (Überschriften)"/>
          <w:b w:val="0"/>
          <w:bCs/>
          <w:color w:val="104C91"/>
          <w:sz w:val="22"/>
          <w:lang w:val="en-GB"/>
        </w:rPr>
        <w:fldChar w:fldCharType="separate"/>
      </w:r>
      <w:r w:rsidR="002401AF">
        <w:rPr>
          <w:rFonts w:cs="calibri light (Überschriften)"/>
          <w:b w:val="0"/>
          <w:bCs/>
          <w:noProof/>
          <w:color w:val="104C91"/>
          <w:sz w:val="22"/>
          <w:lang w:val="en-GB"/>
        </w:rPr>
        <w:t>2</w:t>
      </w:r>
      <w:r w:rsidRPr="00C46488">
        <w:rPr>
          <w:rFonts w:cs="calibri light (Überschriften)"/>
          <w:b w:val="0"/>
          <w:bCs/>
          <w:color w:val="104C91"/>
          <w:sz w:val="22"/>
          <w:lang w:val="en-GB"/>
        </w:rPr>
        <w:fldChar w:fldCharType="end"/>
      </w:r>
      <w:r w:rsidRPr="00C46488">
        <w:rPr>
          <w:rFonts w:cs="calibri light (Überschriften)"/>
          <w:b w:val="0"/>
          <w:bCs/>
          <w:color w:val="104C91"/>
          <w:sz w:val="22"/>
          <w:lang w:val="en-GB"/>
        </w:rPr>
        <w:t>: Population and its growth rate, 2000-202</w:t>
      </w:r>
      <w:r w:rsidR="00E50B2B">
        <w:rPr>
          <w:rFonts w:cs="calibri light (Überschriften)"/>
          <w:b w:val="0"/>
          <w:bCs/>
          <w:color w:val="104C91"/>
          <w:sz w:val="22"/>
          <w:lang w:val="en-GB"/>
        </w:rPr>
        <w:t>2</w:t>
      </w:r>
    </w:p>
    <w:p w14:paraId="4E18A971" w14:textId="0D3C909D" w:rsidR="00675C62" w:rsidRPr="005278BD" w:rsidRDefault="003D0424" w:rsidP="00675C62">
      <w:pPr>
        <w:pStyle w:val="Fliesstext"/>
        <w:spacing w:line="240" w:lineRule="auto"/>
        <w:jc w:val="both"/>
        <w:rPr>
          <w:rFonts w:cs="Calibri"/>
          <w:color w:val="auto"/>
          <w:szCs w:val="22"/>
        </w:rPr>
      </w:pPr>
      <w:r>
        <w:rPr>
          <w:noProof/>
        </w:rPr>
        <w:drawing>
          <wp:inline distT="0" distB="0" distL="0" distR="0" wp14:anchorId="67848CC2" wp14:editId="2BA62417">
            <wp:extent cx="5039995" cy="2592000"/>
            <wp:effectExtent l="0" t="0" r="8255" b="0"/>
            <wp:docPr id="1337099215" name="Chart 1">
              <a:extLst xmlns:a="http://schemas.openxmlformats.org/drawingml/2006/main">
                <a:ext uri="{FF2B5EF4-FFF2-40B4-BE49-F238E27FC236}">
                  <a16:creationId xmlns:a16="http://schemas.microsoft.com/office/drawing/2014/main" id="{0587CE57-E6FF-4C8C-8B43-1AD2C63D3C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2942CC" w14:textId="7E73A8B2" w:rsidR="00675C62" w:rsidRPr="005278BD" w:rsidRDefault="00675C62" w:rsidP="00675C62">
      <w:pPr>
        <w:pStyle w:val="Fliesstext"/>
        <w:spacing w:line="240" w:lineRule="auto"/>
        <w:jc w:val="both"/>
        <w:rPr>
          <w:rFonts w:cs="Calibri"/>
          <w:i/>
          <w:iCs/>
          <w:color w:val="auto"/>
          <w:szCs w:val="22"/>
        </w:rPr>
      </w:pPr>
      <w:r w:rsidRPr="005278BD">
        <w:rPr>
          <w:rFonts w:cs="Calibri"/>
          <w:i/>
          <w:iCs/>
          <w:color w:val="ADADAD"/>
          <w:sz w:val="18"/>
          <w:szCs w:val="18"/>
        </w:rPr>
        <w:t xml:space="preserve">Source: </w:t>
      </w:r>
      <w:r>
        <w:rPr>
          <w:rFonts w:cs="Calibri"/>
          <w:i/>
          <w:iCs/>
          <w:color w:val="ADADAD"/>
          <w:sz w:val="18"/>
          <w:szCs w:val="18"/>
        </w:rPr>
        <w:t>United Nations, World Populations Prospects 2024</w:t>
      </w:r>
    </w:p>
    <w:p w14:paraId="4F27FCE2" w14:textId="180E867D" w:rsidR="00086DF9" w:rsidRDefault="00086DF9" w:rsidP="00086DF9">
      <w:pPr>
        <w:pStyle w:val="Fliesstext"/>
        <w:rPr>
          <w:rFonts w:cs="Calibri"/>
          <w:color w:val="auto"/>
          <w:szCs w:val="22"/>
        </w:rPr>
      </w:pPr>
      <w:r w:rsidRPr="004C3EEC">
        <w:rPr>
          <w:rFonts w:cs="Calibri"/>
          <w:color w:val="auto"/>
          <w:szCs w:val="22"/>
        </w:rPr>
        <w:lastRenderedPageBreak/>
        <w:t xml:space="preserve">Uzbekistan’s energy system is under mounting pressure as rising </w:t>
      </w:r>
      <w:r w:rsidRPr="00E30622">
        <w:rPr>
          <w:rFonts w:cs="Calibri"/>
          <w:b/>
          <w:bCs/>
          <w:color w:val="auto"/>
          <w:szCs w:val="22"/>
        </w:rPr>
        <w:t>economic growth, industrialisation, and urbanisation</w:t>
      </w:r>
      <w:r w:rsidRPr="004C3EEC">
        <w:rPr>
          <w:rFonts w:cs="Calibri"/>
          <w:color w:val="auto"/>
          <w:szCs w:val="22"/>
        </w:rPr>
        <w:t xml:space="preserve"> fuel unprecedented demand for electricity. This increasing demand places strain on infrastructure, revealing </w:t>
      </w:r>
      <w:r w:rsidRPr="00E30622">
        <w:rPr>
          <w:rFonts w:cs="Calibri"/>
          <w:b/>
          <w:bCs/>
          <w:color w:val="auto"/>
          <w:szCs w:val="22"/>
        </w:rPr>
        <w:t>critical gaps in supply</w:t>
      </w:r>
      <w:r w:rsidR="00340B50" w:rsidRPr="00340B50">
        <w:rPr>
          <w:rFonts w:cs="Calibri"/>
          <w:b/>
          <w:bCs/>
          <w:color w:val="auto"/>
          <w:szCs w:val="22"/>
        </w:rPr>
        <w:t xml:space="preserve"> </w:t>
      </w:r>
      <w:r w:rsidR="00340B50" w:rsidRPr="00340B50">
        <w:rPr>
          <w:rFonts w:cs="Calibri"/>
          <w:color w:val="auto"/>
          <w:szCs w:val="22"/>
        </w:rPr>
        <w:t>and challenges in regional transmission</w:t>
      </w:r>
      <w:r w:rsidRPr="004C3EEC">
        <w:rPr>
          <w:rFonts w:cs="Calibri"/>
          <w:color w:val="auto"/>
          <w:szCs w:val="22"/>
        </w:rPr>
        <w:t>.</w:t>
      </w:r>
      <w:r>
        <w:rPr>
          <w:rFonts w:cs="Calibri"/>
          <w:color w:val="auto"/>
          <w:szCs w:val="22"/>
        </w:rPr>
        <w:t xml:space="preserve"> </w:t>
      </w:r>
      <w:r w:rsidR="00F23FA4" w:rsidRPr="00F23FA4">
        <w:rPr>
          <w:rFonts w:cs="Calibri"/>
          <w:color w:val="auto"/>
          <w:szCs w:val="22"/>
        </w:rPr>
        <w:t>Currently, highly subsidised</w:t>
      </w:r>
      <w:r w:rsidR="00044404" w:rsidRPr="00044404">
        <w:rPr>
          <w:rFonts w:cs="Calibri"/>
          <w:color w:val="auto"/>
          <w:szCs w:val="22"/>
        </w:rPr>
        <w:t xml:space="preserve"> </w:t>
      </w:r>
      <w:r w:rsidR="00044404" w:rsidRPr="00F23FA4">
        <w:rPr>
          <w:rFonts w:cs="Calibri"/>
          <w:color w:val="auto"/>
          <w:szCs w:val="22"/>
        </w:rPr>
        <w:t>electricity tariffs</w:t>
      </w:r>
      <w:r w:rsidR="00044404">
        <w:rPr>
          <w:rFonts w:cs="Calibri"/>
          <w:color w:val="auto"/>
          <w:szCs w:val="22"/>
        </w:rPr>
        <w:t xml:space="preserve"> </w:t>
      </w:r>
      <w:r w:rsidR="00F23FA4" w:rsidRPr="00F23FA4">
        <w:rPr>
          <w:rFonts w:cs="Calibri"/>
          <w:color w:val="auto"/>
          <w:szCs w:val="22"/>
        </w:rPr>
        <w:t>provide little incentives to save energy for consumers, are not attractive</w:t>
      </w:r>
      <w:r w:rsidR="001D62BF">
        <w:rPr>
          <w:rFonts w:cs="Calibri"/>
          <w:color w:val="auto"/>
          <w:szCs w:val="22"/>
        </w:rPr>
        <w:t xml:space="preserve"> </w:t>
      </w:r>
      <w:r w:rsidR="00F23FA4" w:rsidRPr="00F23FA4">
        <w:rPr>
          <w:rFonts w:cs="Calibri"/>
          <w:color w:val="auto"/>
          <w:szCs w:val="22"/>
        </w:rPr>
        <w:t>for energy system investors and create (quasi-)fiscal deficits for the government</w:t>
      </w:r>
      <w:r w:rsidR="001D62BF">
        <w:rPr>
          <w:rFonts w:cs="Calibri"/>
          <w:color w:val="auto"/>
          <w:szCs w:val="22"/>
        </w:rPr>
        <w:t xml:space="preserve">. Despite recent tariff reforms, </w:t>
      </w:r>
      <w:r w:rsidR="00983B55">
        <w:rPr>
          <w:rFonts w:cs="Calibri"/>
          <w:color w:val="auto"/>
          <w:szCs w:val="22"/>
        </w:rPr>
        <w:t xml:space="preserve">the </w:t>
      </w:r>
      <w:r w:rsidR="004B4208">
        <w:rPr>
          <w:rFonts w:cs="Calibri"/>
          <w:color w:val="auto"/>
          <w:szCs w:val="22"/>
        </w:rPr>
        <w:t xml:space="preserve">electricity prices are still not </w:t>
      </w:r>
      <w:proofErr w:type="gramStart"/>
      <w:r w:rsidR="004B4208">
        <w:rPr>
          <w:rFonts w:cs="Calibri"/>
          <w:color w:val="auto"/>
          <w:szCs w:val="22"/>
        </w:rPr>
        <w:t>cost-covering</w:t>
      </w:r>
      <w:proofErr w:type="gramEnd"/>
      <w:r w:rsidR="004B4208">
        <w:rPr>
          <w:rFonts w:cs="Calibri"/>
          <w:color w:val="auto"/>
          <w:szCs w:val="22"/>
        </w:rPr>
        <w:t xml:space="preserve">. </w:t>
      </w:r>
      <w:r w:rsidR="00F759F6" w:rsidRPr="00F759F6">
        <w:rPr>
          <w:rFonts w:cs="Calibri"/>
          <w:color w:val="auto"/>
          <w:szCs w:val="22"/>
        </w:rPr>
        <w:t xml:space="preserve">These gaps in supply, along with inefficiencies across sectors, highlight the urgent need for </w:t>
      </w:r>
      <w:r w:rsidR="00F759F6" w:rsidRPr="0025310E">
        <w:rPr>
          <w:rFonts w:cs="Calibri"/>
          <w:b/>
          <w:bCs/>
          <w:color w:val="auto"/>
          <w:szCs w:val="22"/>
        </w:rPr>
        <w:t>comprehensive reforms</w:t>
      </w:r>
      <w:r w:rsidR="00F759F6" w:rsidRPr="00F759F6">
        <w:rPr>
          <w:rFonts w:cs="Calibri"/>
          <w:color w:val="auto"/>
          <w:szCs w:val="22"/>
        </w:rPr>
        <w:t>.</w:t>
      </w:r>
      <w:r w:rsidR="00F759F6">
        <w:rPr>
          <w:rFonts w:cs="Calibri"/>
          <w:color w:val="auto"/>
          <w:szCs w:val="22"/>
        </w:rPr>
        <w:t xml:space="preserve"> </w:t>
      </w:r>
    </w:p>
    <w:p w14:paraId="4C1D5BFE" w14:textId="77777777" w:rsidR="00086DF9" w:rsidRDefault="00086DF9" w:rsidP="00086DF9">
      <w:pPr>
        <w:pStyle w:val="Fliesstext"/>
        <w:rPr>
          <w:rFonts w:cs="Calibri"/>
          <w:color w:val="auto"/>
          <w:szCs w:val="22"/>
        </w:rPr>
      </w:pPr>
      <w:r w:rsidRPr="009F70BF">
        <w:rPr>
          <w:rFonts w:cs="Calibri"/>
          <w:color w:val="auto"/>
          <w:szCs w:val="22"/>
        </w:rPr>
        <w:t>While substantial reforms have been underway since 2016 to liberalise Uzbekistan’s economy, the electricity sector remains constrained by legacy regulatory structures and operational inefficiencies.</w:t>
      </w:r>
      <w:r w:rsidRPr="008D3AD3">
        <w:rPr>
          <w:rFonts w:cs="Times New Roman"/>
          <w:color w:val="auto"/>
          <w:szCs w:val="18"/>
        </w:rPr>
        <w:t xml:space="preserve"> </w:t>
      </w:r>
      <w:r w:rsidRPr="008D3AD3">
        <w:rPr>
          <w:rFonts w:cs="Calibri"/>
          <w:color w:val="auto"/>
          <w:szCs w:val="22"/>
        </w:rPr>
        <w:t xml:space="preserve">These limitations hinder its scalability to meet future demands effectively. Reform is essential not only to </w:t>
      </w:r>
      <w:r w:rsidRPr="00E30622">
        <w:rPr>
          <w:rFonts w:cs="Calibri"/>
          <w:b/>
          <w:bCs/>
          <w:color w:val="auto"/>
          <w:szCs w:val="22"/>
        </w:rPr>
        <w:t>accommodate rising demand</w:t>
      </w:r>
      <w:r w:rsidRPr="008D3AD3">
        <w:rPr>
          <w:rFonts w:cs="Calibri"/>
          <w:color w:val="auto"/>
          <w:szCs w:val="22"/>
        </w:rPr>
        <w:t xml:space="preserve"> but, more fundamentally, to </w:t>
      </w:r>
      <w:r w:rsidRPr="00E30622">
        <w:rPr>
          <w:rFonts w:cs="Calibri"/>
          <w:b/>
          <w:bCs/>
          <w:color w:val="auto"/>
          <w:szCs w:val="22"/>
        </w:rPr>
        <w:t>address systemic inefficiencies</w:t>
      </w:r>
      <w:r w:rsidRPr="008D3AD3">
        <w:rPr>
          <w:rFonts w:cs="Calibri"/>
          <w:color w:val="auto"/>
          <w:szCs w:val="22"/>
        </w:rPr>
        <w:t xml:space="preserve"> and enable the energy sector to evolve into a resilient and sustainable foundation for Uzbekistan’s </w:t>
      </w:r>
      <w:r>
        <w:rPr>
          <w:rFonts w:cs="Calibri"/>
          <w:color w:val="auto"/>
          <w:szCs w:val="22"/>
        </w:rPr>
        <w:t>ongoing</w:t>
      </w:r>
      <w:r w:rsidRPr="008D3AD3">
        <w:rPr>
          <w:rFonts w:cs="Calibri"/>
          <w:color w:val="auto"/>
          <w:szCs w:val="22"/>
        </w:rPr>
        <w:t xml:space="preserve"> development.</w:t>
      </w:r>
      <w:r w:rsidRPr="00114190">
        <w:rPr>
          <w:rFonts w:cs="Calibri"/>
          <w:color w:val="auto"/>
          <w:szCs w:val="22"/>
        </w:rPr>
        <w:t xml:space="preserve"> </w:t>
      </w:r>
    </w:p>
    <w:p w14:paraId="50B17287" w14:textId="5AAA6B44" w:rsidR="00C46488" w:rsidRPr="00C46488" w:rsidRDefault="00C46488" w:rsidP="00C46488">
      <w:pPr>
        <w:pStyle w:val="Beschriftung"/>
        <w:rPr>
          <w:rFonts w:cs="calibri light (Überschriften)"/>
          <w:b w:val="0"/>
          <w:bCs/>
          <w:color w:val="104C91"/>
          <w:sz w:val="22"/>
          <w:lang w:val="en-GB"/>
        </w:rPr>
      </w:pPr>
      <w:r w:rsidRPr="00C46488">
        <w:rPr>
          <w:rFonts w:cs="calibri light (Überschriften)"/>
          <w:b w:val="0"/>
          <w:bCs/>
          <w:color w:val="104C91"/>
          <w:sz w:val="22"/>
          <w:lang w:val="en-GB"/>
        </w:rPr>
        <w:t xml:space="preserve">Figure </w:t>
      </w:r>
      <w:r w:rsidRPr="00C46488">
        <w:rPr>
          <w:rFonts w:cs="calibri light (Überschriften)"/>
          <w:b w:val="0"/>
          <w:bCs/>
          <w:color w:val="104C91"/>
          <w:sz w:val="22"/>
          <w:lang w:val="en-GB"/>
        </w:rPr>
        <w:fldChar w:fldCharType="begin"/>
      </w:r>
      <w:r w:rsidRPr="00C46488">
        <w:rPr>
          <w:rFonts w:cs="calibri light (Überschriften)"/>
          <w:b w:val="0"/>
          <w:bCs/>
          <w:color w:val="104C91"/>
          <w:sz w:val="22"/>
          <w:lang w:val="en-GB"/>
        </w:rPr>
        <w:instrText xml:space="preserve"> SEQ Figure \* ARABIC </w:instrText>
      </w:r>
      <w:r w:rsidRPr="00C46488">
        <w:rPr>
          <w:rFonts w:cs="calibri light (Überschriften)"/>
          <w:b w:val="0"/>
          <w:bCs/>
          <w:color w:val="104C91"/>
          <w:sz w:val="22"/>
          <w:lang w:val="en-GB"/>
        </w:rPr>
        <w:fldChar w:fldCharType="separate"/>
      </w:r>
      <w:r w:rsidR="002401AF">
        <w:rPr>
          <w:rFonts w:cs="calibri light (Überschriften)"/>
          <w:b w:val="0"/>
          <w:bCs/>
          <w:noProof/>
          <w:color w:val="104C91"/>
          <w:sz w:val="22"/>
          <w:lang w:val="en-GB"/>
        </w:rPr>
        <w:t>3</w:t>
      </w:r>
      <w:r w:rsidRPr="00C46488">
        <w:rPr>
          <w:rFonts w:cs="calibri light (Überschriften)"/>
          <w:b w:val="0"/>
          <w:bCs/>
          <w:color w:val="104C91"/>
          <w:sz w:val="22"/>
          <w:lang w:val="en-GB"/>
        </w:rPr>
        <w:fldChar w:fldCharType="end"/>
      </w:r>
      <w:r w:rsidRPr="00C46488">
        <w:rPr>
          <w:rFonts w:cs="calibri light (Überschriften)"/>
          <w:b w:val="0"/>
          <w:bCs/>
          <w:color w:val="104C91"/>
          <w:sz w:val="22"/>
          <w:lang w:val="en-GB"/>
        </w:rPr>
        <w:t xml:space="preserve">: Electricity </w:t>
      </w:r>
      <w:r w:rsidR="00190FF6">
        <w:rPr>
          <w:rFonts w:cs="calibri light (Überschriften)"/>
          <w:b w:val="0"/>
          <w:bCs/>
          <w:color w:val="104C91"/>
          <w:sz w:val="22"/>
          <w:lang w:val="en-GB"/>
        </w:rPr>
        <w:t>consumption</w:t>
      </w:r>
      <w:r w:rsidRPr="00C46488">
        <w:rPr>
          <w:rFonts w:cs="calibri light (Überschriften)"/>
          <w:b w:val="0"/>
          <w:bCs/>
          <w:color w:val="104C91"/>
          <w:sz w:val="22"/>
          <w:lang w:val="en-GB"/>
        </w:rPr>
        <w:t>, 2014-2023</w:t>
      </w:r>
    </w:p>
    <w:p w14:paraId="4CECA9A0" w14:textId="15406C83" w:rsidR="00675C62" w:rsidRDefault="004E2E41" w:rsidP="00675C62">
      <w:pPr>
        <w:pStyle w:val="Fliesstext"/>
        <w:spacing w:line="240" w:lineRule="auto"/>
        <w:jc w:val="both"/>
        <w:rPr>
          <w:rFonts w:cs="Calibri"/>
          <w:i/>
          <w:iCs/>
          <w:color w:val="ADADAD"/>
          <w:sz w:val="18"/>
          <w:szCs w:val="18"/>
          <w:highlight w:val="yellow"/>
        </w:rPr>
      </w:pPr>
      <w:r>
        <w:rPr>
          <w:noProof/>
        </w:rPr>
        <w:drawing>
          <wp:inline distT="0" distB="0" distL="0" distR="0" wp14:anchorId="638FA5AB" wp14:editId="29EB5325">
            <wp:extent cx="4968000" cy="2726972"/>
            <wp:effectExtent l="0" t="0" r="4445" b="0"/>
            <wp:docPr id="1698745472" name="Chart 1">
              <a:extLst xmlns:a="http://schemas.openxmlformats.org/drawingml/2006/main">
                <a:ext uri="{FF2B5EF4-FFF2-40B4-BE49-F238E27FC236}">
                  <a16:creationId xmlns:a16="http://schemas.microsoft.com/office/drawing/2014/main" id="{8B724C9C-71A0-4628-BD92-8F976138B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E344541" w14:textId="7B51939E" w:rsidR="00675C62" w:rsidRPr="005278BD" w:rsidRDefault="00675C62" w:rsidP="00675C62">
      <w:pPr>
        <w:pStyle w:val="Fliesstext"/>
        <w:spacing w:line="240" w:lineRule="auto"/>
        <w:jc w:val="both"/>
        <w:rPr>
          <w:rFonts w:cs="Calibri"/>
          <w:i/>
          <w:iCs/>
          <w:color w:val="auto"/>
          <w:szCs w:val="22"/>
        </w:rPr>
      </w:pPr>
      <w:r w:rsidRPr="00CF1329">
        <w:rPr>
          <w:rFonts w:cs="Calibri"/>
          <w:i/>
          <w:iCs/>
          <w:color w:val="ADADAD"/>
          <w:sz w:val="18"/>
          <w:szCs w:val="18"/>
        </w:rPr>
        <w:t xml:space="preserve">Source: </w:t>
      </w:r>
      <w:r w:rsidR="00836D76" w:rsidRPr="00CF1329">
        <w:rPr>
          <w:rFonts w:cs="Calibri"/>
          <w:i/>
          <w:iCs/>
          <w:color w:val="ADADAD"/>
          <w:sz w:val="18"/>
          <w:szCs w:val="18"/>
        </w:rPr>
        <w:t>CDC Energiya</w:t>
      </w:r>
    </w:p>
    <w:p w14:paraId="2859D948" w14:textId="34EC95D5" w:rsidR="00AD529D" w:rsidRDefault="00AD529D" w:rsidP="00AD529D">
      <w:pPr>
        <w:pStyle w:val="berschrift2"/>
      </w:pPr>
      <w:bookmarkStart w:id="12" w:name="_Toc182575128"/>
      <w:r>
        <w:t>Sector reforms and future needs</w:t>
      </w:r>
      <w:bookmarkEnd w:id="12"/>
    </w:p>
    <w:p w14:paraId="6BCB4C2C" w14:textId="07141442" w:rsidR="00AD6820" w:rsidRPr="000B633F" w:rsidRDefault="00AD6820" w:rsidP="00663920">
      <w:pPr>
        <w:pStyle w:val="Fliesstext"/>
        <w:spacing w:line="240" w:lineRule="auto"/>
        <w:rPr>
          <w:rFonts w:cs="Calibri"/>
          <w:szCs w:val="22"/>
        </w:rPr>
      </w:pPr>
      <w:r w:rsidRPr="000B633F">
        <w:rPr>
          <w:rFonts w:cs="Calibri"/>
          <w:szCs w:val="22"/>
        </w:rPr>
        <w:t>To address these challenges, Uzbekistan has introduced several policy changes and tariff adjustments aimed at fostering greater efficiency and financial sustainability in the energy sector. In 2024, the government implemented a tiered electricity tariff system that imposes higher rates on households with larger consumption levels. This approach encourages efficient energy use while easing the financial burden on low-consumption households. Additional tariff increases are scheduled for 2025 as part of the government's broader strategy to reduce subsidies and promote cost recovery within the sector.</w:t>
      </w:r>
      <w:r w:rsidRPr="000B633F">
        <w:rPr>
          <w:rStyle w:val="Funotenzeichen"/>
          <w:rFonts w:cs="Calibri"/>
          <w:szCs w:val="22"/>
        </w:rPr>
        <w:footnoteReference w:id="4"/>
      </w:r>
    </w:p>
    <w:p w14:paraId="71361803" w14:textId="518EAE26" w:rsidR="00AD6820" w:rsidRPr="000B633F" w:rsidRDefault="00AD6820" w:rsidP="00663920">
      <w:pPr>
        <w:pStyle w:val="Fliesstext"/>
        <w:spacing w:line="240" w:lineRule="auto"/>
        <w:rPr>
          <w:rFonts w:cs="Calibri"/>
          <w:szCs w:val="22"/>
        </w:rPr>
      </w:pPr>
      <w:r w:rsidRPr="000B633F">
        <w:rPr>
          <w:rFonts w:cs="Calibri"/>
          <w:szCs w:val="22"/>
        </w:rPr>
        <w:lastRenderedPageBreak/>
        <w:t xml:space="preserve">Moreover, Uzbekistan established the Agency for Development and Regulation of the Energy Market to oversee sector liberalisation. </w:t>
      </w:r>
      <w:r w:rsidR="00AD56E5" w:rsidRPr="000B633F">
        <w:rPr>
          <w:rFonts w:cs="Calibri"/>
          <w:szCs w:val="22"/>
        </w:rPr>
        <w:t>Since</w:t>
      </w:r>
      <w:r w:rsidRPr="000B633F">
        <w:rPr>
          <w:rFonts w:cs="Calibri"/>
          <w:szCs w:val="22"/>
        </w:rPr>
        <w:t xml:space="preserve"> 1 July 2024, centrali</w:t>
      </w:r>
      <w:r w:rsidR="00E73971" w:rsidRPr="000B633F">
        <w:rPr>
          <w:rFonts w:cs="Calibri"/>
          <w:szCs w:val="22"/>
        </w:rPr>
        <w:t>s</w:t>
      </w:r>
      <w:r w:rsidRPr="000B633F">
        <w:rPr>
          <w:rFonts w:cs="Calibri"/>
          <w:szCs w:val="22"/>
        </w:rPr>
        <w:t xml:space="preserve">ed electricity trading </w:t>
      </w:r>
      <w:r w:rsidR="00AD56E5" w:rsidRPr="000B633F">
        <w:rPr>
          <w:rFonts w:cs="Calibri"/>
          <w:szCs w:val="22"/>
        </w:rPr>
        <w:t>is</w:t>
      </w:r>
      <w:r w:rsidRPr="000B633F">
        <w:rPr>
          <w:rFonts w:cs="Calibri"/>
          <w:szCs w:val="22"/>
        </w:rPr>
        <w:t xml:space="preserve"> managed by </w:t>
      </w:r>
      <w:proofErr w:type="spellStart"/>
      <w:r w:rsidRPr="000B633F">
        <w:rPr>
          <w:rFonts w:cs="Calibri"/>
          <w:szCs w:val="22"/>
        </w:rPr>
        <w:t>Uzenergosotish</w:t>
      </w:r>
      <w:proofErr w:type="spellEnd"/>
      <w:r w:rsidRPr="000B633F">
        <w:rPr>
          <w:rFonts w:cs="Calibri"/>
          <w:szCs w:val="22"/>
        </w:rPr>
        <w:t xml:space="preserve"> JSC, fostering competition and attracting private investment</w:t>
      </w:r>
      <w:r w:rsidR="0046071E" w:rsidRPr="000B633F">
        <w:rPr>
          <w:rFonts w:cs="Calibri"/>
          <w:szCs w:val="22"/>
        </w:rPr>
        <w:t>.</w:t>
      </w:r>
      <w:r w:rsidRPr="000B633F">
        <w:rPr>
          <w:rStyle w:val="Funotenzeichen"/>
          <w:rFonts w:cs="Calibri"/>
          <w:szCs w:val="22"/>
        </w:rPr>
        <w:footnoteReference w:id="5"/>
      </w:r>
      <w:r w:rsidRPr="000B633F">
        <w:rPr>
          <w:rFonts w:cs="Calibri"/>
          <w:szCs w:val="22"/>
        </w:rPr>
        <w:t xml:space="preserve"> This shift is crucial for modernising infrastructure and ensuring a reliable power supply amid rising demand, aligning with the government’s vision for a more resilient and sustainable energy framework.</w:t>
      </w:r>
    </w:p>
    <w:p w14:paraId="5D4C29DD" w14:textId="136DCB0D" w:rsidR="00675C62" w:rsidRPr="000B633F" w:rsidRDefault="00AD6820" w:rsidP="00675C62">
      <w:pPr>
        <w:pStyle w:val="Fliesstext"/>
        <w:rPr>
          <w:rFonts w:cs="Calibri"/>
          <w:szCs w:val="22"/>
        </w:rPr>
      </w:pPr>
      <w:proofErr w:type="gramStart"/>
      <w:r w:rsidRPr="000B633F">
        <w:rPr>
          <w:rFonts w:cs="Calibri"/>
          <w:szCs w:val="22"/>
        </w:rPr>
        <w:t>In light of</w:t>
      </w:r>
      <w:proofErr w:type="gramEnd"/>
      <w:r w:rsidRPr="000B633F">
        <w:rPr>
          <w:rFonts w:cs="Calibri"/>
          <w:szCs w:val="22"/>
        </w:rPr>
        <w:t xml:space="preserve"> </w:t>
      </w:r>
      <w:r w:rsidR="00583A97">
        <w:rPr>
          <w:rFonts w:cs="Calibri"/>
          <w:szCs w:val="22"/>
        </w:rPr>
        <w:t>this</w:t>
      </w:r>
      <w:r w:rsidR="00675C62" w:rsidRPr="000B633F">
        <w:rPr>
          <w:rFonts w:cs="Calibri"/>
          <w:szCs w:val="22"/>
        </w:rPr>
        <w:t xml:space="preserve">, a reliable electricity demand forecast is </w:t>
      </w:r>
      <w:r w:rsidR="000A539E" w:rsidRPr="000B633F">
        <w:rPr>
          <w:rFonts w:cs="Calibri"/>
          <w:szCs w:val="22"/>
        </w:rPr>
        <w:t>essential</w:t>
      </w:r>
      <w:r w:rsidR="00B778FF" w:rsidRPr="000B633F">
        <w:rPr>
          <w:rFonts w:cs="Calibri"/>
          <w:szCs w:val="22"/>
        </w:rPr>
        <w:t xml:space="preserve"> for supporting these reforms, making informed decisions, and planning for future infrastructure needs to meet the country's evolving energy demands.</w:t>
      </w:r>
      <w:r w:rsidR="00675C62" w:rsidRPr="000B633F">
        <w:rPr>
          <w:rFonts w:cs="Calibri"/>
          <w:szCs w:val="22"/>
        </w:rPr>
        <w:t xml:space="preserve"> Estimates from the Ministry of Energy suggest a demand of 120.8 TWh by 2030, while a study conducted by</w:t>
      </w:r>
      <w:r w:rsidR="00513811">
        <w:rPr>
          <w:rFonts w:cs="Calibri"/>
          <w:szCs w:val="22"/>
        </w:rPr>
        <w:t xml:space="preserve"> the </w:t>
      </w:r>
      <w:r w:rsidR="00513811" w:rsidRPr="00513811">
        <w:rPr>
          <w:rFonts w:cs="Calibri"/>
          <w:szCs w:val="22"/>
        </w:rPr>
        <w:t>China Electric Power Planning and Engineering Institute</w:t>
      </w:r>
      <w:r w:rsidR="00675C62" w:rsidRPr="000B633F">
        <w:rPr>
          <w:rFonts w:cs="Calibri"/>
          <w:szCs w:val="22"/>
        </w:rPr>
        <w:t xml:space="preserve"> </w:t>
      </w:r>
      <w:r w:rsidR="00513811">
        <w:rPr>
          <w:rFonts w:cs="Calibri"/>
          <w:szCs w:val="22"/>
        </w:rPr>
        <w:t>(</w:t>
      </w:r>
      <w:r w:rsidR="00675C62" w:rsidRPr="000B633F">
        <w:rPr>
          <w:rFonts w:cs="Calibri"/>
          <w:szCs w:val="22"/>
        </w:rPr>
        <w:t>EPPEI</w:t>
      </w:r>
      <w:r w:rsidR="00513811">
        <w:rPr>
          <w:rFonts w:cs="Calibri"/>
          <w:szCs w:val="22"/>
        </w:rPr>
        <w:t>)</w:t>
      </w:r>
      <w:r w:rsidR="00675C62" w:rsidRPr="000B633F">
        <w:rPr>
          <w:rFonts w:cs="Calibri"/>
          <w:szCs w:val="22"/>
        </w:rPr>
        <w:t xml:space="preserve"> at the Ministry’s request projects a range from 118.2 TWh (conservative) to 137.3 TWh (accelerating growth). </w:t>
      </w:r>
      <w:r w:rsidR="00D7651B" w:rsidRPr="00D7651B">
        <w:t xml:space="preserve"> </w:t>
      </w:r>
      <w:r w:rsidR="00D7651B" w:rsidRPr="00D7651B">
        <w:rPr>
          <w:rFonts w:cs="Calibri"/>
          <w:szCs w:val="22"/>
        </w:rPr>
        <w:t xml:space="preserve">Given recent developments in Uzbekistan’s </w:t>
      </w:r>
      <w:r w:rsidR="00D7651B">
        <w:rPr>
          <w:rFonts w:cs="Calibri"/>
          <w:szCs w:val="22"/>
        </w:rPr>
        <w:t xml:space="preserve">economic and </w:t>
      </w:r>
      <w:r w:rsidR="00D7651B" w:rsidRPr="00D7651B">
        <w:rPr>
          <w:rFonts w:cs="Calibri"/>
          <w:szCs w:val="22"/>
        </w:rPr>
        <w:t>energy landscape</w:t>
      </w:r>
      <w:r w:rsidR="00D7651B">
        <w:rPr>
          <w:rFonts w:cs="Calibri"/>
          <w:szCs w:val="22"/>
        </w:rPr>
        <w:t xml:space="preserve"> – i</w:t>
      </w:r>
      <w:r w:rsidR="00D7651B" w:rsidRPr="00D7651B">
        <w:rPr>
          <w:rFonts w:cs="Calibri"/>
          <w:szCs w:val="22"/>
        </w:rPr>
        <w:t>ncluding tariff adjustments and expanding electric vehicle adoption</w:t>
      </w:r>
      <w:r w:rsidR="00D7651B">
        <w:rPr>
          <w:rFonts w:cs="Calibri"/>
          <w:szCs w:val="22"/>
        </w:rPr>
        <w:t xml:space="preserve"> – </w:t>
      </w:r>
      <w:r w:rsidR="00D7651B" w:rsidRPr="00D7651B">
        <w:rPr>
          <w:rFonts w:cs="Calibri"/>
          <w:szCs w:val="22"/>
        </w:rPr>
        <w:t>a</w:t>
      </w:r>
      <w:r w:rsidR="00B178A3">
        <w:rPr>
          <w:rFonts w:cs="Calibri"/>
          <w:szCs w:val="22"/>
        </w:rPr>
        <w:t>n</w:t>
      </w:r>
      <w:r w:rsidR="00D7651B" w:rsidRPr="00D7651B">
        <w:rPr>
          <w:rFonts w:cs="Calibri"/>
          <w:szCs w:val="22"/>
        </w:rPr>
        <w:t xml:space="preserve"> </w:t>
      </w:r>
      <w:r w:rsidR="00B178A3">
        <w:rPr>
          <w:rFonts w:cs="Calibri"/>
          <w:szCs w:val="22"/>
        </w:rPr>
        <w:t>updated</w:t>
      </w:r>
      <w:r w:rsidR="00D7651B" w:rsidRPr="00D7651B">
        <w:rPr>
          <w:rFonts w:cs="Calibri"/>
          <w:szCs w:val="22"/>
        </w:rPr>
        <w:t xml:space="preserve"> forecast that employs a flexible, adaptive model </w:t>
      </w:r>
      <w:r w:rsidR="00CC17FF">
        <w:rPr>
          <w:rFonts w:cs="Calibri"/>
          <w:szCs w:val="22"/>
        </w:rPr>
        <w:t>is useful for capturing</w:t>
      </w:r>
      <w:r w:rsidR="00D7651B" w:rsidRPr="00D7651B">
        <w:rPr>
          <w:rFonts w:cs="Calibri"/>
          <w:szCs w:val="22"/>
        </w:rPr>
        <w:t xml:space="preserve"> these evolving dynamics using the most recent data available through 2023.</w:t>
      </w:r>
    </w:p>
    <w:p w14:paraId="58AE57C6" w14:textId="0203C2EA" w:rsidR="00C46488" w:rsidRPr="00C46488" w:rsidRDefault="00C46488" w:rsidP="00C46488">
      <w:pPr>
        <w:pStyle w:val="Beschriftung"/>
        <w:rPr>
          <w:rFonts w:cs="calibri light (Überschriften)"/>
          <w:b w:val="0"/>
          <w:bCs/>
          <w:color w:val="104C91"/>
          <w:sz w:val="22"/>
          <w:lang w:val="en-GB"/>
        </w:rPr>
      </w:pPr>
      <w:r w:rsidRPr="00C46488">
        <w:rPr>
          <w:rFonts w:cs="calibri light (Überschriften)"/>
          <w:b w:val="0"/>
          <w:bCs/>
          <w:color w:val="104C91"/>
          <w:sz w:val="22"/>
          <w:lang w:val="en-GB"/>
        </w:rPr>
        <w:t xml:space="preserve">Figure </w:t>
      </w:r>
      <w:r w:rsidRPr="00C46488">
        <w:rPr>
          <w:rFonts w:cs="calibri light (Überschriften)"/>
          <w:b w:val="0"/>
          <w:bCs/>
          <w:color w:val="104C91"/>
          <w:sz w:val="22"/>
          <w:lang w:val="en-GB"/>
        </w:rPr>
        <w:fldChar w:fldCharType="begin"/>
      </w:r>
      <w:r w:rsidRPr="00C46488">
        <w:rPr>
          <w:rFonts w:cs="calibri light (Überschriften)"/>
          <w:b w:val="0"/>
          <w:bCs/>
          <w:color w:val="104C91"/>
          <w:sz w:val="22"/>
          <w:lang w:val="en-GB"/>
        </w:rPr>
        <w:instrText xml:space="preserve"> SEQ Figure \* ARABIC </w:instrText>
      </w:r>
      <w:r w:rsidRPr="00C46488">
        <w:rPr>
          <w:rFonts w:cs="calibri light (Überschriften)"/>
          <w:b w:val="0"/>
          <w:bCs/>
          <w:color w:val="104C91"/>
          <w:sz w:val="22"/>
          <w:lang w:val="en-GB"/>
        </w:rPr>
        <w:fldChar w:fldCharType="separate"/>
      </w:r>
      <w:r w:rsidR="002401AF">
        <w:rPr>
          <w:rFonts w:cs="calibri light (Überschriften)"/>
          <w:b w:val="0"/>
          <w:bCs/>
          <w:noProof/>
          <w:color w:val="104C91"/>
          <w:sz w:val="22"/>
          <w:lang w:val="en-GB"/>
        </w:rPr>
        <w:t>4</w:t>
      </w:r>
      <w:r w:rsidRPr="00C46488">
        <w:rPr>
          <w:rFonts w:cs="calibri light (Überschriften)"/>
          <w:b w:val="0"/>
          <w:bCs/>
          <w:color w:val="104C91"/>
          <w:sz w:val="22"/>
          <w:lang w:val="en-GB"/>
        </w:rPr>
        <w:fldChar w:fldCharType="end"/>
      </w:r>
      <w:r w:rsidRPr="00C46488">
        <w:rPr>
          <w:rFonts w:cs="calibri light (Überschriften)"/>
          <w:b w:val="0"/>
          <w:bCs/>
          <w:color w:val="104C91"/>
          <w:sz w:val="22"/>
          <w:lang w:val="en-GB"/>
        </w:rPr>
        <w:t>: 2030 consumption and its peak load forecasts from different sources</w:t>
      </w:r>
    </w:p>
    <w:p w14:paraId="62D361B2" w14:textId="298ECDA4" w:rsidR="00675C62" w:rsidRDefault="00FA7182" w:rsidP="00675C62">
      <w:pPr>
        <w:spacing w:before="260"/>
        <w:rPr>
          <w:rFonts w:cs="calibri light (Überschriften)"/>
          <w:bCs/>
          <w:color w:val="104C91"/>
          <w:szCs w:val="20"/>
          <w:lang w:eastAsia="de-DE"/>
        </w:rPr>
      </w:pPr>
      <w:r>
        <w:rPr>
          <w:noProof/>
        </w:rPr>
        <w:drawing>
          <wp:inline distT="0" distB="0" distL="0" distR="0" wp14:anchorId="6673C54C" wp14:editId="35412928">
            <wp:extent cx="5111750" cy="2647950"/>
            <wp:effectExtent l="0" t="0" r="0" b="0"/>
            <wp:docPr id="2010360259" name="Chart 1">
              <a:extLst xmlns:a="http://schemas.openxmlformats.org/drawingml/2006/main">
                <a:ext uri="{FF2B5EF4-FFF2-40B4-BE49-F238E27FC236}">
                  <a16:creationId xmlns:a16="http://schemas.microsoft.com/office/drawing/2014/main" id="{0EF36D86-31D6-47C2-9662-554C0E687E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A165417" w14:textId="0899A52A" w:rsidR="00675C62" w:rsidRPr="00D94E7F" w:rsidRDefault="00675C62" w:rsidP="00D94E7F">
      <w:pPr>
        <w:pStyle w:val="Fliesstext"/>
        <w:spacing w:line="240" w:lineRule="auto"/>
        <w:jc w:val="both"/>
        <w:rPr>
          <w:rFonts w:cs="Calibri"/>
          <w:i/>
          <w:iCs/>
          <w:color w:val="auto"/>
          <w:szCs w:val="22"/>
        </w:rPr>
      </w:pPr>
      <w:r w:rsidRPr="00CF1329">
        <w:rPr>
          <w:rFonts w:cs="Calibri"/>
          <w:i/>
          <w:iCs/>
          <w:color w:val="ADADAD"/>
          <w:sz w:val="18"/>
          <w:szCs w:val="18"/>
        </w:rPr>
        <w:t>Source: Ministry of Energy</w:t>
      </w:r>
      <w:r>
        <w:rPr>
          <w:rFonts w:cs="Calibri"/>
          <w:i/>
          <w:iCs/>
          <w:color w:val="ADADAD"/>
          <w:sz w:val="18"/>
          <w:szCs w:val="18"/>
        </w:rPr>
        <w:t xml:space="preserve">, EPPEI </w:t>
      </w:r>
      <w:r w:rsidR="00CC2111">
        <w:rPr>
          <w:rFonts w:cs="Calibri"/>
          <w:i/>
          <w:iCs/>
          <w:color w:val="ADADAD"/>
          <w:sz w:val="18"/>
          <w:szCs w:val="18"/>
        </w:rPr>
        <w:t>“</w:t>
      </w:r>
      <w:r>
        <w:rPr>
          <w:rFonts w:cs="Calibri"/>
          <w:i/>
          <w:iCs/>
          <w:color w:val="ADADAD"/>
          <w:sz w:val="18"/>
          <w:szCs w:val="18"/>
        </w:rPr>
        <w:t>Power System Planning Study in Uzbekistan, 2024</w:t>
      </w:r>
      <w:r w:rsidR="00CC2111">
        <w:rPr>
          <w:rFonts w:cs="Calibri"/>
          <w:i/>
          <w:iCs/>
          <w:color w:val="ADADAD"/>
          <w:sz w:val="18"/>
          <w:szCs w:val="18"/>
        </w:rPr>
        <w:t>”</w:t>
      </w:r>
      <w:r>
        <w:rPr>
          <w:rFonts w:cs="Calibri"/>
          <w:i/>
          <w:iCs/>
          <w:color w:val="ADADAD"/>
          <w:sz w:val="18"/>
          <w:szCs w:val="18"/>
        </w:rPr>
        <w:t>.</w:t>
      </w:r>
    </w:p>
    <w:p w14:paraId="00374EBA" w14:textId="6EA6135D" w:rsidR="00486E99" w:rsidRDefault="00747472" w:rsidP="00486E99">
      <w:pPr>
        <w:pStyle w:val="berschrift1"/>
        <w:rPr>
          <w:lang w:eastAsia="de-DE"/>
        </w:rPr>
      </w:pPr>
      <w:bookmarkStart w:id="13" w:name="_Ref181895084"/>
      <w:bookmarkStart w:id="14" w:name="_Toc182575129"/>
      <w:bookmarkEnd w:id="5"/>
      <w:r w:rsidRPr="002B0202">
        <w:rPr>
          <w:lang w:eastAsia="de-DE"/>
        </w:rPr>
        <w:t>M</w:t>
      </w:r>
      <w:r w:rsidR="00786AB4">
        <w:rPr>
          <w:lang w:eastAsia="de-DE"/>
        </w:rPr>
        <w:t>odel</w:t>
      </w:r>
      <w:bookmarkEnd w:id="13"/>
      <w:bookmarkEnd w:id="14"/>
    </w:p>
    <w:p w14:paraId="1EA00765" w14:textId="0170EC46" w:rsidR="00A2754D" w:rsidRPr="00A2754D" w:rsidRDefault="00A2754D" w:rsidP="00A2754D">
      <w:pPr>
        <w:pStyle w:val="Fliesstext"/>
        <w:rPr>
          <w:lang w:eastAsia="de-DE"/>
        </w:rPr>
      </w:pPr>
      <w:r w:rsidRPr="00A2754D">
        <w:rPr>
          <w:lang w:eastAsia="de-DE"/>
        </w:rPr>
        <w:t xml:space="preserve">In the following sub-chapters, we first provide an overview of various methodologies and models commonly used for electricity demand forecasting, presenting the different approaches that could be applied. We then focus on the methodology selected for this study, explaining </w:t>
      </w:r>
      <w:r>
        <w:rPr>
          <w:lang w:eastAsia="de-DE"/>
        </w:rPr>
        <w:t xml:space="preserve">de advantages of the chosen model </w:t>
      </w:r>
      <w:r w:rsidRPr="00A2754D">
        <w:rPr>
          <w:lang w:eastAsia="de-DE"/>
        </w:rPr>
        <w:t xml:space="preserve">in detail. Finally, we describe the </w:t>
      </w:r>
      <w:r w:rsidRPr="00A2754D">
        <w:rPr>
          <w:lang w:eastAsia="de-DE"/>
        </w:rPr>
        <w:lastRenderedPageBreak/>
        <w:t>input data and how it shapes the three distinct model variants developed to capture different potential future scenarios.</w:t>
      </w:r>
    </w:p>
    <w:p w14:paraId="76F6E343" w14:textId="2DCC2B8F" w:rsidR="00CF7F6E" w:rsidRDefault="00CF7F6E" w:rsidP="00BC1884">
      <w:pPr>
        <w:pStyle w:val="berschrift2"/>
      </w:pPr>
      <w:bookmarkStart w:id="15" w:name="_Toc182575130"/>
      <w:r>
        <w:t>M</w:t>
      </w:r>
      <w:r w:rsidR="00786AB4">
        <w:t>ethodology</w:t>
      </w:r>
      <w:bookmarkEnd w:id="15"/>
    </w:p>
    <w:p w14:paraId="113B3481" w14:textId="064C1CAE" w:rsidR="00D2484E" w:rsidRPr="00D2484E" w:rsidRDefault="00D2484E" w:rsidP="00D2484E">
      <w:pPr>
        <w:spacing w:before="260" w:line="260" w:lineRule="atLeast"/>
        <w:jc w:val="left"/>
        <w:rPr>
          <w:rFonts w:cs="Calibri"/>
          <w:b/>
          <w:bCs/>
          <w:color w:val="104C91"/>
          <w:szCs w:val="22"/>
        </w:rPr>
      </w:pPr>
      <w:r>
        <w:rPr>
          <w:rFonts w:cs="Calibri"/>
          <w:b/>
          <w:bCs/>
          <w:color w:val="104C91"/>
          <w:szCs w:val="22"/>
        </w:rPr>
        <w:t xml:space="preserve">Overview of </w:t>
      </w:r>
      <w:r w:rsidR="00785065">
        <w:rPr>
          <w:rFonts w:cs="Calibri"/>
          <w:b/>
          <w:bCs/>
          <w:color w:val="104C91"/>
          <w:szCs w:val="22"/>
        </w:rPr>
        <w:t>electricity demand forecasting models</w:t>
      </w:r>
    </w:p>
    <w:p w14:paraId="0CE4FE0A" w14:textId="528B786B" w:rsidR="00E20C0A" w:rsidRDefault="00E20C0A" w:rsidP="00E20C0A">
      <w:pPr>
        <w:pStyle w:val="Fliesstext"/>
        <w:rPr>
          <w:color w:val="auto"/>
        </w:rPr>
      </w:pPr>
      <w:r w:rsidRPr="00E87CDF">
        <w:rPr>
          <w:color w:val="auto"/>
        </w:rPr>
        <w:t xml:space="preserve">Load forecasting serves various purposes depending on </w:t>
      </w:r>
      <w:r>
        <w:rPr>
          <w:color w:val="auto"/>
        </w:rPr>
        <w:t>its</w:t>
      </w:r>
      <w:r w:rsidRPr="00E87CDF">
        <w:rPr>
          <w:color w:val="auto"/>
        </w:rPr>
        <w:t xml:space="preserve"> time frame. In the short term, it is typically used for dispatch planning, requiring precise and detailed predictions over a period of hours or days. For long-term forecasting, the focus shifts to assessing generation adequacy and supporting investment decisions that span months or years. Forecasts play a crucial role at both the distribution and transmission grid levels, and they are often categori</w:t>
      </w:r>
      <w:r w:rsidR="00826B99">
        <w:rPr>
          <w:color w:val="auto"/>
        </w:rPr>
        <w:t>s</w:t>
      </w:r>
      <w:r w:rsidRPr="00E87CDF">
        <w:rPr>
          <w:color w:val="auto"/>
        </w:rPr>
        <w:t xml:space="preserve">ed into regional or national forecasts based on the scope of the analysis. </w:t>
      </w:r>
      <w:r w:rsidRPr="00156AD0">
        <w:rPr>
          <w:b/>
          <w:bCs/>
          <w:color w:val="auto"/>
        </w:rPr>
        <w:t>The focus of this analysis is long-term forecasting on the national level.</w:t>
      </w:r>
    </w:p>
    <w:p w14:paraId="47F2804D" w14:textId="4D727EE2" w:rsidR="00E20C0A" w:rsidRDefault="00E20C0A" w:rsidP="00E20C0A">
      <w:pPr>
        <w:pStyle w:val="Fliesstext"/>
        <w:rPr>
          <w:color w:val="auto"/>
        </w:rPr>
      </w:pPr>
      <w:r w:rsidRPr="00B317FA">
        <w:rPr>
          <w:color w:val="auto"/>
        </w:rPr>
        <w:t>Long-term forecasting methods</w:t>
      </w:r>
      <w:r>
        <w:rPr>
          <w:color w:val="auto"/>
        </w:rPr>
        <w:t xml:space="preserve"> include </w:t>
      </w:r>
      <w:r w:rsidRPr="009B6E1F">
        <w:rPr>
          <w:b/>
          <w:bCs/>
          <w:color w:val="auto"/>
        </w:rPr>
        <w:t>bottom-up</w:t>
      </w:r>
      <w:r>
        <w:rPr>
          <w:color w:val="auto"/>
        </w:rPr>
        <w:t xml:space="preserve"> and </w:t>
      </w:r>
      <w:r w:rsidRPr="009B6E1F">
        <w:rPr>
          <w:b/>
          <w:bCs/>
          <w:color w:val="auto"/>
        </w:rPr>
        <w:t>top-down</w:t>
      </w:r>
      <w:r>
        <w:rPr>
          <w:color w:val="auto"/>
        </w:rPr>
        <w:t xml:space="preserve"> approaches. </w:t>
      </w:r>
      <w:r w:rsidRPr="009B6E1F">
        <w:rPr>
          <w:b/>
          <w:bCs/>
          <w:color w:val="auto"/>
        </w:rPr>
        <w:t>Bottom-up approach models</w:t>
      </w:r>
      <w:r>
        <w:rPr>
          <w:color w:val="auto"/>
        </w:rPr>
        <w:t xml:space="preserve"> generate forecasts at the customer level. The data of individual consumers is aggregated to predict total demand. These models excel at capturing the impact of technological advancements and specific consumer behaviours, as they rely on detailed data about the use of specific devices and processes, e.g. industrial machinery or household appliances.</w:t>
      </w:r>
      <w:r>
        <w:rPr>
          <w:rStyle w:val="Funotenzeichen"/>
          <w:color w:val="auto"/>
        </w:rPr>
        <w:footnoteReference w:id="6"/>
      </w:r>
      <w:r>
        <w:rPr>
          <w:color w:val="auto"/>
        </w:rPr>
        <w:t xml:space="preserve"> </w:t>
      </w:r>
      <w:r w:rsidR="0098482D">
        <w:rPr>
          <w:color w:val="auto"/>
        </w:rPr>
        <w:t xml:space="preserve">The </w:t>
      </w:r>
      <w:r w:rsidR="0098482D">
        <w:rPr>
          <w:b/>
          <w:bCs/>
          <w:color w:val="auto"/>
        </w:rPr>
        <w:t>m</w:t>
      </w:r>
      <w:r w:rsidRPr="009B6E1F">
        <w:rPr>
          <w:b/>
          <w:bCs/>
          <w:color w:val="auto"/>
        </w:rPr>
        <w:t xml:space="preserve">ain limitation </w:t>
      </w:r>
      <w:r w:rsidRPr="009B6E1F">
        <w:rPr>
          <w:color w:val="auto"/>
        </w:rPr>
        <w:t>of this approach</w:t>
      </w:r>
      <w:r w:rsidRPr="009B6E1F">
        <w:rPr>
          <w:b/>
          <w:bCs/>
          <w:color w:val="auto"/>
        </w:rPr>
        <w:t xml:space="preserve"> is the data intensity </w:t>
      </w:r>
      <w:r w:rsidRPr="009B6E1F">
        <w:rPr>
          <w:color w:val="auto"/>
        </w:rPr>
        <w:t>required to maintain accuracy over long periods.</w:t>
      </w:r>
      <w:r>
        <w:rPr>
          <w:color w:val="auto"/>
        </w:rPr>
        <w:t xml:space="preserve"> Bottom-up models need extensive data on appliance use, consumer behaviour, and technological characteristics, which is often unavailable. Furthermore, such models may overlook broader macroeconomic trends that influence electricity demand on a national level. A common tool used for this is the LEAP (</w:t>
      </w:r>
      <w:r w:rsidRPr="00F75D2E">
        <w:rPr>
          <w:color w:val="auto"/>
        </w:rPr>
        <w:t>Low Emissions Analysis Platform</w:t>
      </w:r>
      <w:r>
        <w:rPr>
          <w:color w:val="auto"/>
        </w:rPr>
        <w:t>) model, which offers flexibility in modelling different scenarios, from energy demand to CO2 emissions.</w:t>
      </w:r>
      <w:r w:rsidR="008A51A2">
        <w:rPr>
          <w:rStyle w:val="Funotenzeichen"/>
          <w:color w:val="auto"/>
        </w:rPr>
        <w:footnoteReference w:id="7"/>
      </w:r>
      <w:r>
        <w:rPr>
          <w:color w:val="auto"/>
        </w:rPr>
        <w:t xml:space="preserve"> </w:t>
      </w:r>
      <w:r w:rsidRPr="007F2C67">
        <w:rPr>
          <w:color w:val="auto"/>
        </w:rPr>
        <w:t>However, while LEAP is comprehensive in addressing energy demand at granular levels, it requires precise data inputs, limiting its application where such data is scarce</w:t>
      </w:r>
      <w:r>
        <w:rPr>
          <w:color w:val="auto"/>
        </w:rPr>
        <w:t xml:space="preserve">. </w:t>
      </w:r>
      <w:r w:rsidR="00B62B0C" w:rsidRPr="00B62B0C">
        <w:rPr>
          <w:color w:val="auto"/>
        </w:rPr>
        <w:t xml:space="preserve">Given the </w:t>
      </w:r>
      <w:r w:rsidR="00B62B0C" w:rsidRPr="002B0EF1">
        <w:rPr>
          <w:b/>
          <w:bCs/>
          <w:color w:val="auto"/>
        </w:rPr>
        <w:t xml:space="preserve">lack of openly available </w:t>
      </w:r>
      <w:r w:rsidR="002B0EF1" w:rsidRPr="002B0EF1">
        <w:rPr>
          <w:b/>
          <w:bCs/>
          <w:color w:val="auto"/>
        </w:rPr>
        <w:t xml:space="preserve">granular </w:t>
      </w:r>
      <w:r w:rsidR="00B62B0C" w:rsidRPr="002B0EF1">
        <w:rPr>
          <w:b/>
          <w:bCs/>
          <w:color w:val="auto"/>
        </w:rPr>
        <w:t>data</w:t>
      </w:r>
      <w:r w:rsidR="00B62B0C" w:rsidRPr="00B62B0C">
        <w:rPr>
          <w:color w:val="auto"/>
        </w:rPr>
        <w:t xml:space="preserve"> in Uzbekistan, we conclude that the </w:t>
      </w:r>
      <w:r w:rsidR="00B62B0C" w:rsidRPr="002B0EF1">
        <w:rPr>
          <w:b/>
          <w:bCs/>
          <w:color w:val="auto"/>
        </w:rPr>
        <w:t>bottom-up approach for electricity demand forecasting is not feasible</w:t>
      </w:r>
      <w:r w:rsidR="00B62B0C" w:rsidRPr="00B62B0C">
        <w:rPr>
          <w:color w:val="auto"/>
        </w:rPr>
        <w:t>.</w:t>
      </w:r>
    </w:p>
    <w:p w14:paraId="3D30EC6E" w14:textId="569940D0" w:rsidR="00E20C0A" w:rsidRPr="00505061" w:rsidRDefault="00E20C0A" w:rsidP="00E20C0A">
      <w:pPr>
        <w:pStyle w:val="Fliesstext"/>
        <w:rPr>
          <w:color w:val="auto"/>
        </w:rPr>
      </w:pPr>
      <w:r w:rsidRPr="00E27D9C">
        <w:rPr>
          <w:b/>
          <w:bCs/>
          <w:color w:val="auto"/>
        </w:rPr>
        <w:t xml:space="preserve">Top-down models </w:t>
      </w:r>
      <w:r w:rsidRPr="00E27D9C">
        <w:rPr>
          <w:color w:val="auto"/>
        </w:rPr>
        <w:t>use broader economic indicators like GDP, population growth, and weather data to forecast demand at the macro level</w:t>
      </w:r>
      <w:r>
        <w:rPr>
          <w:color w:val="auto"/>
        </w:rPr>
        <w:t xml:space="preserve">. Such models perform better in macroeconomic analysis, providing insights into how large-scale factors drive electricity demand. </w:t>
      </w:r>
      <w:r w:rsidRPr="00C61815">
        <w:rPr>
          <w:color w:val="auto"/>
        </w:rPr>
        <w:t>For long-term forecasting, top-down models are particularly effective in data-scarce environments, where the detailed data required for bottom-up approaches may be unavailable.</w:t>
      </w:r>
      <w:r>
        <w:rPr>
          <w:color w:val="auto"/>
        </w:rPr>
        <w:t xml:space="preserve"> </w:t>
      </w:r>
      <w:r w:rsidRPr="003D6530">
        <w:rPr>
          <w:color w:val="auto"/>
        </w:rPr>
        <w:t xml:space="preserve">In countries with rapidly growing economies, such as Uzbekistan, </w:t>
      </w:r>
      <w:r w:rsidRPr="003C6EF7">
        <w:rPr>
          <w:color w:val="auto"/>
        </w:rPr>
        <w:t>this approach helps capture the impact of industriali</w:t>
      </w:r>
      <w:r w:rsidR="00A47EA4">
        <w:rPr>
          <w:color w:val="auto"/>
        </w:rPr>
        <w:t>s</w:t>
      </w:r>
      <w:r w:rsidRPr="003C6EF7">
        <w:rPr>
          <w:color w:val="auto"/>
        </w:rPr>
        <w:t>ation and population growth on electricity demand. It can also produce accurate forecasts by utili</w:t>
      </w:r>
      <w:r w:rsidR="007869E9">
        <w:rPr>
          <w:color w:val="auto"/>
        </w:rPr>
        <w:t>s</w:t>
      </w:r>
      <w:r w:rsidRPr="003C6EF7">
        <w:rPr>
          <w:color w:val="auto"/>
        </w:rPr>
        <w:t>ing historical demand data alongside macroeconomic variables</w:t>
      </w:r>
      <w:r>
        <w:rPr>
          <w:color w:val="auto"/>
        </w:rPr>
        <w:t xml:space="preserve">. </w:t>
      </w:r>
    </w:p>
    <w:p w14:paraId="49AFFCD5" w14:textId="4CDA6C3F" w:rsidR="00CC17FF" w:rsidRPr="00CC17FF" w:rsidRDefault="00C46488" w:rsidP="00CC17FF">
      <w:pPr>
        <w:pStyle w:val="Beschriftung"/>
        <w:rPr>
          <w:rFonts w:cs="calibri light (Überschriften)"/>
          <w:b w:val="0"/>
          <w:bCs/>
          <w:color w:val="104C91"/>
          <w:sz w:val="22"/>
          <w:lang w:val="en-GB"/>
        </w:rPr>
      </w:pPr>
      <w:r w:rsidRPr="00C46488">
        <w:rPr>
          <w:rFonts w:cs="calibri light (Überschriften)"/>
          <w:b w:val="0"/>
          <w:bCs/>
          <w:color w:val="104C91"/>
          <w:sz w:val="22"/>
          <w:lang w:val="en-GB"/>
        </w:rPr>
        <w:lastRenderedPageBreak/>
        <w:t xml:space="preserve">Table </w:t>
      </w:r>
      <w:r w:rsidRPr="00C46488">
        <w:rPr>
          <w:rFonts w:cs="calibri light (Überschriften)"/>
          <w:b w:val="0"/>
          <w:bCs/>
          <w:color w:val="104C91"/>
          <w:sz w:val="22"/>
          <w:lang w:val="en-GB"/>
        </w:rPr>
        <w:fldChar w:fldCharType="begin"/>
      </w:r>
      <w:r w:rsidRPr="00C46488">
        <w:rPr>
          <w:rFonts w:cs="calibri light (Überschriften)"/>
          <w:b w:val="0"/>
          <w:bCs/>
          <w:color w:val="104C91"/>
          <w:sz w:val="22"/>
          <w:lang w:val="en-GB"/>
        </w:rPr>
        <w:instrText xml:space="preserve"> SEQ Table \* ARABIC </w:instrText>
      </w:r>
      <w:r w:rsidRPr="00C46488">
        <w:rPr>
          <w:rFonts w:cs="calibri light (Überschriften)"/>
          <w:b w:val="0"/>
          <w:bCs/>
          <w:color w:val="104C91"/>
          <w:sz w:val="22"/>
          <w:lang w:val="en-GB"/>
        </w:rPr>
        <w:fldChar w:fldCharType="separate"/>
      </w:r>
      <w:r w:rsidR="002401AF">
        <w:rPr>
          <w:rFonts w:cs="calibri light (Überschriften)"/>
          <w:b w:val="0"/>
          <w:bCs/>
          <w:noProof/>
          <w:color w:val="104C91"/>
          <w:sz w:val="22"/>
          <w:lang w:val="en-GB"/>
        </w:rPr>
        <w:t>1</w:t>
      </w:r>
      <w:r w:rsidRPr="00C46488">
        <w:rPr>
          <w:rFonts w:cs="calibri light (Überschriften)"/>
          <w:b w:val="0"/>
          <w:bCs/>
          <w:color w:val="104C91"/>
          <w:sz w:val="22"/>
          <w:lang w:val="en-GB"/>
        </w:rPr>
        <w:fldChar w:fldCharType="end"/>
      </w:r>
      <w:r w:rsidRPr="00C46488">
        <w:rPr>
          <w:rFonts w:cs="calibri light (Überschriften)"/>
          <w:b w:val="0"/>
          <w:bCs/>
          <w:color w:val="104C91"/>
          <w:sz w:val="22"/>
          <w:lang w:val="en-GB"/>
        </w:rPr>
        <w:t xml:space="preserve">: Comparison table between common forecasting </w:t>
      </w:r>
      <w:r w:rsidR="00DF136D">
        <w:rPr>
          <w:rFonts w:cs="calibri light (Überschriften)"/>
          <w:b w:val="0"/>
          <w:bCs/>
          <w:color w:val="104C91"/>
          <w:sz w:val="22"/>
          <w:lang w:val="en-GB"/>
        </w:rPr>
        <w:t>approaches</w:t>
      </w:r>
    </w:p>
    <w:tbl>
      <w:tblPr>
        <w:tblStyle w:val="EinfacheTabelle21"/>
        <w:tblW w:w="9018" w:type="dxa"/>
        <w:tblLook w:val="04A0" w:firstRow="1" w:lastRow="0" w:firstColumn="1" w:lastColumn="0" w:noHBand="0" w:noVBand="1"/>
      </w:tblPr>
      <w:tblGrid>
        <w:gridCol w:w="1375"/>
        <w:gridCol w:w="1943"/>
        <w:gridCol w:w="1896"/>
        <w:gridCol w:w="1896"/>
        <w:gridCol w:w="1908"/>
      </w:tblGrid>
      <w:tr w:rsidR="00E20C0A" w:rsidRPr="005278BD" w14:paraId="7F0CC4FC" w14:textId="7777777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375" w:type="dxa"/>
            <w:tcBorders>
              <w:top w:val="single" w:sz="4" w:space="0" w:color="104C91"/>
              <w:bottom w:val="single" w:sz="4" w:space="0" w:color="104C91"/>
            </w:tcBorders>
          </w:tcPr>
          <w:p w14:paraId="39D435FB" w14:textId="77777777" w:rsidR="00E20C0A" w:rsidRPr="005278BD" w:rsidRDefault="00E20C0A">
            <w:pPr>
              <w:spacing w:line="240" w:lineRule="auto"/>
              <w:rPr>
                <w:color w:val="104C91"/>
                <w:lang w:eastAsia="de-DE"/>
              </w:rPr>
            </w:pPr>
            <w:r>
              <w:rPr>
                <w:color w:val="104C91"/>
                <w:lang w:eastAsia="de-DE"/>
              </w:rPr>
              <w:t>Technique</w:t>
            </w:r>
          </w:p>
        </w:tc>
        <w:tc>
          <w:tcPr>
            <w:tcW w:w="1943" w:type="dxa"/>
            <w:tcBorders>
              <w:top w:val="single" w:sz="4" w:space="0" w:color="104C91"/>
              <w:bottom w:val="single" w:sz="4" w:space="0" w:color="104C91"/>
            </w:tcBorders>
          </w:tcPr>
          <w:p w14:paraId="1D27BAF3" w14:textId="77777777" w:rsidR="00E20C0A" w:rsidRPr="005278BD" w:rsidRDefault="00E20C0A">
            <w:pPr>
              <w:spacing w:line="240" w:lineRule="auto"/>
              <w:jc w:val="left"/>
              <w:cnfStyle w:val="100000000000" w:firstRow="1" w:lastRow="0" w:firstColumn="0" w:lastColumn="0" w:oddVBand="0" w:evenVBand="0" w:oddHBand="0" w:evenHBand="0" w:firstRowFirstColumn="0" w:firstRowLastColumn="0" w:lastRowFirstColumn="0" w:lastRowLastColumn="0"/>
              <w:rPr>
                <w:color w:val="104C91"/>
                <w:lang w:eastAsia="de-DE"/>
              </w:rPr>
            </w:pPr>
            <w:r>
              <w:rPr>
                <w:color w:val="104C91"/>
                <w:lang w:eastAsia="de-DE"/>
              </w:rPr>
              <w:t>Description</w:t>
            </w:r>
          </w:p>
        </w:tc>
        <w:tc>
          <w:tcPr>
            <w:tcW w:w="1896" w:type="dxa"/>
            <w:tcBorders>
              <w:top w:val="single" w:sz="4" w:space="0" w:color="104C91"/>
              <w:bottom w:val="single" w:sz="4" w:space="0" w:color="104C91"/>
            </w:tcBorders>
          </w:tcPr>
          <w:p w14:paraId="183BAAD0" w14:textId="77777777" w:rsidR="00E20C0A" w:rsidRPr="005278BD" w:rsidRDefault="00E20C0A">
            <w:pPr>
              <w:spacing w:line="240" w:lineRule="auto"/>
              <w:jc w:val="left"/>
              <w:cnfStyle w:val="100000000000" w:firstRow="1" w:lastRow="0" w:firstColumn="0" w:lastColumn="0" w:oddVBand="0" w:evenVBand="0" w:oddHBand="0" w:evenHBand="0" w:firstRowFirstColumn="0" w:firstRowLastColumn="0" w:lastRowFirstColumn="0" w:lastRowLastColumn="0"/>
              <w:rPr>
                <w:color w:val="104C91"/>
                <w:lang w:eastAsia="de-DE"/>
              </w:rPr>
            </w:pPr>
            <w:r>
              <w:rPr>
                <w:color w:val="104C91"/>
                <w:lang w:eastAsia="de-DE"/>
              </w:rPr>
              <w:t>Strengths</w:t>
            </w:r>
          </w:p>
        </w:tc>
        <w:tc>
          <w:tcPr>
            <w:tcW w:w="1896" w:type="dxa"/>
            <w:tcBorders>
              <w:top w:val="single" w:sz="4" w:space="0" w:color="104C91"/>
              <w:bottom w:val="single" w:sz="4" w:space="0" w:color="104C91"/>
            </w:tcBorders>
          </w:tcPr>
          <w:p w14:paraId="44149952" w14:textId="77777777" w:rsidR="00E20C0A" w:rsidRDefault="00E20C0A">
            <w:pPr>
              <w:spacing w:line="240" w:lineRule="auto"/>
              <w:jc w:val="left"/>
              <w:cnfStyle w:val="100000000000" w:firstRow="1" w:lastRow="0" w:firstColumn="0" w:lastColumn="0" w:oddVBand="0" w:evenVBand="0" w:oddHBand="0" w:evenHBand="0" w:firstRowFirstColumn="0" w:firstRowLastColumn="0" w:lastRowFirstColumn="0" w:lastRowLastColumn="0"/>
              <w:rPr>
                <w:color w:val="104C91"/>
                <w:lang w:eastAsia="de-DE"/>
              </w:rPr>
            </w:pPr>
            <w:r>
              <w:rPr>
                <w:color w:val="104C91"/>
                <w:lang w:eastAsia="de-DE"/>
              </w:rPr>
              <w:t>Limitation</w:t>
            </w:r>
          </w:p>
        </w:tc>
        <w:tc>
          <w:tcPr>
            <w:tcW w:w="1908" w:type="dxa"/>
            <w:tcBorders>
              <w:top w:val="single" w:sz="4" w:space="0" w:color="104C91"/>
              <w:bottom w:val="single" w:sz="4" w:space="0" w:color="104C91"/>
            </w:tcBorders>
          </w:tcPr>
          <w:p w14:paraId="654ABBA0" w14:textId="77777777" w:rsidR="00E20C0A" w:rsidRDefault="00E20C0A">
            <w:pPr>
              <w:spacing w:line="240" w:lineRule="auto"/>
              <w:jc w:val="left"/>
              <w:cnfStyle w:val="100000000000" w:firstRow="1" w:lastRow="0" w:firstColumn="0" w:lastColumn="0" w:oddVBand="0" w:evenVBand="0" w:oddHBand="0" w:evenHBand="0" w:firstRowFirstColumn="0" w:firstRowLastColumn="0" w:lastRowFirstColumn="0" w:lastRowLastColumn="0"/>
              <w:rPr>
                <w:color w:val="104C91"/>
                <w:lang w:eastAsia="de-DE"/>
              </w:rPr>
            </w:pPr>
            <w:r>
              <w:rPr>
                <w:color w:val="104C91"/>
                <w:lang w:eastAsia="de-DE"/>
              </w:rPr>
              <w:t>Application</w:t>
            </w:r>
          </w:p>
        </w:tc>
      </w:tr>
      <w:tr w:rsidR="00E20C0A" w:rsidRPr="005278BD" w14:paraId="129EDDE9" w14:textId="77777777">
        <w:trPr>
          <w:trHeight w:val="2145"/>
        </w:trPr>
        <w:tc>
          <w:tcPr>
            <w:cnfStyle w:val="001000000000" w:firstRow="0" w:lastRow="0" w:firstColumn="1" w:lastColumn="0" w:oddVBand="0" w:evenVBand="0" w:oddHBand="0" w:evenHBand="0" w:firstRowFirstColumn="0" w:firstRowLastColumn="0" w:lastRowFirstColumn="0" w:lastRowLastColumn="0"/>
            <w:tcW w:w="1375" w:type="dxa"/>
          </w:tcPr>
          <w:p w14:paraId="27EDEBEA" w14:textId="77777777" w:rsidR="00E20C0A" w:rsidRPr="003F2602" w:rsidRDefault="00E20C0A">
            <w:pPr>
              <w:spacing w:line="240" w:lineRule="auto"/>
              <w:rPr>
                <w:lang w:eastAsia="de-DE"/>
              </w:rPr>
            </w:pPr>
            <w:r w:rsidRPr="003F2602">
              <w:rPr>
                <w:lang w:eastAsia="de-DE"/>
              </w:rPr>
              <w:t>Regression analysis</w:t>
            </w:r>
          </w:p>
        </w:tc>
        <w:tc>
          <w:tcPr>
            <w:tcW w:w="1943" w:type="dxa"/>
          </w:tcPr>
          <w:p w14:paraId="6D8026EE" w14:textId="77777777" w:rsidR="00E20C0A" w:rsidRPr="005278BD"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6207A3">
              <w:rPr>
                <w:lang w:eastAsia="de-DE"/>
              </w:rPr>
              <w:t>Uses statistical methods to model the relationship between demand and variables like GDP and population</w:t>
            </w:r>
          </w:p>
        </w:tc>
        <w:tc>
          <w:tcPr>
            <w:tcW w:w="1896" w:type="dxa"/>
          </w:tcPr>
          <w:p w14:paraId="686257C5" w14:textId="77777777" w:rsidR="00E20C0A" w:rsidRPr="005278BD"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6207A3">
              <w:rPr>
                <w:lang w:eastAsia="de-DE"/>
              </w:rPr>
              <w:t>Straightforward</w:t>
            </w:r>
            <w:r>
              <w:rPr>
                <w:lang w:eastAsia="de-DE"/>
              </w:rPr>
              <w:t>;</w:t>
            </w:r>
            <w:r w:rsidRPr="006207A3">
              <w:rPr>
                <w:lang w:eastAsia="de-DE"/>
              </w:rPr>
              <w:t xml:space="preserve"> interpretable</w:t>
            </w:r>
            <w:r>
              <w:rPr>
                <w:lang w:eastAsia="de-DE"/>
              </w:rPr>
              <w:t xml:space="preserve">; </w:t>
            </w:r>
            <w:r w:rsidRPr="006207A3">
              <w:rPr>
                <w:lang w:eastAsia="de-DE"/>
              </w:rPr>
              <w:t>well-suited for capturing linear relationships</w:t>
            </w:r>
          </w:p>
        </w:tc>
        <w:tc>
          <w:tcPr>
            <w:tcW w:w="1896" w:type="dxa"/>
          </w:tcPr>
          <w:p w14:paraId="1FCDFC35" w14:textId="77777777" w:rsidR="00E20C0A" w:rsidRPr="005278BD"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6207A3">
              <w:rPr>
                <w:lang w:eastAsia="de-DE"/>
              </w:rPr>
              <w:t>Assumes linear relationships, which may not capture complex dynamics</w:t>
            </w:r>
          </w:p>
        </w:tc>
        <w:tc>
          <w:tcPr>
            <w:tcW w:w="1908" w:type="dxa"/>
          </w:tcPr>
          <w:p w14:paraId="3C51365A" w14:textId="77777777" w:rsidR="00E20C0A" w:rsidRPr="005278BD"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E53A5B">
              <w:rPr>
                <w:lang w:eastAsia="de-DE"/>
              </w:rPr>
              <w:t>Effective for environments where demand drivers are primarily economic</w:t>
            </w:r>
          </w:p>
        </w:tc>
      </w:tr>
      <w:tr w:rsidR="00E20C0A" w:rsidRPr="005278BD" w14:paraId="2C0C9AED" w14:textId="77777777">
        <w:trPr>
          <w:trHeight w:val="2128"/>
        </w:trPr>
        <w:tc>
          <w:tcPr>
            <w:cnfStyle w:val="001000000000" w:firstRow="0" w:lastRow="0" w:firstColumn="1" w:lastColumn="0" w:oddVBand="0" w:evenVBand="0" w:oddHBand="0" w:evenHBand="0" w:firstRowFirstColumn="0" w:firstRowLastColumn="0" w:lastRowFirstColumn="0" w:lastRowLastColumn="0"/>
            <w:tcW w:w="1375" w:type="dxa"/>
          </w:tcPr>
          <w:p w14:paraId="73B3E47F" w14:textId="77777777" w:rsidR="00E20C0A" w:rsidRPr="00C97429" w:rsidRDefault="00E20C0A">
            <w:pPr>
              <w:spacing w:line="240" w:lineRule="auto"/>
              <w:rPr>
                <w:bCs/>
                <w:lang w:eastAsia="de-DE"/>
              </w:rPr>
            </w:pPr>
            <w:r>
              <w:rPr>
                <w:bCs/>
                <w:lang w:eastAsia="de-DE"/>
              </w:rPr>
              <w:t>Time-series forecasting</w:t>
            </w:r>
          </w:p>
        </w:tc>
        <w:tc>
          <w:tcPr>
            <w:tcW w:w="1943" w:type="dxa"/>
          </w:tcPr>
          <w:p w14:paraId="5751C675" w14:textId="77777777" w:rsidR="00E20C0A" w:rsidRPr="006207A3"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B5606D">
              <w:rPr>
                <w:lang w:eastAsia="de-DE"/>
              </w:rPr>
              <w:t>Analy</w:t>
            </w:r>
            <w:r>
              <w:rPr>
                <w:lang w:eastAsia="de-DE"/>
              </w:rPr>
              <w:t>s</w:t>
            </w:r>
            <w:r w:rsidRPr="00B5606D">
              <w:rPr>
                <w:lang w:eastAsia="de-DE"/>
              </w:rPr>
              <w:t>es historical demand data to identify trends and seasonal patterns</w:t>
            </w:r>
          </w:p>
        </w:tc>
        <w:tc>
          <w:tcPr>
            <w:tcW w:w="1896" w:type="dxa"/>
          </w:tcPr>
          <w:p w14:paraId="77376D1D" w14:textId="77777777" w:rsidR="00E20C0A" w:rsidRPr="006207A3"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B5606D">
              <w:rPr>
                <w:lang w:eastAsia="de-DE"/>
              </w:rPr>
              <w:t>Good for identifying trends and seasonality</w:t>
            </w:r>
            <w:r>
              <w:rPr>
                <w:lang w:eastAsia="de-DE"/>
              </w:rPr>
              <w:t>,</w:t>
            </w:r>
            <w:r w:rsidRPr="00B5606D">
              <w:rPr>
                <w:lang w:eastAsia="de-DE"/>
              </w:rPr>
              <w:t xml:space="preserve"> </w:t>
            </w:r>
            <w:r w:rsidRPr="00854D04">
              <w:rPr>
                <w:lang w:eastAsia="de-DE"/>
              </w:rPr>
              <w:t>particularly when extensive historical data is available</w:t>
            </w:r>
          </w:p>
        </w:tc>
        <w:tc>
          <w:tcPr>
            <w:tcW w:w="1896" w:type="dxa"/>
          </w:tcPr>
          <w:p w14:paraId="2461DFFB" w14:textId="77777777" w:rsidR="00E20C0A" w:rsidRPr="006207A3"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B5606D">
              <w:rPr>
                <w:lang w:eastAsia="de-DE"/>
              </w:rPr>
              <w:t>Limited by its reliance on internal dat</w:t>
            </w:r>
            <w:r>
              <w:rPr>
                <w:lang w:eastAsia="de-DE"/>
              </w:rPr>
              <w:t xml:space="preserve">a </w:t>
            </w:r>
            <w:r w:rsidRPr="00B5606D">
              <w:rPr>
                <w:lang w:eastAsia="de-DE"/>
              </w:rPr>
              <w:t>patterns</w:t>
            </w:r>
            <w:r>
              <w:rPr>
                <w:lang w:eastAsia="de-DE"/>
              </w:rPr>
              <w:t xml:space="preserve"> as it is</w:t>
            </w:r>
            <w:r w:rsidRPr="00B5606D">
              <w:rPr>
                <w:lang w:eastAsia="de-DE"/>
              </w:rPr>
              <w:t xml:space="preserve"> challenging to include external variables</w:t>
            </w:r>
          </w:p>
        </w:tc>
        <w:tc>
          <w:tcPr>
            <w:tcW w:w="1908" w:type="dxa"/>
          </w:tcPr>
          <w:p w14:paraId="59DA7021" w14:textId="77777777" w:rsidR="00E20C0A" w:rsidRPr="00E53A5B"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864A22">
              <w:rPr>
                <w:lang w:eastAsia="de-DE"/>
              </w:rPr>
              <w:t>Suitable for stable environments with consistent historical data</w:t>
            </w:r>
          </w:p>
        </w:tc>
      </w:tr>
      <w:tr w:rsidR="00E20C0A" w:rsidRPr="005278BD" w14:paraId="57B549F0" w14:textId="77777777">
        <w:trPr>
          <w:trHeight w:val="1847"/>
        </w:trPr>
        <w:tc>
          <w:tcPr>
            <w:cnfStyle w:val="001000000000" w:firstRow="0" w:lastRow="0" w:firstColumn="1" w:lastColumn="0" w:oddVBand="0" w:evenVBand="0" w:oddHBand="0" w:evenHBand="0" w:firstRowFirstColumn="0" w:firstRowLastColumn="0" w:lastRowFirstColumn="0" w:lastRowLastColumn="0"/>
            <w:tcW w:w="1375" w:type="dxa"/>
          </w:tcPr>
          <w:p w14:paraId="7AA03004" w14:textId="77777777" w:rsidR="00E20C0A" w:rsidRPr="00C97429" w:rsidRDefault="00E20C0A">
            <w:pPr>
              <w:spacing w:line="240" w:lineRule="auto"/>
              <w:rPr>
                <w:bCs/>
                <w:lang w:eastAsia="de-DE"/>
              </w:rPr>
            </w:pPr>
            <w:r>
              <w:rPr>
                <w:bCs/>
                <w:lang w:eastAsia="de-DE"/>
              </w:rPr>
              <w:t xml:space="preserve">AI-based </w:t>
            </w:r>
          </w:p>
        </w:tc>
        <w:tc>
          <w:tcPr>
            <w:tcW w:w="1943" w:type="dxa"/>
          </w:tcPr>
          <w:p w14:paraId="6E5EF2F3" w14:textId="428E4E06" w:rsidR="00E20C0A" w:rsidRPr="006207A3"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F923E0">
              <w:rPr>
                <w:lang w:eastAsia="de-DE"/>
              </w:rPr>
              <w:t>Utili</w:t>
            </w:r>
            <w:r w:rsidR="00AE1184">
              <w:rPr>
                <w:lang w:eastAsia="de-DE"/>
              </w:rPr>
              <w:t>s</w:t>
            </w:r>
            <w:r w:rsidRPr="00F923E0">
              <w:rPr>
                <w:lang w:eastAsia="de-DE"/>
              </w:rPr>
              <w:t>es machine learning models to capture non-linear relationships in large datasets</w:t>
            </w:r>
          </w:p>
        </w:tc>
        <w:tc>
          <w:tcPr>
            <w:tcW w:w="1896" w:type="dxa"/>
          </w:tcPr>
          <w:p w14:paraId="4B9B4AE3" w14:textId="77777777" w:rsidR="00E20C0A" w:rsidRPr="006207A3"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F923E0">
              <w:rPr>
                <w:lang w:eastAsia="de-DE"/>
              </w:rPr>
              <w:t>Handles complex, non-linear relationships; adaptable to high-dimensional data</w:t>
            </w:r>
          </w:p>
        </w:tc>
        <w:tc>
          <w:tcPr>
            <w:tcW w:w="1896" w:type="dxa"/>
          </w:tcPr>
          <w:p w14:paraId="1F94D4FD" w14:textId="77777777" w:rsidR="00E20C0A" w:rsidRPr="006207A3"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F923E0">
              <w:rPr>
                <w:lang w:eastAsia="de-DE"/>
              </w:rPr>
              <w:t>Often lacks interpretability; can be data-intensive and computationally demanding</w:t>
            </w:r>
          </w:p>
        </w:tc>
        <w:tc>
          <w:tcPr>
            <w:tcW w:w="1908" w:type="dxa"/>
          </w:tcPr>
          <w:p w14:paraId="2BBB9E51" w14:textId="77777777" w:rsidR="00E20C0A" w:rsidRPr="00E53A5B"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F923E0">
              <w:rPr>
                <w:lang w:eastAsia="de-DE"/>
              </w:rPr>
              <w:t>Useful in data-rich environments with complex demand dynamics</w:t>
            </w:r>
            <w:r>
              <w:rPr>
                <w:lang w:eastAsia="de-DE"/>
              </w:rPr>
              <w:t xml:space="preserve">; </w:t>
            </w:r>
            <w:r w:rsidRPr="00F923E0">
              <w:rPr>
                <w:lang w:eastAsia="de-DE"/>
              </w:rPr>
              <w:t>applicable in fast-evolving markets</w:t>
            </w:r>
          </w:p>
        </w:tc>
      </w:tr>
      <w:tr w:rsidR="00E20C0A" w:rsidRPr="005278BD" w14:paraId="5E1F45AE" w14:textId="77777777">
        <w:trPr>
          <w:trHeight w:val="2412"/>
        </w:trPr>
        <w:tc>
          <w:tcPr>
            <w:cnfStyle w:val="001000000000" w:firstRow="0" w:lastRow="0" w:firstColumn="1" w:lastColumn="0" w:oddVBand="0" w:evenVBand="0" w:oddHBand="0" w:evenHBand="0" w:firstRowFirstColumn="0" w:firstRowLastColumn="0" w:lastRowFirstColumn="0" w:lastRowLastColumn="0"/>
            <w:tcW w:w="1375" w:type="dxa"/>
            <w:tcBorders>
              <w:bottom w:val="single" w:sz="4" w:space="0" w:color="104C91"/>
            </w:tcBorders>
          </w:tcPr>
          <w:p w14:paraId="60E26516" w14:textId="77777777" w:rsidR="00E20C0A" w:rsidRPr="00C97429" w:rsidRDefault="00E20C0A">
            <w:pPr>
              <w:spacing w:line="240" w:lineRule="auto"/>
              <w:rPr>
                <w:bCs/>
                <w:lang w:eastAsia="de-DE"/>
              </w:rPr>
            </w:pPr>
            <w:r>
              <w:rPr>
                <w:bCs/>
                <w:lang w:eastAsia="de-DE"/>
              </w:rPr>
              <w:t>Additive models</w:t>
            </w:r>
          </w:p>
        </w:tc>
        <w:tc>
          <w:tcPr>
            <w:tcW w:w="1943" w:type="dxa"/>
            <w:tcBorders>
              <w:bottom w:val="single" w:sz="4" w:space="0" w:color="104C91"/>
            </w:tcBorders>
          </w:tcPr>
          <w:p w14:paraId="684CE238" w14:textId="77777777" w:rsidR="00E20C0A" w:rsidRPr="006207A3"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864A22">
              <w:rPr>
                <w:lang w:eastAsia="de-DE"/>
              </w:rPr>
              <w:t>Incorporates both linear and non-linear components; can include external variables like weather and GDP</w:t>
            </w:r>
          </w:p>
        </w:tc>
        <w:tc>
          <w:tcPr>
            <w:tcW w:w="1896" w:type="dxa"/>
            <w:tcBorders>
              <w:bottom w:val="single" w:sz="4" w:space="0" w:color="104C91"/>
            </w:tcBorders>
          </w:tcPr>
          <w:p w14:paraId="688F6764" w14:textId="77777777" w:rsidR="00E20C0A" w:rsidRPr="006207A3"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864A22">
              <w:rPr>
                <w:lang w:eastAsia="de-DE"/>
              </w:rPr>
              <w:t>Handles seasonality well</w:t>
            </w:r>
            <w:r>
              <w:rPr>
                <w:lang w:eastAsia="de-DE"/>
              </w:rPr>
              <w:t>;</w:t>
            </w:r>
            <w:r w:rsidRPr="00864A22">
              <w:rPr>
                <w:lang w:eastAsia="de-DE"/>
              </w:rPr>
              <w:t xml:space="preserve"> robust to missing data</w:t>
            </w:r>
            <w:r>
              <w:rPr>
                <w:lang w:eastAsia="de-DE"/>
              </w:rPr>
              <w:t>;</w:t>
            </w:r>
            <w:r w:rsidRPr="00864A22">
              <w:rPr>
                <w:lang w:eastAsia="de-DE"/>
              </w:rPr>
              <w:t xml:space="preserve"> allows inclusion of external regressors</w:t>
            </w:r>
            <w:r>
              <w:rPr>
                <w:lang w:eastAsia="de-DE"/>
              </w:rPr>
              <w:t xml:space="preserve">; </w:t>
            </w:r>
            <w:r w:rsidRPr="00864A22">
              <w:rPr>
                <w:lang w:eastAsia="de-DE"/>
              </w:rPr>
              <w:t>interpretable</w:t>
            </w:r>
          </w:p>
        </w:tc>
        <w:tc>
          <w:tcPr>
            <w:tcW w:w="1896" w:type="dxa"/>
            <w:tcBorders>
              <w:bottom w:val="single" w:sz="4" w:space="0" w:color="104C91"/>
            </w:tcBorders>
          </w:tcPr>
          <w:p w14:paraId="607E5A7E" w14:textId="77777777" w:rsidR="00E20C0A" w:rsidRPr="006207A3"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sidRPr="00864A22">
              <w:rPr>
                <w:lang w:eastAsia="de-DE"/>
              </w:rPr>
              <w:t>May require careful tuning; does not inherently capture highly complex non-linearities as well as AI models</w:t>
            </w:r>
          </w:p>
        </w:tc>
        <w:tc>
          <w:tcPr>
            <w:tcW w:w="1908" w:type="dxa"/>
            <w:tcBorders>
              <w:bottom w:val="single" w:sz="4" w:space="0" w:color="104C91"/>
            </w:tcBorders>
          </w:tcPr>
          <w:p w14:paraId="6A627494" w14:textId="77777777" w:rsidR="00E20C0A" w:rsidRPr="00E53A5B" w:rsidRDefault="00E20C0A">
            <w:pPr>
              <w:spacing w:line="240" w:lineRule="auto"/>
              <w:jc w:val="left"/>
              <w:cnfStyle w:val="000000000000" w:firstRow="0" w:lastRow="0" w:firstColumn="0" w:lastColumn="0" w:oddVBand="0" w:evenVBand="0" w:oddHBand="0" w:evenHBand="0" w:firstRowFirstColumn="0" w:firstRowLastColumn="0" w:lastRowFirstColumn="0" w:lastRowLastColumn="0"/>
              <w:rPr>
                <w:lang w:eastAsia="de-DE"/>
              </w:rPr>
            </w:pPr>
            <w:r>
              <w:rPr>
                <w:lang w:eastAsia="de-DE"/>
              </w:rPr>
              <w:t>Well-suited for seasonal-driven demand, where external factors have significant impact; applicable for data-scarce environments</w:t>
            </w:r>
          </w:p>
        </w:tc>
      </w:tr>
    </w:tbl>
    <w:p w14:paraId="734DDB5A" w14:textId="7754E98F" w:rsidR="00E20C0A" w:rsidRPr="00AA0FFC" w:rsidRDefault="00E20C0A" w:rsidP="00AA0FFC">
      <w:pPr>
        <w:pStyle w:val="Fliesstext"/>
        <w:spacing w:before="120" w:line="276" w:lineRule="auto"/>
        <w:jc w:val="both"/>
        <w:rPr>
          <w:rFonts w:cs="Calibri"/>
          <w:i/>
          <w:iCs/>
          <w:color w:val="ADADAD"/>
          <w:sz w:val="18"/>
          <w:szCs w:val="18"/>
        </w:rPr>
      </w:pPr>
      <w:r w:rsidRPr="009202F3">
        <w:rPr>
          <w:rFonts w:cs="Calibri"/>
          <w:i/>
          <w:iCs/>
          <w:color w:val="ADADAD"/>
          <w:sz w:val="18"/>
          <w:szCs w:val="18"/>
          <w:lang w:val="de-DE"/>
        </w:rPr>
        <w:t xml:space="preserve">Source: </w:t>
      </w:r>
      <w:r w:rsidR="0027690B" w:rsidRPr="009202F3">
        <w:rPr>
          <w:rFonts w:cs="Calibri"/>
          <w:i/>
          <w:iCs/>
          <w:color w:val="ADADAD"/>
          <w:sz w:val="18"/>
          <w:szCs w:val="18"/>
          <w:lang w:val="de-DE"/>
        </w:rPr>
        <w:t>Mir et al. (2020)</w:t>
      </w:r>
      <w:r w:rsidR="0027690B">
        <w:rPr>
          <w:rStyle w:val="Funotenzeichen"/>
          <w:rFonts w:cs="Calibri"/>
          <w:i/>
          <w:iCs/>
          <w:color w:val="ADADAD"/>
          <w:sz w:val="18"/>
          <w:szCs w:val="18"/>
        </w:rPr>
        <w:footnoteReference w:id="8"/>
      </w:r>
      <w:r w:rsidR="0027690B" w:rsidRPr="009202F3">
        <w:rPr>
          <w:rFonts w:cs="Calibri"/>
          <w:i/>
          <w:iCs/>
          <w:color w:val="ADADAD"/>
          <w:sz w:val="18"/>
          <w:szCs w:val="18"/>
          <w:lang w:val="de-DE"/>
        </w:rPr>
        <w:t xml:space="preserve">, </w:t>
      </w:r>
      <w:proofErr w:type="spellStart"/>
      <w:r w:rsidR="006F587A" w:rsidRPr="009202F3">
        <w:rPr>
          <w:rFonts w:cs="Calibri"/>
          <w:i/>
          <w:iCs/>
          <w:color w:val="ADADAD"/>
          <w:sz w:val="18"/>
          <w:szCs w:val="18"/>
          <w:lang w:val="de-DE"/>
        </w:rPr>
        <w:t>Steinbuks</w:t>
      </w:r>
      <w:proofErr w:type="spellEnd"/>
      <w:r w:rsidR="006F587A" w:rsidRPr="009202F3">
        <w:rPr>
          <w:rFonts w:cs="Calibri"/>
          <w:i/>
          <w:iCs/>
          <w:color w:val="ADADAD"/>
          <w:sz w:val="18"/>
          <w:szCs w:val="18"/>
          <w:lang w:val="de-DE"/>
        </w:rPr>
        <w:t xml:space="preserve"> et al. </w:t>
      </w:r>
      <w:r w:rsidR="006F587A">
        <w:rPr>
          <w:rFonts w:cs="Calibri"/>
          <w:i/>
          <w:iCs/>
          <w:color w:val="ADADAD"/>
          <w:sz w:val="18"/>
          <w:szCs w:val="18"/>
        </w:rPr>
        <w:t>(2017)</w:t>
      </w:r>
      <w:r w:rsidR="007D7DBD">
        <w:rPr>
          <w:rStyle w:val="Funotenzeichen"/>
          <w:rFonts w:cs="Calibri"/>
          <w:i/>
          <w:iCs/>
          <w:color w:val="ADADAD"/>
          <w:sz w:val="18"/>
          <w:szCs w:val="18"/>
        </w:rPr>
        <w:footnoteReference w:id="9"/>
      </w:r>
      <w:r w:rsidR="00376E26">
        <w:rPr>
          <w:rFonts w:cs="Calibri"/>
          <w:i/>
          <w:iCs/>
          <w:color w:val="ADADAD"/>
          <w:sz w:val="18"/>
          <w:szCs w:val="18"/>
        </w:rPr>
        <w:t xml:space="preserve">, </w:t>
      </w:r>
      <w:r w:rsidR="005C610B">
        <w:rPr>
          <w:rFonts w:cs="Calibri"/>
          <w:i/>
          <w:iCs/>
          <w:color w:val="ADADAD"/>
          <w:sz w:val="18"/>
          <w:szCs w:val="18"/>
        </w:rPr>
        <w:t>Das</w:t>
      </w:r>
      <w:r w:rsidR="00B5221E">
        <w:rPr>
          <w:rFonts w:cs="Calibri"/>
          <w:i/>
          <w:iCs/>
          <w:color w:val="ADADAD"/>
          <w:sz w:val="18"/>
          <w:szCs w:val="18"/>
        </w:rPr>
        <w:t>,</w:t>
      </w:r>
      <w:r w:rsidR="0006191E">
        <w:rPr>
          <w:rFonts w:cs="Calibri"/>
          <w:i/>
          <w:iCs/>
          <w:color w:val="ADADAD"/>
          <w:sz w:val="18"/>
          <w:szCs w:val="18"/>
        </w:rPr>
        <w:t xml:space="preserve"> Dey (2021</w:t>
      </w:r>
      <w:r w:rsidR="00496A27">
        <w:rPr>
          <w:rFonts w:cs="Calibri"/>
          <w:i/>
          <w:iCs/>
          <w:color w:val="ADADAD"/>
          <w:sz w:val="18"/>
          <w:szCs w:val="18"/>
        </w:rPr>
        <w:t>)</w:t>
      </w:r>
      <w:r w:rsidR="00496A27">
        <w:rPr>
          <w:rStyle w:val="Funotenzeichen"/>
          <w:rFonts w:cs="Calibri"/>
          <w:i/>
          <w:iCs/>
          <w:color w:val="ADADAD"/>
          <w:sz w:val="18"/>
          <w:szCs w:val="18"/>
        </w:rPr>
        <w:footnoteReference w:id="10"/>
      </w:r>
    </w:p>
    <w:p w14:paraId="2A08FB9D" w14:textId="77777777" w:rsidR="00300874" w:rsidRDefault="00300874" w:rsidP="007419AF">
      <w:pPr>
        <w:spacing w:before="260" w:line="260" w:lineRule="atLeast"/>
        <w:jc w:val="left"/>
        <w:rPr>
          <w:rFonts w:cs="Calibri"/>
          <w:b/>
          <w:bCs/>
          <w:color w:val="104C91"/>
          <w:szCs w:val="22"/>
        </w:rPr>
      </w:pPr>
    </w:p>
    <w:p w14:paraId="281C083F" w14:textId="77777777" w:rsidR="00300874" w:rsidRDefault="00300874" w:rsidP="007419AF">
      <w:pPr>
        <w:spacing w:before="260" w:line="260" w:lineRule="atLeast"/>
        <w:jc w:val="left"/>
        <w:rPr>
          <w:rFonts w:cs="Calibri"/>
          <w:b/>
          <w:bCs/>
          <w:color w:val="104C91"/>
          <w:szCs w:val="22"/>
        </w:rPr>
      </w:pPr>
    </w:p>
    <w:p w14:paraId="42EF117F" w14:textId="113E8FB7" w:rsidR="00785065" w:rsidRPr="00785065" w:rsidRDefault="00AB0E70" w:rsidP="007419AF">
      <w:pPr>
        <w:spacing w:before="260" w:line="260" w:lineRule="atLeast"/>
        <w:jc w:val="left"/>
        <w:rPr>
          <w:rFonts w:cs="Calibri"/>
          <w:b/>
          <w:bCs/>
          <w:color w:val="104C91"/>
          <w:szCs w:val="22"/>
        </w:rPr>
      </w:pPr>
      <w:r>
        <w:rPr>
          <w:rFonts w:cs="Calibri"/>
          <w:b/>
          <w:bCs/>
          <w:color w:val="104C91"/>
          <w:szCs w:val="22"/>
        </w:rPr>
        <w:lastRenderedPageBreak/>
        <w:t xml:space="preserve">Model </w:t>
      </w:r>
      <w:r w:rsidR="000B032E">
        <w:rPr>
          <w:rFonts w:cs="Calibri"/>
          <w:b/>
          <w:bCs/>
          <w:color w:val="104C91"/>
          <w:szCs w:val="22"/>
        </w:rPr>
        <w:t>chosen: Prophet</w:t>
      </w:r>
    </w:p>
    <w:p w14:paraId="1488EE37" w14:textId="5A9B586D" w:rsidR="00FD3B29" w:rsidRPr="00FD3B29" w:rsidRDefault="00FD3B29" w:rsidP="007419AF">
      <w:pPr>
        <w:pStyle w:val="Fliesstext"/>
        <w:spacing w:after="60"/>
        <w:rPr>
          <w:i/>
          <w:iCs/>
          <w:color w:val="auto"/>
        </w:rPr>
      </w:pPr>
      <w:r w:rsidRPr="00FD3B29">
        <w:rPr>
          <w:i/>
          <w:iCs/>
          <w:color w:val="auto"/>
        </w:rPr>
        <w:t xml:space="preserve">Hybrid model combining </w:t>
      </w:r>
      <w:r w:rsidRPr="00FD3B29">
        <w:rPr>
          <w:b/>
          <w:bCs/>
          <w:i/>
          <w:iCs/>
          <w:color w:val="auto"/>
        </w:rPr>
        <w:t>time-series forecasting</w:t>
      </w:r>
      <w:r w:rsidRPr="00FD3B29">
        <w:rPr>
          <w:i/>
          <w:iCs/>
          <w:color w:val="auto"/>
        </w:rPr>
        <w:t xml:space="preserve"> and </w:t>
      </w:r>
      <w:r w:rsidRPr="00FD3B29">
        <w:rPr>
          <w:b/>
          <w:bCs/>
          <w:i/>
          <w:iCs/>
          <w:color w:val="auto"/>
        </w:rPr>
        <w:t>additive modelling</w:t>
      </w:r>
    </w:p>
    <w:p w14:paraId="14F7553E" w14:textId="7235C9BB" w:rsidR="00DB2E82" w:rsidRDefault="00265AFB" w:rsidP="007419AF">
      <w:pPr>
        <w:pStyle w:val="Fliesstext"/>
        <w:spacing w:after="60"/>
        <w:rPr>
          <w:color w:val="auto"/>
        </w:rPr>
      </w:pPr>
      <w:r w:rsidRPr="00265AFB">
        <w:rPr>
          <w:color w:val="auto"/>
        </w:rPr>
        <w:t xml:space="preserve">Given the outlined options for electricity demand forecasting, the </w:t>
      </w:r>
      <w:r w:rsidRPr="00265AFB">
        <w:rPr>
          <w:b/>
          <w:bCs/>
          <w:color w:val="auto"/>
        </w:rPr>
        <w:t>Prophet model</w:t>
      </w:r>
      <w:r w:rsidRPr="00265AFB">
        <w:rPr>
          <w:color w:val="auto"/>
        </w:rPr>
        <w:t xml:space="preserve"> developed by Meta (formerly Facebook) </w:t>
      </w:r>
      <w:r w:rsidR="00786EC1">
        <w:rPr>
          <w:color w:val="auto"/>
        </w:rPr>
        <w:t>was</w:t>
      </w:r>
      <w:r w:rsidRPr="00265AFB">
        <w:rPr>
          <w:color w:val="auto"/>
        </w:rPr>
        <w:t xml:space="preserve"> selected for this study</w:t>
      </w:r>
      <w:r w:rsidR="007F28A3">
        <w:rPr>
          <w:color w:val="auto"/>
        </w:rPr>
        <w:t xml:space="preserve">. </w:t>
      </w:r>
      <w:r w:rsidR="00867513" w:rsidRPr="00867513">
        <w:rPr>
          <w:color w:val="auto"/>
        </w:rPr>
        <w:t>Prophet is a robust, flexible tool designed for forecasting time series data that demonstrates patterns of seasonality, trends, and occasional irregularities. It combines the strengths of time-series analysis and additive mode</w:t>
      </w:r>
      <w:r w:rsidR="00867513">
        <w:rPr>
          <w:color w:val="auto"/>
        </w:rPr>
        <w:t>l</w:t>
      </w:r>
      <w:r w:rsidR="00867513" w:rsidRPr="00867513">
        <w:rPr>
          <w:color w:val="auto"/>
        </w:rPr>
        <w:t>ling, providing reliable forecasts even when missing data or unusual trends are present. The model has been widely adopted in peer-reviewed research</w:t>
      </w:r>
      <w:r w:rsidR="00E220A7">
        <w:rPr>
          <w:rStyle w:val="Funotenzeichen"/>
          <w:color w:val="auto"/>
        </w:rPr>
        <w:footnoteReference w:id="11"/>
      </w:r>
      <w:r w:rsidR="003A086F" w:rsidRPr="000839E3">
        <w:rPr>
          <w:color w:val="auto"/>
          <w:vertAlign w:val="superscript"/>
        </w:rPr>
        <w:t>,</w:t>
      </w:r>
      <w:r w:rsidR="00E220A7">
        <w:rPr>
          <w:rStyle w:val="Funotenzeichen"/>
          <w:color w:val="auto"/>
        </w:rPr>
        <w:footnoteReference w:id="12"/>
      </w:r>
      <w:r w:rsidR="00867513" w:rsidRPr="00867513">
        <w:rPr>
          <w:color w:val="auto"/>
        </w:rPr>
        <w:t xml:space="preserve"> and is frequently used for demand forecasting, as it is well-suited for datasets involving </w:t>
      </w:r>
      <w:r w:rsidR="00867513" w:rsidRPr="001D3956">
        <w:rPr>
          <w:b/>
          <w:bCs/>
          <w:color w:val="auto"/>
        </w:rPr>
        <w:t>recurrent seasonal patterns and trend shifts</w:t>
      </w:r>
      <w:r w:rsidR="0071394A" w:rsidRPr="0071394A">
        <w:rPr>
          <w:color w:val="auto"/>
        </w:rPr>
        <w:t xml:space="preserve">. </w:t>
      </w:r>
    </w:p>
    <w:p w14:paraId="1BF7F8DE" w14:textId="1D00CF8E" w:rsidR="00DB2E82" w:rsidRDefault="00306D80" w:rsidP="00265AFB">
      <w:pPr>
        <w:pStyle w:val="Fliesstext"/>
        <w:spacing w:after="60"/>
        <w:rPr>
          <w:color w:val="auto"/>
        </w:rPr>
      </w:pPr>
      <w:r>
        <w:rPr>
          <w:color w:val="auto"/>
        </w:rPr>
        <w:t>Prophet</w:t>
      </w:r>
      <w:r w:rsidR="00DB2E82" w:rsidRPr="008F0AE4">
        <w:rPr>
          <w:rFonts w:cs="Calibri"/>
          <w:szCs w:val="22"/>
        </w:rPr>
        <w:t xml:space="preserve"> was selected </w:t>
      </w:r>
      <w:r>
        <w:rPr>
          <w:rFonts w:cs="Calibri"/>
          <w:szCs w:val="22"/>
        </w:rPr>
        <w:t xml:space="preserve">for its </w:t>
      </w:r>
      <w:r w:rsidRPr="00265AFB">
        <w:rPr>
          <w:color w:val="auto"/>
        </w:rPr>
        <w:t xml:space="preserve">notable advantages in </w:t>
      </w:r>
      <w:r w:rsidR="002E0CEF">
        <w:rPr>
          <w:color w:val="auto"/>
        </w:rPr>
        <w:t>addressing</w:t>
      </w:r>
      <w:r w:rsidRPr="00265AFB">
        <w:rPr>
          <w:color w:val="auto"/>
        </w:rPr>
        <w:t xml:space="preserve"> </w:t>
      </w:r>
      <w:r w:rsidR="00D31FB2" w:rsidRPr="00D31FB2">
        <w:rPr>
          <w:rFonts w:cs="Calibri"/>
          <w:szCs w:val="22"/>
        </w:rPr>
        <w:t>the complexities of Uzbekistan’s electricity demand forecasting</w:t>
      </w:r>
      <w:r w:rsidR="00DB2E82" w:rsidRPr="008F0AE4">
        <w:rPr>
          <w:rFonts w:cs="Calibri"/>
          <w:szCs w:val="22"/>
        </w:rPr>
        <w:t>:</w:t>
      </w:r>
    </w:p>
    <w:p w14:paraId="6092474D" w14:textId="59ECF9A3" w:rsidR="00C920B6" w:rsidRDefault="00CF7F6E">
      <w:pPr>
        <w:pStyle w:val="Fliesstext"/>
        <w:numPr>
          <w:ilvl w:val="0"/>
          <w:numId w:val="24"/>
        </w:numPr>
        <w:spacing w:after="60"/>
        <w:rPr>
          <w:color w:val="auto"/>
        </w:rPr>
      </w:pPr>
      <w:r w:rsidRPr="00C920B6">
        <w:rPr>
          <w:b/>
          <w:bCs/>
          <w:color w:val="auto"/>
        </w:rPr>
        <w:t>Seasonality and trend</w:t>
      </w:r>
      <w:r w:rsidRPr="00C920B6">
        <w:rPr>
          <w:color w:val="auto"/>
        </w:rPr>
        <w:t xml:space="preserve"> handling: </w:t>
      </w:r>
      <w:r w:rsidR="00C920B6" w:rsidRPr="00C920B6">
        <w:rPr>
          <w:color w:val="auto"/>
        </w:rPr>
        <w:t xml:space="preserve">Prophet is adept at capturing seasonal variations and long-term trends crucial for accurate forecasting in Uzbekistan's dynamic economy. It can effectively manage </w:t>
      </w:r>
      <w:r w:rsidR="00C920B6" w:rsidRPr="00C920B6">
        <w:rPr>
          <w:b/>
          <w:bCs/>
          <w:color w:val="auto"/>
        </w:rPr>
        <w:t xml:space="preserve">multiple </w:t>
      </w:r>
      <w:proofErr w:type="spellStart"/>
      <w:r w:rsidR="00C920B6" w:rsidRPr="00C920B6">
        <w:rPr>
          <w:b/>
          <w:bCs/>
          <w:color w:val="auto"/>
        </w:rPr>
        <w:t>seasonalities</w:t>
      </w:r>
      <w:proofErr w:type="spellEnd"/>
      <w:r w:rsidR="00C920B6" w:rsidRPr="00C920B6">
        <w:rPr>
          <w:color w:val="auto"/>
        </w:rPr>
        <w:t>, capturing variations on daily, weekly, and yearly levels</w:t>
      </w:r>
      <w:r w:rsidR="00C920B6">
        <w:rPr>
          <w:color w:val="auto"/>
        </w:rPr>
        <w:t xml:space="preserve"> – </w:t>
      </w:r>
      <w:r w:rsidR="00C920B6" w:rsidRPr="00C920B6">
        <w:rPr>
          <w:color w:val="auto"/>
        </w:rPr>
        <w:t>essential for model</w:t>
      </w:r>
      <w:r w:rsidR="00C920B6">
        <w:rPr>
          <w:color w:val="auto"/>
        </w:rPr>
        <w:t>l</w:t>
      </w:r>
      <w:r w:rsidR="00C920B6" w:rsidRPr="00C920B6">
        <w:rPr>
          <w:color w:val="auto"/>
        </w:rPr>
        <w:t>ing electricity demand accurately.</w:t>
      </w:r>
    </w:p>
    <w:p w14:paraId="3B6E0287" w14:textId="4EC97D6D" w:rsidR="00CF7F6E" w:rsidRPr="00C920B6" w:rsidRDefault="00CF7F6E">
      <w:pPr>
        <w:pStyle w:val="Fliesstext"/>
        <w:numPr>
          <w:ilvl w:val="0"/>
          <w:numId w:val="24"/>
        </w:numPr>
        <w:spacing w:after="60"/>
        <w:rPr>
          <w:color w:val="auto"/>
        </w:rPr>
      </w:pPr>
      <w:r w:rsidRPr="00C920B6">
        <w:rPr>
          <w:color w:val="auto"/>
        </w:rPr>
        <w:t xml:space="preserve">Integration of </w:t>
      </w:r>
      <w:r w:rsidRPr="00C920B6">
        <w:rPr>
          <w:b/>
          <w:bCs/>
          <w:color w:val="auto"/>
        </w:rPr>
        <w:t>external regressors</w:t>
      </w:r>
      <w:r w:rsidRPr="00C920B6">
        <w:rPr>
          <w:color w:val="auto"/>
        </w:rPr>
        <w:t xml:space="preserve">: Prophet allows for the inclusion of external variables (e.g., GDP or </w:t>
      </w:r>
      <w:r w:rsidR="00082665" w:rsidRPr="00C920B6">
        <w:rPr>
          <w:color w:val="auto"/>
        </w:rPr>
        <w:t>sectoral data</w:t>
      </w:r>
      <w:r w:rsidRPr="00C920B6">
        <w:rPr>
          <w:color w:val="auto"/>
        </w:rPr>
        <w:t>), enhancing its predictive capability.</w:t>
      </w:r>
    </w:p>
    <w:p w14:paraId="38E01A03" w14:textId="6463DBED" w:rsidR="006E0B3F" w:rsidRDefault="00CE0F3E" w:rsidP="00CF7F6E">
      <w:pPr>
        <w:pStyle w:val="Fliesstext"/>
        <w:numPr>
          <w:ilvl w:val="0"/>
          <w:numId w:val="24"/>
        </w:numPr>
        <w:spacing w:after="60"/>
        <w:rPr>
          <w:color w:val="auto"/>
        </w:rPr>
      </w:pPr>
      <w:r w:rsidRPr="00CE0F3E">
        <w:rPr>
          <w:b/>
          <w:bCs/>
          <w:color w:val="auto"/>
        </w:rPr>
        <w:t>Usability and interpretability</w:t>
      </w:r>
      <w:r w:rsidR="00CF7F6E" w:rsidRPr="008D7482">
        <w:rPr>
          <w:color w:val="auto"/>
        </w:rPr>
        <w:t xml:space="preserve">: </w:t>
      </w:r>
      <w:r w:rsidR="006E0B3F" w:rsidRPr="006E0B3F">
        <w:rPr>
          <w:color w:val="auto"/>
        </w:rPr>
        <w:t>Prophet generally handles raw data effectively without requiring extensive transformations (such as logarithmic or differencing), which enhances usability and preserves data integrity. This flexibility simplifies data preparation and contributes to the interpretability of the model's outputs, facilitating data-driven decision-making.</w:t>
      </w:r>
    </w:p>
    <w:p w14:paraId="1200D4FC" w14:textId="65B3657B" w:rsidR="00086B16" w:rsidRDefault="00086B16" w:rsidP="00CF7F6E">
      <w:pPr>
        <w:pStyle w:val="Fliesstext"/>
        <w:numPr>
          <w:ilvl w:val="0"/>
          <w:numId w:val="24"/>
        </w:numPr>
        <w:spacing w:after="60"/>
        <w:rPr>
          <w:color w:val="auto"/>
        </w:rPr>
      </w:pPr>
      <w:r w:rsidRPr="00086B16">
        <w:rPr>
          <w:b/>
          <w:bCs/>
          <w:color w:val="auto"/>
        </w:rPr>
        <w:t>Open-source transparency</w:t>
      </w:r>
      <w:r w:rsidRPr="00086B16">
        <w:rPr>
          <w:color w:val="auto"/>
        </w:rPr>
        <w:t xml:space="preserve">: </w:t>
      </w:r>
      <w:r w:rsidR="005B2108" w:rsidRPr="005B2108">
        <w:rPr>
          <w:color w:val="auto"/>
        </w:rPr>
        <w:t>As an open-source model, Prophet fosters transparency and facilitates reproducibility. This enhances the model's credibility, allowing researchers and practitioners to verify results and build upon existing work more easily.</w:t>
      </w:r>
    </w:p>
    <w:p w14:paraId="680C4A96" w14:textId="58F4AA7B" w:rsidR="002B0202" w:rsidRPr="007B67AB" w:rsidRDefault="007F1679" w:rsidP="00411E9A">
      <w:pPr>
        <w:spacing w:before="260" w:line="260" w:lineRule="atLeast"/>
        <w:jc w:val="left"/>
        <w:rPr>
          <w:rFonts w:cs="calibri light (Überschriften)"/>
          <w:szCs w:val="20"/>
        </w:rPr>
      </w:pPr>
      <w:r w:rsidRPr="007F1679">
        <w:rPr>
          <w:rFonts w:cs="calibri light (Überschriften)"/>
          <w:szCs w:val="20"/>
        </w:rPr>
        <w:t>Overall, the Prophet model is well-suited for top-down, long-term electricity demand forecasting in Uzbekistan. Its capacity to incorporate external factors, manage seasonality, and work with raw data makes it a valuable tool for understanding and projecting the complex dynamics of electricity demand.</w:t>
      </w:r>
      <w:r w:rsidR="00E27C94">
        <w:rPr>
          <w:rStyle w:val="Funotenzeichen"/>
          <w:rFonts w:cs="calibri light (Überschriften)"/>
          <w:szCs w:val="20"/>
        </w:rPr>
        <w:footnoteReference w:id="13"/>
      </w:r>
    </w:p>
    <w:p w14:paraId="5601B3D3" w14:textId="417497D9" w:rsidR="00411E9A" w:rsidRDefault="002B0202" w:rsidP="00411E9A">
      <w:pPr>
        <w:spacing w:before="260" w:line="260" w:lineRule="atLeast"/>
        <w:jc w:val="left"/>
        <w:rPr>
          <w:rFonts w:cs="Calibri"/>
          <w:szCs w:val="22"/>
        </w:rPr>
      </w:pPr>
      <w:r w:rsidRPr="002B0202">
        <w:rPr>
          <w:rFonts w:cs="Calibri"/>
          <w:szCs w:val="22"/>
        </w:rPr>
        <w:t xml:space="preserve">To </w:t>
      </w:r>
      <w:r w:rsidR="00F348F5">
        <w:rPr>
          <w:rFonts w:cs="Calibri"/>
          <w:szCs w:val="22"/>
        </w:rPr>
        <w:t>test</w:t>
      </w:r>
      <w:r w:rsidRPr="002B0202">
        <w:rPr>
          <w:rFonts w:cs="Calibri"/>
          <w:szCs w:val="22"/>
        </w:rPr>
        <w:t xml:space="preserve"> the accuracy of our forecasting model, we implemented a train-test split of the data, using historical data from 2014 to 2019 for training the model, while reserving data from 2020 to 2023 for testing purposes. This approach allows us to evaluate the model's predictive performance on more recent, potentially volatile data, which is essential for </w:t>
      </w:r>
      <w:r w:rsidRPr="002B0202">
        <w:rPr>
          <w:rFonts w:cs="Calibri"/>
          <w:szCs w:val="22"/>
        </w:rPr>
        <w:lastRenderedPageBreak/>
        <w:t>understanding the evolving dynamics of electricity demand in Uzbekistan</w:t>
      </w:r>
      <w:r w:rsidR="00D16DA0">
        <w:rPr>
          <w:rFonts w:cs="Calibri"/>
          <w:szCs w:val="22"/>
        </w:rPr>
        <w:t xml:space="preserve">. </w:t>
      </w:r>
      <w:r w:rsidR="00CA1358" w:rsidRPr="00CA1358">
        <w:rPr>
          <w:rFonts w:cs="Calibri"/>
          <w:szCs w:val="22"/>
        </w:rPr>
        <w:t>To evaluate forecast accuracy, we utili</w:t>
      </w:r>
      <w:r w:rsidR="0055121B">
        <w:rPr>
          <w:rFonts w:cs="Calibri"/>
          <w:szCs w:val="22"/>
        </w:rPr>
        <w:t>s</w:t>
      </w:r>
      <w:r w:rsidR="00CA1358" w:rsidRPr="00CA1358">
        <w:rPr>
          <w:rFonts w:cs="Calibri"/>
          <w:szCs w:val="22"/>
        </w:rPr>
        <w:t xml:space="preserve">e the Mean Absolute Percentage Error (MAPE) metric, which is particularly valuable as it provides a percentage-based assessment of forecast accuracy. This characteristic allows for easier interpretation of the model's performance in relation to the scale of the actual data and facilitates comparisons across different forecasts. </w:t>
      </w:r>
    </w:p>
    <w:p w14:paraId="1F305A7F" w14:textId="33F5A4E6" w:rsidR="00055D05" w:rsidRPr="004C227F" w:rsidRDefault="00055D05" w:rsidP="00411E9A">
      <w:pPr>
        <w:spacing w:before="260" w:line="260" w:lineRule="atLeast"/>
        <w:jc w:val="left"/>
        <w:rPr>
          <w:rFonts w:cs="Calibri"/>
          <w:szCs w:val="22"/>
        </w:rPr>
      </w:pPr>
      <w:r>
        <w:rPr>
          <w:lang w:eastAsia="de-DE"/>
        </w:rPr>
        <w:t>As t</w:t>
      </w:r>
      <w:r w:rsidRPr="00870CDE">
        <w:rPr>
          <w:lang w:eastAsia="de-DE"/>
        </w:rPr>
        <w:t>he Prophet model extrapolates from historical data</w:t>
      </w:r>
      <w:r>
        <w:rPr>
          <w:lang w:eastAsia="de-DE"/>
        </w:rPr>
        <w:t xml:space="preserve">, it </w:t>
      </w:r>
      <w:r w:rsidRPr="00870CDE">
        <w:rPr>
          <w:lang w:eastAsia="de-DE"/>
        </w:rPr>
        <w:t xml:space="preserve">tends to smooth out irregular spikes that often cause peak loads. This approach produces a forecast with narrower and more uniform daily fluctuations. To account for </w:t>
      </w:r>
      <w:r>
        <w:rPr>
          <w:lang w:eastAsia="de-DE"/>
        </w:rPr>
        <w:t>the potentially underestimated peak loads</w:t>
      </w:r>
      <w:r w:rsidRPr="00870CDE">
        <w:rPr>
          <w:lang w:eastAsia="de-DE"/>
        </w:rPr>
        <w:t xml:space="preserve">, we use a robustness check that scales the 2023 hourly demand profile to match the projected 2030 annual demand across the variants. This adjustment suggests peak load estimates </w:t>
      </w:r>
      <w:r w:rsidR="00C91288">
        <w:rPr>
          <w:lang w:eastAsia="de-DE"/>
        </w:rPr>
        <w:t xml:space="preserve">that are </w:t>
      </w:r>
      <w:r w:rsidRPr="00870CDE">
        <w:rPr>
          <w:lang w:eastAsia="de-DE"/>
        </w:rPr>
        <w:t xml:space="preserve">11–16% higher than those generated directly by the model. Accordingly, </w:t>
      </w:r>
      <w:r w:rsidR="00C91288">
        <w:rPr>
          <w:lang w:eastAsia="de-DE"/>
        </w:rPr>
        <w:t>when presenting the results</w:t>
      </w:r>
      <w:r>
        <w:rPr>
          <w:lang w:eastAsia="de-DE"/>
        </w:rPr>
        <w:t xml:space="preserve"> </w:t>
      </w:r>
      <w:r w:rsidRPr="00870CDE">
        <w:rPr>
          <w:lang w:eastAsia="de-DE"/>
        </w:rPr>
        <w:t>we report peak loads increased by 16%.</w:t>
      </w:r>
    </w:p>
    <w:p w14:paraId="5994AC89" w14:textId="6C36D4CA" w:rsidR="00BC1884" w:rsidRDefault="00BC1884" w:rsidP="00BC1884">
      <w:pPr>
        <w:pStyle w:val="berschrift2"/>
      </w:pPr>
      <w:bookmarkStart w:id="16" w:name="_Toc182575131"/>
      <w:r>
        <w:t xml:space="preserve">Data </w:t>
      </w:r>
      <w:r w:rsidR="00941FDF" w:rsidRPr="003312BA">
        <w:t>and</w:t>
      </w:r>
      <w:r w:rsidR="00941FDF">
        <w:t xml:space="preserve"> </w:t>
      </w:r>
      <w:r w:rsidR="00A72A52">
        <w:t>model variants</w:t>
      </w:r>
      <w:bookmarkEnd w:id="16"/>
    </w:p>
    <w:p w14:paraId="2BF3EADD" w14:textId="48FC27F5" w:rsidR="006F31FF" w:rsidRDefault="008B133F" w:rsidP="00BC72EF">
      <w:pPr>
        <w:spacing w:before="260" w:line="260" w:lineRule="atLeast"/>
        <w:jc w:val="left"/>
        <w:rPr>
          <w:rFonts w:cs="Calibri"/>
          <w:szCs w:val="22"/>
        </w:rPr>
      </w:pPr>
      <w:r w:rsidRPr="008B133F">
        <w:rPr>
          <w:rFonts w:cs="Calibri"/>
          <w:szCs w:val="22"/>
        </w:rPr>
        <w:t>This section outlines the input data and assumptions that form the four distinct model variants, designed to capture a range of possible future developments in Uzbekistan's electricity demand.</w:t>
      </w:r>
      <w:r w:rsidR="003312BA">
        <w:rPr>
          <w:rFonts w:cs="Calibri"/>
          <w:szCs w:val="22"/>
        </w:rPr>
        <w:t xml:space="preserve"> </w:t>
      </w:r>
      <w:r w:rsidR="00347D08">
        <w:rPr>
          <w:rFonts w:cs="Calibri"/>
          <w:szCs w:val="22"/>
        </w:rPr>
        <w:t xml:space="preserve">Detailed descriptive statistics of all input variables are presented in the </w:t>
      </w:r>
      <w:r w:rsidR="00D32B30">
        <w:rPr>
          <w:rFonts w:cs="Calibri"/>
          <w:szCs w:val="22"/>
        </w:rPr>
        <w:t>A</w:t>
      </w:r>
      <w:r w:rsidR="00347D08">
        <w:rPr>
          <w:rFonts w:cs="Calibri"/>
          <w:szCs w:val="22"/>
        </w:rPr>
        <w:t>nnex.</w:t>
      </w:r>
    </w:p>
    <w:p w14:paraId="41636377" w14:textId="3DC18CBC" w:rsidR="00E43B97" w:rsidRPr="00921F95" w:rsidRDefault="00185401" w:rsidP="00921F95">
      <w:pPr>
        <w:spacing w:before="260" w:line="260" w:lineRule="atLeast"/>
        <w:jc w:val="left"/>
        <w:rPr>
          <w:rFonts w:cs="Calibri"/>
          <w:szCs w:val="22"/>
        </w:rPr>
      </w:pPr>
      <w:r w:rsidRPr="00185401">
        <w:rPr>
          <w:rFonts w:cs="Calibri"/>
          <w:szCs w:val="22"/>
        </w:rPr>
        <w:t xml:space="preserve">The forecast variable is </w:t>
      </w:r>
      <w:r w:rsidRPr="00185401">
        <w:rPr>
          <w:rFonts w:cs="Calibri"/>
          <w:b/>
          <w:bCs/>
          <w:szCs w:val="22"/>
        </w:rPr>
        <w:t>hourly national electricity demand</w:t>
      </w:r>
      <w:r w:rsidRPr="00185401">
        <w:rPr>
          <w:rFonts w:cs="Calibri"/>
          <w:szCs w:val="22"/>
        </w:rPr>
        <w:t xml:space="preserve"> (measured in MW), from 2014 to 2023, sourced from </w:t>
      </w:r>
      <w:r w:rsidRPr="00185401">
        <w:rPr>
          <w:rFonts w:cs="Calibri"/>
          <w:i/>
          <w:iCs/>
          <w:szCs w:val="22"/>
        </w:rPr>
        <w:t>CDC Energi</w:t>
      </w:r>
      <w:r w:rsidR="00191919">
        <w:rPr>
          <w:rFonts w:cs="Calibri"/>
          <w:i/>
          <w:iCs/>
          <w:szCs w:val="22"/>
        </w:rPr>
        <w:t>y</w:t>
      </w:r>
      <w:r w:rsidRPr="00185401">
        <w:rPr>
          <w:rFonts w:cs="Calibri"/>
          <w:i/>
          <w:iCs/>
          <w:szCs w:val="22"/>
        </w:rPr>
        <w:t>a</w:t>
      </w:r>
      <w:r w:rsidRPr="00185401">
        <w:rPr>
          <w:rFonts w:cs="Calibri"/>
          <w:szCs w:val="22"/>
        </w:rPr>
        <w:t xml:space="preserve">. This data includes technical losses in the grid and </w:t>
      </w:r>
      <w:r w:rsidR="006E4CEF">
        <w:rPr>
          <w:rFonts w:cs="Calibri"/>
          <w:szCs w:val="22"/>
        </w:rPr>
        <w:t xml:space="preserve">own </w:t>
      </w:r>
      <w:r w:rsidRPr="00185401">
        <w:rPr>
          <w:rFonts w:cs="Calibri"/>
          <w:szCs w:val="22"/>
        </w:rPr>
        <w:t>consumption by power plants.</w:t>
      </w:r>
      <w:r>
        <w:rPr>
          <w:rFonts w:cs="Calibri"/>
          <w:szCs w:val="22"/>
        </w:rPr>
        <w:t xml:space="preserve"> </w:t>
      </w:r>
      <w:r w:rsidR="0042576C">
        <w:rPr>
          <w:rFonts w:cs="Calibri"/>
          <w:szCs w:val="22"/>
        </w:rPr>
        <w:t>We do</w:t>
      </w:r>
      <w:r w:rsidR="00BC72EF" w:rsidRPr="00BC72EF">
        <w:rPr>
          <w:rFonts w:cs="Calibri"/>
          <w:szCs w:val="22"/>
        </w:rPr>
        <w:t xml:space="preserve"> not estimate </w:t>
      </w:r>
      <w:r w:rsidR="0042576C">
        <w:rPr>
          <w:rFonts w:cs="Calibri"/>
          <w:szCs w:val="22"/>
        </w:rPr>
        <w:t>this</w:t>
      </w:r>
      <w:r w:rsidR="00BC72EF" w:rsidRPr="00BC72EF">
        <w:rPr>
          <w:rFonts w:cs="Calibri"/>
          <w:szCs w:val="22"/>
        </w:rPr>
        <w:t xml:space="preserve"> separately from actual consumption. However, if losses</w:t>
      </w:r>
      <w:r w:rsidR="00BC72EF">
        <w:rPr>
          <w:rFonts w:cs="Calibri"/>
          <w:szCs w:val="22"/>
        </w:rPr>
        <w:t xml:space="preserve"> </w:t>
      </w:r>
      <w:r w:rsidR="00BC72EF" w:rsidRPr="00BC72EF">
        <w:rPr>
          <w:rFonts w:cs="Calibri"/>
          <w:szCs w:val="22"/>
        </w:rPr>
        <w:t>are reduced in the future, our presented model might overestimate electricity demand.</w:t>
      </w:r>
      <w:r w:rsidR="00BC1495">
        <w:rPr>
          <w:rFonts w:cs="Calibri"/>
          <w:szCs w:val="22"/>
        </w:rPr>
        <w:t xml:space="preserve"> </w:t>
      </w:r>
      <w:r w:rsidR="00BC1495" w:rsidRPr="00BC1495">
        <w:rPr>
          <w:rFonts w:cs="Calibri"/>
          <w:szCs w:val="22"/>
        </w:rPr>
        <w:t xml:space="preserve">The </w:t>
      </w:r>
      <w:r w:rsidR="00BC1495" w:rsidRPr="006F31FF">
        <w:rPr>
          <w:rFonts w:cs="Calibri"/>
          <w:szCs w:val="22"/>
        </w:rPr>
        <w:t>hourly resolution of the forecast</w:t>
      </w:r>
      <w:r w:rsidR="00BC1495" w:rsidRPr="00BC1495">
        <w:rPr>
          <w:rFonts w:cs="Calibri"/>
          <w:szCs w:val="22"/>
        </w:rPr>
        <w:t xml:space="preserve"> allows us to derive not only the annual electricity demand in </w:t>
      </w:r>
      <w:r w:rsidR="00BC1495">
        <w:rPr>
          <w:rFonts w:cs="Calibri"/>
          <w:szCs w:val="22"/>
        </w:rPr>
        <w:t>T</w:t>
      </w:r>
      <w:r w:rsidR="00BC1495" w:rsidRPr="00BC1495">
        <w:rPr>
          <w:rFonts w:cs="Calibri"/>
          <w:szCs w:val="22"/>
        </w:rPr>
        <w:t xml:space="preserve">Wh (aggregated across all hourly values) </w:t>
      </w:r>
      <w:r w:rsidR="00C816E0" w:rsidRPr="00C816E0">
        <w:rPr>
          <w:rFonts w:cs="Calibri"/>
          <w:szCs w:val="22"/>
        </w:rPr>
        <w:t>but also provides a generic demand path across daily, weekly, and yearly levels, capturing the regular seasonal patterns that drive electricity consumption over time.</w:t>
      </w:r>
    </w:p>
    <w:p w14:paraId="01DD6A8B" w14:textId="278AA8EE" w:rsidR="00921F95" w:rsidRPr="00921F95" w:rsidRDefault="00921F95" w:rsidP="00921F95">
      <w:pPr>
        <w:pStyle w:val="Beschriftung"/>
        <w:rPr>
          <w:rFonts w:cs="calibri light (Überschriften)"/>
          <w:b w:val="0"/>
          <w:bCs/>
          <w:color w:val="104C91"/>
          <w:sz w:val="22"/>
          <w:lang w:val="en-GB"/>
        </w:rPr>
      </w:pPr>
      <w:r w:rsidRPr="00921F95">
        <w:rPr>
          <w:rFonts w:cs="calibri light (Überschriften)"/>
          <w:b w:val="0"/>
          <w:bCs/>
          <w:color w:val="104C91"/>
          <w:sz w:val="22"/>
          <w:lang w:val="en-GB"/>
        </w:rPr>
        <w:t xml:space="preserve">Figure </w:t>
      </w:r>
      <w:r w:rsidRPr="00921F95">
        <w:rPr>
          <w:rFonts w:cs="calibri light (Überschriften)"/>
          <w:b w:val="0"/>
          <w:bCs/>
          <w:color w:val="104C91"/>
          <w:sz w:val="22"/>
          <w:lang w:val="en-GB"/>
        </w:rPr>
        <w:fldChar w:fldCharType="begin"/>
      </w:r>
      <w:r w:rsidRPr="00921F95">
        <w:rPr>
          <w:rFonts w:cs="calibri light (Überschriften)"/>
          <w:b w:val="0"/>
          <w:bCs/>
          <w:color w:val="104C91"/>
          <w:sz w:val="22"/>
          <w:lang w:val="en-GB"/>
        </w:rPr>
        <w:instrText xml:space="preserve"> SEQ Figure \* ARABIC </w:instrText>
      </w:r>
      <w:r w:rsidRPr="00921F95">
        <w:rPr>
          <w:rFonts w:cs="calibri light (Überschriften)"/>
          <w:b w:val="0"/>
          <w:bCs/>
          <w:color w:val="104C91"/>
          <w:sz w:val="22"/>
          <w:lang w:val="en-GB"/>
        </w:rPr>
        <w:fldChar w:fldCharType="separate"/>
      </w:r>
      <w:r w:rsidR="002401AF">
        <w:rPr>
          <w:rFonts w:cs="calibri light (Überschriften)"/>
          <w:b w:val="0"/>
          <w:bCs/>
          <w:noProof/>
          <w:color w:val="104C91"/>
          <w:sz w:val="22"/>
          <w:lang w:val="en-GB"/>
        </w:rPr>
        <w:t>5</w:t>
      </w:r>
      <w:r w:rsidRPr="00921F95">
        <w:rPr>
          <w:rFonts w:cs="calibri light (Überschriften)"/>
          <w:b w:val="0"/>
          <w:bCs/>
          <w:color w:val="104C91"/>
          <w:sz w:val="22"/>
          <w:lang w:val="en-GB"/>
        </w:rPr>
        <w:fldChar w:fldCharType="end"/>
      </w:r>
      <w:r w:rsidRPr="00921F95">
        <w:rPr>
          <w:rFonts w:cs="calibri light (Überschriften)"/>
          <w:b w:val="0"/>
          <w:bCs/>
          <w:color w:val="104C91"/>
          <w:sz w:val="22"/>
          <w:lang w:val="en-GB"/>
        </w:rPr>
        <w:t>: External explanatory variables included in each model variant</w:t>
      </w:r>
    </w:p>
    <w:p w14:paraId="18F83F13" w14:textId="069872D4" w:rsidR="00E43B97" w:rsidRDefault="00E43B97" w:rsidP="00BC72EF">
      <w:pPr>
        <w:spacing w:before="260" w:line="260" w:lineRule="atLeast"/>
        <w:jc w:val="left"/>
        <w:rPr>
          <w:rFonts w:cs="Calibri"/>
          <w:szCs w:val="22"/>
        </w:rPr>
      </w:pPr>
      <w:r>
        <w:rPr>
          <w:rFonts w:cs="Calibri"/>
          <w:noProof/>
          <w:szCs w:val="22"/>
        </w:rPr>
        <w:drawing>
          <wp:inline distT="0" distB="0" distL="0" distR="0" wp14:anchorId="2179E7F7" wp14:editId="6B97F0C4">
            <wp:extent cx="5137785" cy="2814571"/>
            <wp:effectExtent l="0" t="19050" r="5715" b="24130"/>
            <wp:docPr id="980364813"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B4AF029" w14:textId="5B5E0924" w:rsidR="00BB3318" w:rsidRPr="00D94E7F" w:rsidRDefault="00BB3318" w:rsidP="00BB3318">
      <w:pPr>
        <w:pStyle w:val="Fliesstext"/>
        <w:spacing w:line="240" w:lineRule="auto"/>
        <w:jc w:val="both"/>
        <w:rPr>
          <w:rFonts w:cs="Calibri"/>
          <w:i/>
          <w:iCs/>
          <w:color w:val="auto"/>
          <w:szCs w:val="22"/>
        </w:rPr>
      </w:pPr>
      <w:r w:rsidRPr="00CF1329">
        <w:rPr>
          <w:rFonts w:cs="Calibri"/>
          <w:i/>
          <w:iCs/>
          <w:color w:val="ADADAD"/>
          <w:sz w:val="18"/>
          <w:szCs w:val="18"/>
        </w:rPr>
        <w:t xml:space="preserve">Source: </w:t>
      </w:r>
      <w:r>
        <w:rPr>
          <w:rFonts w:cs="Calibri"/>
          <w:i/>
          <w:iCs/>
          <w:color w:val="ADADAD"/>
          <w:sz w:val="18"/>
          <w:szCs w:val="18"/>
        </w:rPr>
        <w:t>Own illustration.</w:t>
      </w:r>
    </w:p>
    <w:p w14:paraId="55F492ED" w14:textId="2675D443" w:rsidR="003312BA" w:rsidRPr="00CB7736" w:rsidRDefault="003312BA" w:rsidP="0021380B">
      <w:pPr>
        <w:spacing w:before="260" w:line="260" w:lineRule="atLeast"/>
        <w:jc w:val="left"/>
        <w:rPr>
          <w:rFonts w:cs="Calibri"/>
          <w:b/>
          <w:bCs/>
          <w:color w:val="104C91"/>
          <w:szCs w:val="22"/>
        </w:rPr>
      </w:pPr>
      <w:r w:rsidRPr="003312BA">
        <w:rPr>
          <w:rFonts w:cs="Calibri"/>
          <w:b/>
          <w:bCs/>
          <w:color w:val="104C91"/>
          <w:szCs w:val="22"/>
        </w:rPr>
        <w:lastRenderedPageBreak/>
        <w:t>“Steady growth” model variant</w:t>
      </w:r>
    </w:p>
    <w:p w14:paraId="466E2159" w14:textId="64BE2C12" w:rsidR="00922A18" w:rsidRDefault="002879BD" w:rsidP="0021380B">
      <w:pPr>
        <w:spacing w:before="260" w:line="260" w:lineRule="atLeast"/>
        <w:jc w:val="left"/>
        <w:rPr>
          <w:rFonts w:cs="Calibri"/>
          <w:szCs w:val="22"/>
        </w:rPr>
      </w:pPr>
      <w:r w:rsidRPr="002879BD">
        <w:rPr>
          <w:rFonts w:cs="Calibri"/>
          <w:szCs w:val="22"/>
        </w:rPr>
        <w:t>The first model variant</w:t>
      </w:r>
      <w:r>
        <w:rPr>
          <w:rFonts w:cs="Calibri"/>
          <w:szCs w:val="22"/>
        </w:rPr>
        <w:t xml:space="preserve"> incorporates</w:t>
      </w:r>
      <w:r w:rsidR="004F2FD4" w:rsidRPr="004F2FD4">
        <w:rPr>
          <w:rFonts w:cs="Calibri"/>
          <w:szCs w:val="22"/>
        </w:rPr>
        <w:t xml:space="preserve"> </w:t>
      </w:r>
      <w:r w:rsidR="004F2FD4" w:rsidRPr="0064702D">
        <w:rPr>
          <w:rFonts w:cs="Calibri"/>
          <w:b/>
          <w:bCs/>
          <w:szCs w:val="22"/>
        </w:rPr>
        <w:t>GDP</w:t>
      </w:r>
      <w:r w:rsidR="004F2FD4" w:rsidRPr="004F2FD4">
        <w:rPr>
          <w:rFonts w:cs="Calibri"/>
          <w:szCs w:val="22"/>
        </w:rPr>
        <w:t xml:space="preserve"> </w:t>
      </w:r>
      <w:r w:rsidR="007945E5">
        <w:rPr>
          <w:rFonts w:cs="Calibri"/>
          <w:szCs w:val="22"/>
        </w:rPr>
        <w:t>as an external regressor</w:t>
      </w:r>
      <w:r w:rsidR="00922A18">
        <w:rPr>
          <w:rFonts w:cs="Calibri"/>
          <w:szCs w:val="22"/>
        </w:rPr>
        <w:t>,</w:t>
      </w:r>
      <w:r w:rsidR="007945E5">
        <w:rPr>
          <w:rFonts w:cs="Calibri"/>
          <w:szCs w:val="22"/>
        </w:rPr>
        <w:t xml:space="preserve"> </w:t>
      </w:r>
      <w:r w:rsidR="00AC4207" w:rsidRPr="00AC4207">
        <w:rPr>
          <w:rFonts w:cs="Calibri"/>
          <w:szCs w:val="22"/>
        </w:rPr>
        <w:t>recogni</w:t>
      </w:r>
      <w:r w:rsidR="006C3296">
        <w:rPr>
          <w:rFonts w:cs="Calibri"/>
          <w:szCs w:val="22"/>
        </w:rPr>
        <w:t>s</w:t>
      </w:r>
      <w:r w:rsidR="00AC4207" w:rsidRPr="00AC4207">
        <w:rPr>
          <w:rFonts w:cs="Calibri"/>
          <w:szCs w:val="22"/>
        </w:rPr>
        <w:t>ing that economic growth tends to drive increased electricity demand as higher levels of activity usually lead to more energy consumption.</w:t>
      </w:r>
      <w:r w:rsidR="00C4206C">
        <w:rPr>
          <w:rFonts w:cs="Calibri"/>
          <w:szCs w:val="22"/>
        </w:rPr>
        <w:t xml:space="preserve"> </w:t>
      </w:r>
      <w:r w:rsidR="00D95371" w:rsidRPr="00D95371">
        <w:rPr>
          <w:rFonts w:cs="Calibri"/>
          <w:szCs w:val="22"/>
        </w:rPr>
        <w:t xml:space="preserve">The relationship between GDP and electricity demand, however, may not be strictly linear. While rising incomes can increase demand through greater appliance use or sectoral electrification, they can also lead to efficiency improvements that may reduce consumption. Observing this co-movement over time through </w:t>
      </w:r>
      <w:r w:rsidR="00EF6FD9">
        <w:rPr>
          <w:rFonts w:cs="Calibri"/>
          <w:szCs w:val="22"/>
        </w:rPr>
        <w:t xml:space="preserve">our </w:t>
      </w:r>
      <w:r w:rsidR="00D95371" w:rsidRPr="00D95371">
        <w:rPr>
          <w:rFonts w:cs="Calibri"/>
          <w:szCs w:val="22"/>
        </w:rPr>
        <w:t>rich data set helps provide more accurate demand forecasting.</w:t>
      </w:r>
      <w:r w:rsidR="00D95371">
        <w:rPr>
          <w:rFonts w:cs="Calibri"/>
          <w:szCs w:val="22"/>
        </w:rPr>
        <w:t xml:space="preserve"> </w:t>
      </w:r>
      <w:r w:rsidR="00367D8B">
        <w:rPr>
          <w:rFonts w:cs="Calibri"/>
          <w:szCs w:val="22"/>
        </w:rPr>
        <w:t>Moreover, i</w:t>
      </w:r>
      <w:r w:rsidR="00751E26" w:rsidRPr="00751E26">
        <w:rPr>
          <w:rFonts w:cs="Calibri"/>
          <w:szCs w:val="22"/>
        </w:rPr>
        <w:t xml:space="preserve">ncluding GDP </w:t>
      </w:r>
      <w:r w:rsidR="00FC5FBD">
        <w:rPr>
          <w:rFonts w:cs="Calibri"/>
          <w:szCs w:val="22"/>
        </w:rPr>
        <w:t>enhances</w:t>
      </w:r>
      <w:r w:rsidR="00751E26" w:rsidRPr="00751E26">
        <w:rPr>
          <w:rFonts w:cs="Calibri"/>
          <w:szCs w:val="22"/>
        </w:rPr>
        <w:t xml:space="preserve"> historical consumption trends by in</w:t>
      </w:r>
      <w:r w:rsidR="002A4906">
        <w:rPr>
          <w:rFonts w:cs="Calibri"/>
          <w:szCs w:val="22"/>
        </w:rPr>
        <w:t>tegrating</w:t>
      </w:r>
      <w:r w:rsidR="00751E26" w:rsidRPr="00751E26">
        <w:rPr>
          <w:rFonts w:cs="Calibri"/>
          <w:szCs w:val="22"/>
        </w:rPr>
        <w:t xml:space="preserve"> assumptions about future economic developments</w:t>
      </w:r>
      <w:r w:rsidR="00C4206C">
        <w:rPr>
          <w:rFonts w:cs="Calibri"/>
          <w:szCs w:val="22"/>
        </w:rPr>
        <w:t xml:space="preserve">. </w:t>
      </w:r>
      <w:r w:rsidR="00D76629">
        <w:rPr>
          <w:rFonts w:cs="Calibri"/>
          <w:szCs w:val="22"/>
        </w:rPr>
        <w:t>F</w:t>
      </w:r>
      <w:r w:rsidR="00922A18" w:rsidRPr="00922A18">
        <w:rPr>
          <w:rFonts w:cs="Calibri"/>
          <w:szCs w:val="22"/>
        </w:rPr>
        <w:t>actoring GDP growth into the demand forecast helps to avoid a scenario where limiting power supply could inadvertently constrain economic growth, a key concern in system adequacy planning.</w:t>
      </w:r>
    </w:p>
    <w:p w14:paraId="6512A88D" w14:textId="244F08C3" w:rsidR="0021380B" w:rsidRDefault="004F2FD4" w:rsidP="0021380B">
      <w:pPr>
        <w:spacing w:before="260" w:line="260" w:lineRule="atLeast"/>
        <w:jc w:val="left"/>
        <w:rPr>
          <w:rFonts w:cs="Calibri"/>
          <w:szCs w:val="22"/>
        </w:rPr>
      </w:pPr>
      <w:r w:rsidRPr="004F2FD4">
        <w:rPr>
          <w:rFonts w:cs="Calibri"/>
          <w:szCs w:val="22"/>
        </w:rPr>
        <w:t xml:space="preserve">The </w:t>
      </w:r>
      <w:r w:rsidR="00E8007F">
        <w:rPr>
          <w:rFonts w:cs="Calibri"/>
          <w:szCs w:val="22"/>
        </w:rPr>
        <w:t xml:space="preserve">yearly </w:t>
      </w:r>
      <w:r w:rsidRPr="004F2FD4">
        <w:rPr>
          <w:rFonts w:cs="Calibri"/>
          <w:szCs w:val="22"/>
        </w:rPr>
        <w:t xml:space="preserve">data is measured in constant 2020 </w:t>
      </w:r>
      <w:r w:rsidR="00B70B0F">
        <w:rPr>
          <w:rFonts w:cs="Calibri"/>
          <w:szCs w:val="22"/>
        </w:rPr>
        <w:t>Uzbek S</w:t>
      </w:r>
      <w:r w:rsidR="003C42B5">
        <w:rPr>
          <w:rFonts w:cs="Calibri"/>
          <w:szCs w:val="22"/>
        </w:rPr>
        <w:t>o</w:t>
      </w:r>
      <w:r w:rsidR="00B70B0F">
        <w:rPr>
          <w:rFonts w:cs="Calibri"/>
          <w:szCs w:val="22"/>
        </w:rPr>
        <w:t xml:space="preserve">m </w:t>
      </w:r>
      <w:r w:rsidR="00DE2E09">
        <w:rPr>
          <w:rFonts w:cs="Calibri"/>
          <w:szCs w:val="22"/>
        </w:rPr>
        <w:t xml:space="preserve">(UZS) to </w:t>
      </w:r>
      <w:r w:rsidRPr="004F2FD4">
        <w:rPr>
          <w:rFonts w:cs="Calibri"/>
          <w:szCs w:val="22"/>
        </w:rPr>
        <w:t>abstract from inflation and exchange rate variations. Historical data and forecasts up to 2029 have been obtained from the International Monetary Fund (IMF)</w:t>
      </w:r>
      <w:r w:rsidR="00425C17">
        <w:rPr>
          <w:rStyle w:val="Funotenzeichen"/>
          <w:rFonts w:cs="Calibri"/>
          <w:szCs w:val="22"/>
        </w:rPr>
        <w:footnoteReference w:id="14"/>
      </w:r>
      <w:r w:rsidRPr="004F2FD4">
        <w:rPr>
          <w:rFonts w:cs="Calibri"/>
          <w:szCs w:val="22"/>
        </w:rPr>
        <w:t>, while projections from 2030 to 2035 assume a stable growth rate of 5.5%.</w:t>
      </w:r>
      <w:r w:rsidR="00E05BA3">
        <w:rPr>
          <w:rFonts w:cs="Calibri"/>
          <w:szCs w:val="22"/>
        </w:rPr>
        <w:t xml:space="preserve"> This </w:t>
      </w:r>
      <w:r w:rsidR="007F75F6">
        <w:rPr>
          <w:rFonts w:cs="Calibri"/>
          <w:szCs w:val="22"/>
        </w:rPr>
        <w:t>yields a</w:t>
      </w:r>
      <w:r w:rsidR="00E05BA3">
        <w:rPr>
          <w:rFonts w:cs="Calibri"/>
          <w:szCs w:val="22"/>
        </w:rPr>
        <w:t xml:space="preserve"> </w:t>
      </w:r>
      <w:r w:rsidR="000B7A85">
        <w:rPr>
          <w:rFonts w:cs="Calibri"/>
          <w:szCs w:val="22"/>
        </w:rPr>
        <w:t xml:space="preserve">GDP of 2020-UZS </w:t>
      </w:r>
      <w:r w:rsidR="00026D45">
        <w:rPr>
          <w:rFonts w:cs="Calibri"/>
          <w:szCs w:val="22"/>
        </w:rPr>
        <w:t>1,055</w:t>
      </w:r>
      <w:r w:rsidR="000B7A85">
        <w:rPr>
          <w:rFonts w:cs="Calibri"/>
          <w:szCs w:val="22"/>
        </w:rPr>
        <w:t xml:space="preserve"> </w:t>
      </w:r>
      <w:proofErr w:type="spellStart"/>
      <w:r w:rsidR="000B7A85">
        <w:rPr>
          <w:rFonts w:cs="Calibri"/>
          <w:szCs w:val="22"/>
        </w:rPr>
        <w:t>tn</w:t>
      </w:r>
      <w:proofErr w:type="spellEnd"/>
      <w:r w:rsidR="000B7A85">
        <w:rPr>
          <w:rFonts w:cs="Calibri"/>
          <w:szCs w:val="22"/>
        </w:rPr>
        <w:t xml:space="preserve"> in 2030 and 2020-UZS </w:t>
      </w:r>
      <w:r w:rsidR="00572171">
        <w:rPr>
          <w:rFonts w:cs="Calibri"/>
          <w:szCs w:val="22"/>
        </w:rPr>
        <w:t>1,379</w:t>
      </w:r>
      <w:r w:rsidR="000B7A85">
        <w:rPr>
          <w:rFonts w:cs="Calibri"/>
          <w:szCs w:val="22"/>
        </w:rPr>
        <w:t xml:space="preserve"> </w:t>
      </w:r>
      <w:proofErr w:type="spellStart"/>
      <w:r w:rsidR="000B7A85">
        <w:rPr>
          <w:rFonts w:cs="Calibri"/>
          <w:szCs w:val="22"/>
        </w:rPr>
        <w:t>tn</w:t>
      </w:r>
      <w:proofErr w:type="spellEnd"/>
      <w:r w:rsidR="000B7A85">
        <w:rPr>
          <w:rFonts w:cs="Calibri"/>
          <w:szCs w:val="22"/>
        </w:rPr>
        <w:t xml:space="preserve"> in 2035</w:t>
      </w:r>
      <w:r w:rsidR="00F97B13">
        <w:rPr>
          <w:rFonts w:cs="Calibri"/>
          <w:szCs w:val="22"/>
        </w:rPr>
        <w:t xml:space="preserve"> – an increase of </w:t>
      </w:r>
      <w:r w:rsidR="00E6413B">
        <w:rPr>
          <w:rFonts w:cs="Calibri"/>
          <w:szCs w:val="22"/>
        </w:rPr>
        <w:t>45% or 90% compared to 2023, respectively</w:t>
      </w:r>
      <w:r w:rsidR="000B7A85">
        <w:rPr>
          <w:rFonts w:cs="Calibri"/>
          <w:szCs w:val="22"/>
        </w:rPr>
        <w:t>.</w:t>
      </w:r>
      <w:r w:rsidR="00506E13">
        <w:rPr>
          <w:rFonts w:cs="Calibri"/>
          <w:szCs w:val="22"/>
        </w:rPr>
        <w:t xml:space="preserve"> </w:t>
      </w:r>
      <w:r w:rsidR="00554E03">
        <w:rPr>
          <w:rFonts w:cs="Calibri"/>
          <w:szCs w:val="22"/>
        </w:rPr>
        <w:t>A</w:t>
      </w:r>
      <w:r w:rsidR="0021380B" w:rsidRPr="0021380B">
        <w:rPr>
          <w:rFonts w:cs="Calibri"/>
          <w:szCs w:val="22"/>
        </w:rPr>
        <w:t xml:space="preserve"> key challenge in using Uzbekistan’s GDP figures is the reported </w:t>
      </w:r>
      <w:r w:rsidR="00797B38">
        <w:rPr>
          <w:rFonts w:cs="Calibri"/>
          <w:szCs w:val="22"/>
        </w:rPr>
        <w:t>overstatement</w:t>
      </w:r>
      <w:r w:rsidR="00797B38" w:rsidRPr="0021380B">
        <w:rPr>
          <w:rFonts w:cs="Calibri"/>
          <w:szCs w:val="22"/>
        </w:rPr>
        <w:t xml:space="preserve"> </w:t>
      </w:r>
      <w:r w:rsidR="0021380B" w:rsidRPr="0021380B">
        <w:rPr>
          <w:rFonts w:cs="Calibri"/>
          <w:szCs w:val="22"/>
        </w:rPr>
        <w:t>of economic growth rates over the years</w:t>
      </w:r>
      <w:r w:rsidR="00F2449B">
        <w:rPr>
          <w:rFonts w:cs="Calibri"/>
          <w:szCs w:val="22"/>
        </w:rPr>
        <w:t>.</w:t>
      </w:r>
      <w:r w:rsidR="00EB40A0">
        <w:rPr>
          <w:rStyle w:val="Funotenzeichen"/>
          <w:rFonts w:cs="Calibri"/>
          <w:szCs w:val="22"/>
        </w:rPr>
        <w:footnoteReference w:id="15"/>
      </w:r>
      <w:r w:rsidR="00176B39">
        <w:rPr>
          <w:rFonts w:cs="Calibri"/>
          <w:szCs w:val="22"/>
        </w:rPr>
        <w:t xml:space="preserve"> </w:t>
      </w:r>
      <w:r w:rsidR="0021380B" w:rsidRPr="0021380B">
        <w:rPr>
          <w:rFonts w:cs="Calibri"/>
          <w:szCs w:val="22"/>
        </w:rPr>
        <w:t xml:space="preserve">To account for this, GDP growth rates </w:t>
      </w:r>
      <w:r w:rsidR="00A82E04">
        <w:rPr>
          <w:rFonts w:cs="Calibri"/>
          <w:szCs w:val="22"/>
        </w:rPr>
        <w:t xml:space="preserve">were adjusted </w:t>
      </w:r>
      <w:r w:rsidR="0021380B" w:rsidRPr="0021380B">
        <w:rPr>
          <w:rFonts w:cs="Calibri"/>
          <w:szCs w:val="22"/>
        </w:rPr>
        <w:t>downwards by 4 percentage points prior to 2017</w:t>
      </w:r>
      <w:r w:rsidR="00A82E04">
        <w:rPr>
          <w:rFonts w:cs="Calibri"/>
          <w:szCs w:val="22"/>
        </w:rPr>
        <w:t>.</w:t>
      </w:r>
      <w:r w:rsidR="00287BBF">
        <w:rPr>
          <w:rStyle w:val="Funotenzeichen"/>
          <w:rFonts w:cs="Calibri"/>
          <w:szCs w:val="22"/>
        </w:rPr>
        <w:footnoteReference w:id="16"/>
      </w:r>
    </w:p>
    <w:p w14:paraId="6173F5D6" w14:textId="7184188E" w:rsidR="006B3428" w:rsidRDefault="006B3428" w:rsidP="0021380B">
      <w:pPr>
        <w:spacing w:before="260" w:line="260" w:lineRule="atLeast"/>
        <w:jc w:val="left"/>
        <w:rPr>
          <w:rFonts w:cs="Calibri"/>
          <w:szCs w:val="22"/>
        </w:rPr>
      </w:pPr>
      <w:r>
        <w:rPr>
          <w:rFonts w:cs="Calibri"/>
          <w:szCs w:val="22"/>
        </w:rPr>
        <w:t>T</w:t>
      </w:r>
      <w:r w:rsidRPr="00174D1B">
        <w:rPr>
          <w:rFonts w:cs="Calibri"/>
          <w:szCs w:val="22"/>
        </w:rPr>
        <w:t xml:space="preserve">he Ministry of Energy </w:t>
      </w:r>
      <w:r>
        <w:rPr>
          <w:rFonts w:cs="Calibri"/>
          <w:szCs w:val="22"/>
        </w:rPr>
        <w:t>has reported</w:t>
      </w:r>
      <w:r w:rsidRPr="00174D1B">
        <w:rPr>
          <w:rFonts w:cs="Calibri"/>
          <w:szCs w:val="22"/>
        </w:rPr>
        <w:t xml:space="preserve"> that an estimated 10% of </w:t>
      </w:r>
      <w:r>
        <w:rPr>
          <w:rFonts w:cs="Calibri"/>
          <w:szCs w:val="22"/>
        </w:rPr>
        <w:t xml:space="preserve">Uzbekistan’s </w:t>
      </w:r>
      <w:r w:rsidRPr="00174D1B">
        <w:rPr>
          <w:rFonts w:cs="Calibri"/>
          <w:szCs w:val="22"/>
        </w:rPr>
        <w:t xml:space="preserve">electricity demand goes </w:t>
      </w:r>
      <w:r>
        <w:rPr>
          <w:rFonts w:cs="Calibri"/>
          <w:szCs w:val="22"/>
        </w:rPr>
        <w:t>unmet</w:t>
      </w:r>
      <w:r w:rsidRPr="00174D1B">
        <w:rPr>
          <w:rFonts w:cs="Calibri"/>
          <w:szCs w:val="22"/>
        </w:rPr>
        <w:t xml:space="preserve"> due to capacity constraints</w:t>
      </w:r>
      <w:r>
        <w:rPr>
          <w:rFonts w:cs="Calibri"/>
          <w:szCs w:val="22"/>
        </w:rPr>
        <w:t>.</w:t>
      </w:r>
      <w:r w:rsidR="006E3CAF">
        <w:rPr>
          <w:rStyle w:val="Funotenzeichen"/>
          <w:rFonts w:cs="Calibri"/>
          <w:szCs w:val="22"/>
        </w:rPr>
        <w:footnoteReference w:id="17"/>
      </w:r>
      <w:r>
        <w:rPr>
          <w:rFonts w:cs="Calibri"/>
          <w:szCs w:val="22"/>
        </w:rPr>
        <w:t xml:space="preserve"> We assume that, through capacity expansion efforts, </w:t>
      </w:r>
      <w:r w:rsidRPr="00174D1B">
        <w:rPr>
          <w:rFonts w:cs="Calibri"/>
          <w:szCs w:val="22"/>
        </w:rPr>
        <w:t xml:space="preserve">Uzbekistan will </w:t>
      </w:r>
      <w:r>
        <w:rPr>
          <w:rFonts w:cs="Calibri"/>
          <w:szCs w:val="22"/>
        </w:rPr>
        <w:t>fully</w:t>
      </w:r>
      <w:r w:rsidRPr="00174D1B">
        <w:rPr>
          <w:rFonts w:cs="Calibri"/>
          <w:szCs w:val="22"/>
        </w:rPr>
        <w:t xml:space="preserve"> meet </w:t>
      </w:r>
      <w:r>
        <w:rPr>
          <w:rFonts w:cs="Calibri"/>
          <w:szCs w:val="22"/>
        </w:rPr>
        <w:t xml:space="preserve">this </w:t>
      </w:r>
      <w:r w:rsidRPr="00174D1B">
        <w:rPr>
          <w:rFonts w:cs="Calibri"/>
          <w:szCs w:val="22"/>
        </w:rPr>
        <w:t>previously unmet demand</w:t>
      </w:r>
      <w:r>
        <w:rPr>
          <w:rFonts w:cs="Calibri"/>
          <w:szCs w:val="22"/>
        </w:rPr>
        <w:t xml:space="preserve"> by 2030</w:t>
      </w:r>
      <w:r w:rsidRPr="00174D1B">
        <w:rPr>
          <w:rFonts w:cs="Calibri"/>
          <w:szCs w:val="22"/>
        </w:rPr>
        <w:t>.</w:t>
      </w:r>
      <w:r>
        <w:rPr>
          <w:rFonts w:cs="Calibri"/>
          <w:szCs w:val="22"/>
        </w:rPr>
        <w:t xml:space="preserve"> To account for this potential underestimation of actual demand,</w:t>
      </w:r>
      <w:r w:rsidRPr="00174D1B">
        <w:rPr>
          <w:rFonts w:cs="Calibri"/>
          <w:szCs w:val="22"/>
        </w:rPr>
        <w:t xml:space="preserve"> the electricity </w:t>
      </w:r>
      <w:r>
        <w:rPr>
          <w:rFonts w:cs="Calibri"/>
          <w:szCs w:val="22"/>
        </w:rPr>
        <w:t>consumption projection</w:t>
      </w:r>
      <w:r w:rsidRPr="00174D1B">
        <w:rPr>
          <w:rFonts w:cs="Calibri"/>
          <w:szCs w:val="22"/>
        </w:rPr>
        <w:t xml:space="preserve"> </w:t>
      </w:r>
      <w:r>
        <w:rPr>
          <w:rFonts w:cs="Calibri"/>
          <w:szCs w:val="22"/>
        </w:rPr>
        <w:t>for</w:t>
      </w:r>
      <w:r w:rsidRPr="00174D1B">
        <w:rPr>
          <w:rFonts w:cs="Calibri"/>
          <w:szCs w:val="22"/>
        </w:rPr>
        <w:t xml:space="preserve"> 2030</w:t>
      </w:r>
      <w:r w:rsidR="0056091B">
        <w:rPr>
          <w:rFonts w:cs="Calibri"/>
          <w:szCs w:val="22"/>
        </w:rPr>
        <w:t xml:space="preserve"> and after</w:t>
      </w:r>
      <w:r w:rsidRPr="00174D1B">
        <w:rPr>
          <w:rFonts w:cs="Calibri"/>
          <w:szCs w:val="22"/>
        </w:rPr>
        <w:t xml:space="preserve"> is </w:t>
      </w:r>
      <w:r>
        <w:rPr>
          <w:rFonts w:cs="Calibri"/>
          <w:szCs w:val="22"/>
        </w:rPr>
        <w:t>increased</w:t>
      </w:r>
      <w:r w:rsidRPr="00174D1B">
        <w:rPr>
          <w:rFonts w:cs="Calibri"/>
          <w:szCs w:val="22"/>
        </w:rPr>
        <w:t xml:space="preserve"> by 10%, </w:t>
      </w:r>
      <w:r w:rsidRPr="002C1683">
        <w:rPr>
          <w:rFonts w:cs="Calibri"/>
          <w:szCs w:val="22"/>
        </w:rPr>
        <w:t>with values for the years 2024 to 2029 adjusted linearly to reflect the gradual resolution of these supply limitations</w:t>
      </w:r>
      <w:r w:rsidRPr="00174D1B">
        <w:rPr>
          <w:rFonts w:cs="Calibri"/>
          <w:szCs w:val="22"/>
        </w:rPr>
        <w:t>.</w:t>
      </w:r>
      <w:r>
        <w:rPr>
          <w:rFonts w:cs="Calibri"/>
          <w:szCs w:val="22"/>
        </w:rPr>
        <w:t xml:space="preserve"> This adjustment will equally be done to the following model variants.</w:t>
      </w:r>
    </w:p>
    <w:p w14:paraId="2BB30FEC" w14:textId="5F53EF1B" w:rsidR="003626F5" w:rsidRPr="003312BA" w:rsidRDefault="003626F5" w:rsidP="003626F5">
      <w:pPr>
        <w:spacing w:before="260" w:line="260" w:lineRule="atLeast"/>
        <w:jc w:val="left"/>
        <w:rPr>
          <w:rFonts w:cs="Calibri"/>
          <w:b/>
          <w:bCs/>
          <w:color w:val="104C91"/>
          <w:szCs w:val="22"/>
        </w:rPr>
      </w:pPr>
      <w:r w:rsidRPr="003312BA">
        <w:rPr>
          <w:rFonts w:cs="Calibri"/>
          <w:b/>
          <w:bCs/>
          <w:color w:val="104C91"/>
          <w:szCs w:val="22"/>
        </w:rPr>
        <w:t>“</w:t>
      </w:r>
      <w:r>
        <w:rPr>
          <w:rFonts w:cs="Calibri"/>
          <w:b/>
          <w:bCs/>
          <w:color w:val="104C91"/>
          <w:szCs w:val="22"/>
        </w:rPr>
        <w:t>Sectoral expansion</w:t>
      </w:r>
      <w:r w:rsidRPr="003312BA">
        <w:rPr>
          <w:rFonts w:cs="Calibri"/>
          <w:b/>
          <w:bCs/>
          <w:color w:val="104C91"/>
          <w:szCs w:val="22"/>
        </w:rPr>
        <w:t>” model variant</w:t>
      </w:r>
    </w:p>
    <w:p w14:paraId="0A04EAF6" w14:textId="16F735DC" w:rsidR="00815554" w:rsidRPr="00815554" w:rsidRDefault="00815554" w:rsidP="00815554">
      <w:pPr>
        <w:spacing w:before="260" w:line="260" w:lineRule="atLeast"/>
        <w:jc w:val="left"/>
        <w:rPr>
          <w:rFonts w:cs="Calibri"/>
          <w:szCs w:val="22"/>
        </w:rPr>
      </w:pPr>
      <w:r w:rsidRPr="00815554">
        <w:rPr>
          <w:rFonts w:cs="Calibri"/>
          <w:szCs w:val="22"/>
        </w:rPr>
        <w:t xml:space="preserve">The </w:t>
      </w:r>
      <w:r>
        <w:rPr>
          <w:rFonts w:cs="Calibri"/>
          <w:szCs w:val="22"/>
        </w:rPr>
        <w:t>“S</w:t>
      </w:r>
      <w:r w:rsidRPr="00815554">
        <w:rPr>
          <w:rFonts w:cs="Calibri"/>
          <w:szCs w:val="22"/>
        </w:rPr>
        <w:t xml:space="preserve">ectoral </w:t>
      </w:r>
      <w:r>
        <w:rPr>
          <w:rFonts w:cs="Calibri"/>
          <w:szCs w:val="22"/>
        </w:rPr>
        <w:t>e</w:t>
      </w:r>
      <w:r w:rsidRPr="00815554">
        <w:rPr>
          <w:rFonts w:cs="Calibri"/>
          <w:szCs w:val="22"/>
        </w:rPr>
        <w:t>xpansion</w:t>
      </w:r>
      <w:r>
        <w:rPr>
          <w:rFonts w:cs="Calibri"/>
          <w:szCs w:val="22"/>
        </w:rPr>
        <w:t>”</w:t>
      </w:r>
      <w:r w:rsidRPr="00815554">
        <w:rPr>
          <w:rFonts w:cs="Calibri"/>
          <w:szCs w:val="22"/>
        </w:rPr>
        <w:t xml:space="preserve"> model variant extends the baseline model by incorporating </w:t>
      </w:r>
      <w:r w:rsidRPr="00866448">
        <w:rPr>
          <w:rFonts w:cs="Calibri"/>
          <w:b/>
          <w:bCs/>
          <w:szCs w:val="22"/>
        </w:rPr>
        <w:t>additional sector-specific electricity consumption</w:t>
      </w:r>
      <w:r w:rsidRPr="00815554">
        <w:rPr>
          <w:rFonts w:cs="Calibri"/>
          <w:szCs w:val="22"/>
        </w:rPr>
        <w:t xml:space="preserve"> data. This adjustment addresses the limitations of relying solely on GDP trends by accounting for the distinct drivers of electricity demand within various sectors</w:t>
      </w:r>
      <w:r w:rsidR="00C761A7">
        <w:rPr>
          <w:rFonts w:cs="Calibri"/>
          <w:szCs w:val="22"/>
        </w:rPr>
        <w:t xml:space="preserve"> and</w:t>
      </w:r>
      <w:r w:rsidRPr="00815554">
        <w:rPr>
          <w:rFonts w:cs="Calibri"/>
          <w:szCs w:val="22"/>
        </w:rPr>
        <w:t xml:space="preserve"> reflecting </w:t>
      </w:r>
      <w:r w:rsidRPr="00866448">
        <w:rPr>
          <w:rFonts w:cs="Calibri"/>
          <w:b/>
          <w:bCs/>
          <w:szCs w:val="22"/>
        </w:rPr>
        <w:t>Uzbekistan’s evolving economic landscape</w:t>
      </w:r>
      <w:r w:rsidRPr="00815554">
        <w:rPr>
          <w:rFonts w:cs="Calibri"/>
          <w:szCs w:val="22"/>
        </w:rPr>
        <w:t>.</w:t>
      </w:r>
    </w:p>
    <w:p w14:paraId="71F3A94E" w14:textId="21796D51" w:rsidR="003626F5" w:rsidRDefault="00815554" w:rsidP="00815554">
      <w:pPr>
        <w:spacing w:before="260" w:line="260" w:lineRule="atLeast"/>
        <w:jc w:val="left"/>
        <w:rPr>
          <w:rFonts w:cs="Calibri"/>
          <w:szCs w:val="22"/>
        </w:rPr>
      </w:pPr>
      <w:r w:rsidRPr="00815554">
        <w:rPr>
          <w:rFonts w:cs="Calibri"/>
          <w:szCs w:val="22"/>
        </w:rPr>
        <w:t xml:space="preserve">In this variant, </w:t>
      </w:r>
      <w:r w:rsidR="00C761A7">
        <w:rPr>
          <w:rFonts w:cs="Calibri"/>
          <w:szCs w:val="22"/>
        </w:rPr>
        <w:t xml:space="preserve">annual </w:t>
      </w:r>
      <w:r w:rsidRPr="00815554">
        <w:rPr>
          <w:rFonts w:cs="Calibri"/>
          <w:szCs w:val="22"/>
        </w:rPr>
        <w:t xml:space="preserve">electricity consumption from the industrial, transport, and residential sectors is used as external regressors, each contributing specific growth </w:t>
      </w:r>
      <w:r w:rsidRPr="00815554">
        <w:rPr>
          <w:rFonts w:cs="Calibri"/>
          <w:szCs w:val="22"/>
        </w:rPr>
        <w:lastRenderedPageBreak/>
        <w:t xml:space="preserve">dynamics to the forecast. The data on </w:t>
      </w:r>
      <w:r w:rsidR="003254B2">
        <w:rPr>
          <w:rFonts w:cs="Calibri"/>
          <w:szCs w:val="22"/>
        </w:rPr>
        <w:t xml:space="preserve">sectoral </w:t>
      </w:r>
      <w:r w:rsidRPr="00815554">
        <w:rPr>
          <w:rFonts w:cs="Calibri"/>
          <w:szCs w:val="22"/>
        </w:rPr>
        <w:t>electricity consumption, sourced from the International Energy Agency (IEA)</w:t>
      </w:r>
      <w:r w:rsidR="00AF41E3">
        <w:rPr>
          <w:rStyle w:val="Funotenzeichen"/>
          <w:rFonts w:cs="Calibri"/>
          <w:szCs w:val="22"/>
        </w:rPr>
        <w:footnoteReference w:id="18"/>
      </w:r>
      <w:r w:rsidRPr="00815554">
        <w:rPr>
          <w:rFonts w:cs="Calibri"/>
          <w:szCs w:val="22"/>
        </w:rPr>
        <w:t>, covers the period from 2000 to 2022. For the years 2023 to 2035, assumptions are made based on historical trends and relevant sector-specific indicators</w:t>
      </w:r>
      <w:r w:rsidR="00802FB4">
        <w:rPr>
          <w:rFonts w:cs="Calibri"/>
          <w:szCs w:val="22"/>
        </w:rPr>
        <w:t>:</w:t>
      </w:r>
      <w:r w:rsidR="00DC4E7D">
        <w:rPr>
          <w:rStyle w:val="Funotenzeichen"/>
          <w:rFonts w:cs="Calibri"/>
          <w:szCs w:val="22"/>
        </w:rPr>
        <w:footnoteReference w:id="19"/>
      </w:r>
    </w:p>
    <w:p w14:paraId="73C735CE" w14:textId="35D9EDDE" w:rsidR="00397BD2" w:rsidRDefault="00ED5DB8" w:rsidP="00ED5DB8">
      <w:pPr>
        <w:numPr>
          <w:ilvl w:val="0"/>
          <w:numId w:val="32"/>
        </w:numPr>
        <w:tabs>
          <w:tab w:val="num" w:pos="720"/>
        </w:tabs>
        <w:spacing w:before="260" w:line="260" w:lineRule="atLeast"/>
        <w:jc w:val="left"/>
        <w:rPr>
          <w:rFonts w:cs="Calibri"/>
          <w:szCs w:val="22"/>
        </w:rPr>
      </w:pPr>
      <w:r w:rsidRPr="00ED5DB8">
        <w:rPr>
          <w:rFonts w:cs="Calibri"/>
          <w:b/>
          <w:bCs/>
          <w:szCs w:val="22"/>
        </w:rPr>
        <w:t xml:space="preserve">Industrial </w:t>
      </w:r>
      <w:r w:rsidR="006A57C5">
        <w:rPr>
          <w:rFonts w:cs="Calibri"/>
          <w:b/>
          <w:bCs/>
          <w:szCs w:val="22"/>
        </w:rPr>
        <w:t>e</w:t>
      </w:r>
      <w:r w:rsidRPr="00ED5DB8">
        <w:rPr>
          <w:rFonts w:cs="Calibri"/>
          <w:b/>
          <w:bCs/>
          <w:szCs w:val="22"/>
        </w:rPr>
        <w:t xml:space="preserve">lectricity </w:t>
      </w:r>
      <w:r w:rsidR="006A57C5">
        <w:rPr>
          <w:rFonts w:cs="Calibri"/>
          <w:b/>
          <w:bCs/>
          <w:szCs w:val="22"/>
        </w:rPr>
        <w:t>c</w:t>
      </w:r>
      <w:r w:rsidRPr="00ED5DB8">
        <w:rPr>
          <w:rFonts w:cs="Calibri"/>
          <w:b/>
          <w:bCs/>
          <w:szCs w:val="22"/>
        </w:rPr>
        <w:t>onsumption</w:t>
      </w:r>
      <w:r w:rsidRPr="00ED5DB8">
        <w:rPr>
          <w:rFonts w:cs="Calibri"/>
          <w:szCs w:val="22"/>
        </w:rPr>
        <w:t xml:space="preserve">: </w:t>
      </w:r>
      <w:r w:rsidR="00397BD2" w:rsidRPr="00397BD2">
        <w:rPr>
          <w:rFonts w:cs="Calibri"/>
          <w:szCs w:val="22"/>
        </w:rPr>
        <w:t>Industrial demand is tied to industrial production (IP) growth. Given Uzbekistan's ambitious industrial expansion plans, incorporating this variable allows the model to better capture electricity demand from this key sector.</w:t>
      </w:r>
    </w:p>
    <w:p w14:paraId="50868CCF" w14:textId="1DBA3A60" w:rsidR="00ED5DB8" w:rsidRPr="00ED5DB8" w:rsidRDefault="00ED5DB8" w:rsidP="00ED5DB8">
      <w:pPr>
        <w:numPr>
          <w:ilvl w:val="0"/>
          <w:numId w:val="32"/>
        </w:numPr>
        <w:tabs>
          <w:tab w:val="num" w:pos="720"/>
        </w:tabs>
        <w:spacing w:before="260" w:line="260" w:lineRule="atLeast"/>
        <w:jc w:val="left"/>
        <w:rPr>
          <w:rFonts w:cs="Calibri"/>
          <w:szCs w:val="22"/>
        </w:rPr>
      </w:pPr>
      <w:r w:rsidRPr="00ED5DB8">
        <w:rPr>
          <w:rFonts w:cs="Calibri"/>
          <w:b/>
          <w:bCs/>
          <w:szCs w:val="22"/>
        </w:rPr>
        <w:t xml:space="preserve">Transport </w:t>
      </w:r>
      <w:r w:rsidR="006A57C5">
        <w:rPr>
          <w:rFonts w:cs="Calibri"/>
          <w:b/>
          <w:bCs/>
          <w:szCs w:val="22"/>
        </w:rPr>
        <w:t>e</w:t>
      </w:r>
      <w:r w:rsidR="006A57C5" w:rsidRPr="00ED5DB8">
        <w:rPr>
          <w:rFonts w:cs="Calibri"/>
          <w:b/>
          <w:bCs/>
          <w:szCs w:val="22"/>
        </w:rPr>
        <w:t xml:space="preserve">lectricity </w:t>
      </w:r>
      <w:r w:rsidR="006A57C5">
        <w:rPr>
          <w:rFonts w:cs="Calibri"/>
          <w:b/>
          <w:bCs/>
          <w:szCs w:val="22"/>
        </w:rPr>
        <w:t>c</w:t>
      </w:r>
      <w:r w:rsidR="006A57C5" w:rsidRPr="00ED5DB8">
        <w:rPr>
          <w:rFonts w:cs="Calibri"/>
          <w:b/>
          <w:bCs/>
          <w:szCs w:val="22"/>
        </w:rPr>
        <w:t>onsumption</w:t>
      </w:r>
      <w:r w:rsidRPr="00ED5DB8">
        <w:rPr>
          <w:rFonts w:cs="Calibri"/>
          <w:szCs w:val="22"/>
        </w:rPr>
        <w:t xml:space="preserve">: </w:t>
      </w:r>
      <w:r w:rsidR="00D1035E" w:rsidRPr="00D1035E">
        <w:rPr>
          <w:rFonts w:cs="Calibri"/>
          <w:szCs w:val="22"/>
        </w:rPr>
        <w:t>Transport demand grows with population and the increasing share of electric vehicles (EVs). As EV adoption accelerates in Uzbekistan, particularly in line with global trends, transport electricity consumption is expected to become a more significant driver of demand.</w:t>
      </w:r>
    </w:p>
    <w:p w14:paraId="54D4BEC9" w14:textId="1ACDC50C" w:rsidR="00ED5DB8" w:rsidRPr="00ED5DB8" w:rsidRDefault="00ED5DB8" w:rsidP="00ED5DB8">
      <w:pPr>
        <w:numPr>
          <w:ilvl w:val="0"/>
          <w:numId w:val="32"/>
        </w:numPr>
        <w:tabs>
          <w:tab w:val="num" w:pos="720"/>
        </w:tabs>
        <w:spacing w:before="260" w:line="260" w:lineRule="atLeast"/>
        <w:jc w:val="left"/>
        <w:rPr>
          <w:rFonts w:cs="Calibri"/>
          <w:szCs w:val="22"/>
        </w:rPr>
      </w:pPr>
      <w:r w:rsidRPr="00ED5DB8">
        <w:rPr>
          <w:rFonts w:cs="Calibri"/>
          <w:b/>
          <w:bCs/>
          <w:szCs w:val="22"/>
        </w:rPr>
        <w:t xml:space="preserve">Residential </w:t>
      </w:r>
      <w:r w:rsidR="006A57C5">
        <w:rPr>
          <w:rFonts w:cs="Calibri"/>
          <w:b/>
          <w:bCs/>
          <w:szCs w:val="22"/>
        </w:rPr>
        <w:t>e</w:t>
      </w:r>
      <w:r w:rsidR="006A57C5" w:rsidRPr="00ED5DB8">
        <w:rPr>
          <w:rFonts w:cs="Calibri"/>
          <w:b/>
          <w:bCs/>
          <w:szCs w:val="22"/>
        </w:rPr>
        <w:t xml:space="preserve">lectricity </w:t>
      </w:r>
      <w:r w:rsidR="006A57C5">
        <w:rPr>
          <w:rFonts w:cs="Calibri"/>
          <w:b/>
          <w:bCs/>
          <w:szCs w:val="22"/>
        </w:rPr>
        <w:t>c</w:t>
      </w:r>
      <w:r w:rsidR="006A57C5" w:rsidRPr="00ED5DB8">
        <w:rPr>
          <w:rFonts w:cs="Calibri"/>
          <w:b/>
          <w:bCs/>
          <w:szCs w:val="22"/>
        </w:rPr>
        <w:t>onsumption</w:t>
      </w:r>
      <w:r w:rsidRPr="00ED5DB8">
        <w:rPr>
          <w:rFonts w:cs="Calibri"/>
          <w:szCs w:val="22"/>
        </w:rPr>
        <w:t xml:space="preserve">: </w:t>
      </w:r>
      <w:r w:rsidR="00DC4E7D" w:rsidRPr="00DC4E7D">
        <w:rPr>
          <w:rFonts w:cs="Calibri"/>
          <w:szCs w:val="22"/>
        </w:rPr>
        <w:t>Residential demand is influenced by population growth and GDP per capita. These factors reflect demographic shifts and rising living standards, both of which are essential to understanding electricity consumption in this sector.</w:t>
      </w:r>
    </w:p>
    <w:p w14:paraId="00A7F9D8" w14:textId="7EB8FCC3" w:rsidR="00ED5DB8" w:rsidRPr="00ED5DB8" w:rsidRDefault="00ED5DB8" w:rsidP="00ED5DB8">
      <w:pPr>
        <w:spacing w:before="260" w:line="260" w:lineRule="atLeast"/>
        <w:jc w:val="left"/>
        <w:rPr>
          <w:rFonts w:cs="Calibri"/>
          <w:szCs w:val="22"/>
        </w:rPr>
      </w:pPr>
      <w:r w:rsidRPr="00ED5DB8">
        <w:rPr>
          <w:rFonts w:cs="Calibri"/>
          <w:szCs w:val="22"/>
        </w:rPr>
        <w:t xml:space="preserve">By expanding the model to include sector-specific data, the </w:t>
      </w:r>
      <w:r w:rsidR="005D5B29">
        <w:rPr>
          <w:rFonts w:cs="Calibri"/>
          <w:szCs w:val="22"/>
        </w:rPr>
        <w:t>“S</w:t>
      </w:r>
      <w:r w:rsidRPr="00ED5DB8">
        <w:rPr>
          <w:rFonts w:cs="Calibri"/>
          <w:szCs w:val="22"/>
        </w:rPr>
        <w:t xml:space="preserve">ectoral </w:t>
      </w:r>
      <w:r w:rsidR="005D5B29">
        <w:rPr>
          <w:rFonts w:cs="Calibri"/>
          <w:szCs w:val="22"/>
        </w:rPr>
        <w:t>expansion”</w:t>
      </w:r>
      <w:r w:rsidRPr="00ED5DB8">
        <w:rPr>
          <w:rFonts w:cs="Calibri"/>
          <w:szCs w:val="22"/>
        </w:rPr>
        <w:t xml:space="preserve"> variant captures a more granular picture of electricity demand, offering a broader understanding of how sectoral shifts influence the overall national consumption.</w:t>
      </w:r>
    </w:p>
    <w:p w14:paraId="4C6B7F4A" w14:textId="009D1118" w:rsidR="002C1683" w:rsidRPr="003312BA" w:rsidRDefault="002C1683" w:rsidP="002C1683">
      <w:pPr>
        <w:spacing w:before="260" w:line="260" w:lineRule="atLeast"/>
        <w:jc w:val="left"/>
        <w:rPr>
          <w:rFonts w:cs="Calibri"/>
          <w:b/>
          <w:bCs/>
          <w:color w:val="104C91"/>
          <w:szCs w:val="22"/>
        </w:rPr>
      </w:pPr>
      <w:r w:rsidRPr="003312BA">
        <w:rPr>
          <w:rFonts w:cs="Calibri"/>
          <w:b/>
          <w:bCs/>
          <w:color w:val="104C91"/>
          <w:szCs w:val="22"/>
        </w:rPr>
        <w:t>“</w:t>
      </w:r>
      <w:r w:rsidR="00775714">
        <w:rPr>
          <w:rFonts w:cs="Calibri"/>
          <w:b/>
          <w:bCs/>
          <w:color w:val="104C91"/>
          <w:szCs w:val="22"/>
        </w:rPr>
        <w:t>Tariff impact</w:t>
      </w:r>
      <w:r w:rsidRPr="003312BA">
        <w:rPr>
          <w:rFonts w:cs="Calibri"/>
          <w:b/>
          <w:bCs/>
          <w:color w:val="104C91"/>
          <w:szCs w:val="22"/>
        </w:rPr>
        <w:t>” model variant</w:t>
      </w:r>
    </w:p>
    <w:p w14:paraId="23C94248" w14:textId="76CCE1FF" w:rsidR="00EB5A8B" w:rsidRDefault="008B0D15" w:rsidP="008B0D15">
      <w:pPr>
        <w:spacing w:before="260" w:line="260" w:lineRule="atLeast"/>
        <w:jc w:val="left"/>
        <w:rPr>
          <w:rFonts w:cs="Calibri"/>
          <w:szCs w:val="22"/>
        </w:rPr>
      </w:pPr>
      <w:r w:rsidRPr="008B0D15">
        <w:rPr>
          <w:rFonts w:cs="Calibri"/>
          <w:szCs w:val="22"/>
        </w:rPr>
        <w:t xml:space="preserve">Finally, this variant incorporates the </w:t>
      </w:r>
      <w:r w:rsidRPr="006871CB">
        <w:rPr>
          <w:rFonts w:cs="Calibri"/>
          <w:b/>
          <w:bCs/>
          <w:szCs w:val="22"/>
        </w:rPr>
        <w:t>influence of electricity prices on demand</w:t>
      </w:r>
      <w:r w:rsidRPr="008B0D15">
        <w:rPr>
          <w:rFonts w:cs="Calibri"/>
          <w:szCs w:val="22"/>
        </w:rPr>
        <w:t>, recogni</w:t>
      </w:r>
      <w:r w:rsidR="003608AD">
        <w:rPr>
          <w:rFonts w:cs="Calibri"/>
          <w:szCs w:val="22"/>
        </w:rPr>
        <w:t>s</w:t>
      </w:r>
      <w:r w:rsidRPr="008B0D15">
        <w:rPr>
          <w:rFonts w:cs="Calibri"/>
          <w:szCs w:val="22"/>
        </w:rPr>
        <w:t>ing that price changes play a crucial role in shaping consumer behavio</w:t>
      </w:r>
      <w:r>
        <w:rPr>
          <w:rFonts w:cs="Calibri"/>
          <w:szCs w:val="22"/>
        </w:rPr>
        <w:t>u</w:t>
      </w:r>
      <w:r w:rsidRPr="008B0D15">
        <w:rPr>
          <w:rFonts w:cs="Calibri"/>
          <w:szCs w:val="22"/>
        </w:rPr>
        <w:t xml:space="preserve">r. Not accounting for tariffs would miss an important aspect of demand forecasting. </w:t>
      </w:r>
      <w:r w:rsidR="00B13627" w:rsidRPr="008B0D15">
        <w:rPr>
          <w:rFonts w:cs="Calibri"/>
          <w:szCs w:val="22"/>
        </w:rPr>
        <w:t>Although demand forecasts often face challenges when incorporating price variables</w:t>
      </w:r>
      <w:r w:rsidR="00687B4A">
        <w:rPr>
          <w:rFonts w:cs="Calibri"/>
          <w:szCs w:val="22"/>
        </w:rPr>
        <w:t xml:space="preserve"> – </w:t>
      </w:r>
      <w:r w:rsidR="00B13627" w:rsidRPr="008B0D15">
        <w:rPr>
          <w:rFonts w:cs="Calibri"/>
          <w:szCs w:val="22"/>
        </w:rPr>
        <w:t>since prices can respond to supply-demand dynamics</w:t>
      </w:r>
      <w:r w:rsidR="00687B4A">
        <w:rPr>
          <w:rFonts w:cs="Calibri"/>
          <w:szCs w:val="22"/>
        </w:rPr>
        <w:t xml:space="preserve"> – i</w:t>
      </w:r>
      <w:r w:rsidR="00B13627" w:rsidRPr="008B0D15">
        <w:rPr>
          <w:rFonts w:cs="Calibri"/>
          <w:szCs w:val="22"/>
        </w:rPr>
        <w:t>n Uzbekistan, the government centrally controls electricity tariffs, so prices do not adjust directly to changes in demand. This allows for more stable mode</w:t>
      </w:r>
      <w:r w:rsidR="00B13627">
        <w:rPr>
          <w:rFonts w:cs="Calibri"/>
          <w:szCs w:val="22"/>
        </w:rPr>
        <w:t>l</w:t>
      </w:r>
      <w:r w:rsidR="00B13627" w:rsidRPr="008B0D15">
        <w:rPr>
          <w:rFonts w:cs="Calibri"/>
          <w:szCs w:val="22"/>
        </w:rPr>
        <w:t>ling assumptions. Instead of including tariffs as a direct input, we rely on established elasticities from existing literature.</w:t>
      </w:r>
      <w:r w:rsidR="006E39B1">
        <w:rPr>
          <w:rStyle w:val="Funotenzeichen"/>
          <w:rFonts w:cs="Calibri"/>
          <w:szCs w:val="22"/>
        </w:rPr>
        <w:footnoteReference w:id="20"/>
      </w:r>
    </w:p>
    <w:p w14:paraId="02287C9A" w14:textId="525108DB" w:rsidR="00257A65" w:rsidRDefault="00EB5A8B" w:rsidP="00176B39">
      <w:pPr>
        <w:spacing w:before="260" w:line="260" w:lineRule="atLeast"/>
        <w:jc w:val="left"/>
        <w:rPr>
          <w:rFonts w:cs="Calibri"/>
          <w:szCs w:val="22"/>
        </w:rPr>
      </w:pPr>
      <w:r w:rsidRPr="00EB5A8B">
        <w:rPr>
          <w:rFonts w:cs="Calibri"/>
          <w:szCs w:val="22"/>
        </w:rPr>
        <w:t xml:space="preserve">In May 2024, Uzbekistan implemented its first significant electricity tariff increase </w:t>
      </w:r>
      <w:r w:rsidR="00D27035">
        <w:rPr>
          <w:rFonts w:cs="Calibri"/>
          <w:szCs w:val="22"/>
        </w:rPr>
        <w:t xml:space="preserve">for households </w:t>
      </w:r>
      <w:r w:rsidRPr="00EB5A8B">
        <w:rPr>
          <w:rFonts w:cs="Calibri"/>
          <w:szCs w:val="22"/>
        </w:rPr>
        <w:t>since 2019, as part of broader reforms aimed at reducing subsidies, improving energy efficiency, and achieving cost recovery. Further price adjustments are planned for 2025.</w:t>
      </w:r>
      <w:r>
        <w:rPr>
          <w:rFonts w:cs="Calibri"/>
          <w:szCs w:val="22"/>
        </w:rPr>
        <w:t xml:space="preserve"> </w:t>
      </w:r>
      <w:r w:rsidR="00570CA3">
        <w:rPr>
          <w:rFonts w:cs="Calibri"/>
          <w:szCs w:val="22"/>
        </w:rPr>
        <w:t xml:space="preserve">For this model variant we account for the tariff adjustments that have already taken place </w:t>
      </w:r>
      <w:r w:rsidR="00BA1D05">
        <w:rPr>
          <w:rFonts w:cs="Calibri"/>
          <w:szCs w:val="22"/>
        </w:rPr>
        <w:t xml:space="preserve">in 2023 and 2024, </w:t>
      </w:r>
      <w:r w:rsidR="00570CA3">
        <w:rPr>
          <w:rFonts w:cs="Calibri"/>
          <w:szCs w:val="22"/>
        </w:rPr>
        <w:t xml:space="preserve">and those that are planned for 2025. </w:t>
      </w:r>
      <w:r w:rsidR="00B67B18" w:rsidRPr="00B67B18">
        <w:rPr>
          <w:rFonts w:cs="Calibri"/>
          <w:szCs w:val="22"/>
        </w:rPr>
        <w:t xml:space="preserve">To isolate the effects of </w:t>
      </w:r>
      <w:r w:rsidR="00B67B18">
        <w:rPr>
          <w:rFonts w:cs="Calibri"/>
          <w:szCs w:val="22"/>
        </w:rPr>
        <w:t xml:space="preserve">the current </w:t>
      </w:r>
      <w:r w:rsidR="00B67B18" w:rsidRPr="00B67B18">
        <w:rPr>
          <w:rFonts w:cs="Calibri"/>
          <w:szCs w:val="22"/>
        </w:rPr>
        <w:t>round of increases, we assume that real tariffs (i.e., net of inflation) remain unchanged from 2026 to 2035.</w:t>
      </w:r>
      <w:r w:rsidR="00B67B18">
        <w:rPr>
          <w:rStyle w:val="Funotenzeichen"/>
          <w:rFonts w:cs="Calibri"/>
          <w:szCs w:val="22"/>
        </w:rPr>
        <w:footnoteReference w:id="21"/>
      </w:r>
      <w:r w:rsidR="00B67B18" w:rsidRPr="00B67B18">
        <w:rPr>
          <w:rFonts w:cs="Calibri"/>
          <w:szCs w:val="22"/>
        </w:rPr>
        <w:t xml:space="preserve"> This assumption is not meant to imply that constant real tariffs are a likely scenario, but rather serves as a necessary </w:t>
      </w:r>
      <w:r w:rsidR="009D4AF0">
        <w:rPr>
          <w:rFonts w:cs="Calibri"/>
          <w:szCs w:val="22"/>
        </w:rPr>
        <w:t>assumption</w:t>
      </w:r>
      <w:r w:rsidR="00B67B18" w:rsidRPr="00B67B18">
        <w:rPr>
          <w:rFonts w:cs="Calibri"/>
          <w:szCs w:val="22"/>
        </w:rPr>
        <w:t xml:space="preserve"> due to the </w:t>
      </w:r>
      <w:r w:rsidR="00B67B18" w:rsidRPr="00B67B18">
        <w:rPr>
          <w:rFonts w:cs="Calibri"/>
          <w:szCs w:val="22"/>
        </w:rPr>
        <w:lastRenderedPageBreak/>
        <w:t xml:space="preserve">uncertainty around future tariff adjustments and their timing. </w:t>
      </w:r>
      <w:r w:rsidR="005772C9" w:rsidRPr="005772C9">
        <w:rPr>
          <w:rFonts w:cs="Calibri"/>
          <w:szCs w:val="22"/>
        </w:rPr>
        <w:t xml:space="preserve">Should further </w:t>
      </w:r>
      <w:r w:rsidR="00EF7BCB">
        <w:rPr>
          <w:rFonts w:cs="Calibri"/>
          <w:szCs w:val="22"/>
        </w:rPr>
        <w:t xml:space="preserve">real </w:t>
      </w:r>
      <w:r w:rsidR="005772C9" w:rsidRPr="005772C9">
        <w:rPr>
          <w:rFonts w:cs="Calibri"/>
          <w:szCs w:val="22"/>
        </w:rPr>
        <w:t>tariff increases be necessary beyond 2025 to achieve cost recovery, it is likely that these would exert additional dampening effects on demand.</w:t>
      </w:r>
    </w:p>
    <w:p w14:paraId="3F58B6FF" w14:textId="1F9A7DC0" w:rsidR="00C72845" w:rsidRPr="005278BD" w:rsidRDefault="00747472" w:rsidP="00C72845">
      <w:pPr>
        <w:pStyle w:val="berschrift1"/>
        <w:rPr>
          <w:lang w:eastAsia="de-DE"/>
        </w:rPr>
      </w:pPr>
      <w:bookmarkStart w:id="17" w:name="_Ref181895105"/>
      <w:bookmarkStart w:id="18" w:name="_Toc182575132"/>
      <w:r>
        <w:t>Model results</w:t>
      </w:r>
      <w:bookmarkEnd w:id="17"/>
      <w:bookmarkEnd w:id="18"/>
    </w:p>
    <w:p w14:paraId="32BA134B" w14:textId="528909CD" w:rsidR="00124D8B" w:rsidRDefault="007E05AC" w:rsidP="00534C54">
      <w:pPr>
        <w:spacing w:before="260" w:line="260" w:lineRule="atLeast"/>
        <w:jc w:val="left"/>
        <w:rPr>
          <w:lang w:eastAsia="de-DE"/>
        </w:rPr>
      </w:pPr>
      <w:r w:rsidRPr="007E05AC">
        <w:rPr>
          <w:lang w:eastAsia="de-DE"/>
        </w:rPr>
        <w:t>This section presents the findings from the three model variants, starting with an overview of the projected electricity demand under each variant, followed by a detailed discussion of the forecast accuracy and comparisons with external forecasts.</w:t>
      </w:r>
      <w:r w:rsidR="00124D8B" w:rsidRPr="00124D8B">
        <w:rPr>
          <w:lang w:eastAsia="de-DE"/>
        </w:rPr>
        <w:t xml:space="preserve"> </w:t>
      </w:r>
    </w:p>
    <w:p w14:paraId="156338FA" w14:textId="4FFF2193" w:rsidR="002625D8" w:rsidRDefault="00055D05" w:rsidP="002625D8">
      <w:pPr>
        <w:pStyle w:val="berschrift2"/>
      </w:pPr>
      <w:bookmarkStart w:id="19" w:name="_Toc182575133"/>
      <w:r>
        <w:t>Demand f</w:t>
      </w:r>
      <w:r w:rsidR="00D52B94">
        <w:t>orecast</w:t>
      </w:r>
      <w:r w:rsidR="003E05AE">
        <w:t xml:space="preserve"> </w:t>
      </w:r>
      <w:r w:rsidR="00C53D5F">
        <w:t>results</w:t>
      </w:r>
      <w:bookmarkEnd w:id="19"/>
    </w:p>
    <w:p w14:paraId="1086119D" w14:textId="75AA494A" w:rsidR="00B666F6" w:rsidRPr="00B666F6" w:rsidRDefault="00EE6F29" w:rsidP="00B666F6">
      <w:pPr>
        <w:pStyle w:val="Fliesstext"/>
      </w:pPr>
      <w:r>
        <w:rPr>
          <w:lang w:eastAsia="de-DE"/>
        </w:rPr>
        <w:fldChar w:fldCharType="begin"/>
      </w:r>
      <w:r>
        <w:instrText xml:space="preserve"> REF _Ref181866745 \h </w:instrText>
      </w:r>
      <w:r>
        <w:rPr>
          <w:lang w:eastAsia="de-DE"/>
        </w:rPr>
      </w:r>
      <w:r>
        <w:rPr>
          <w:lang w:eastAsia="de-DE"/>
        </w:rPr>
        <w:fldChar w:fldCharType="separate"/>
      </w:r>
      <w:r w:rsidRPr="008F5D43">
        <w:rPr>
          <w:bCs/>
          <w:color w:val="104C91"/>
        </w:rPr>
        <w:t xml:space="preserve">Figure </w:t>
      </w:r>
      <w:r>
        <w:rPr>
          <w:b/>
          <w:bCs/>
          <w:noProof/>
          <w:color w:val="104C91"/>
        </w:rPr>
        <w:t>6</w:t>
      </w:r>
      <w:r>
        <w:rPr>
          <w:lang w:eastAsia="de-DE"/>
        </w:rPr>
        <w:fldChar w:fldCharType="end"/>
      </w:r>
      <w:r>
        <w:rPr>
          <w:lang w:eastAsia="de-DE"/>
        </w:rPr>
        <w:t xml:space="preserve"> </w:t>
      </w:r>
      <w:r w:rsidR="00B666F6" w:rsidRPr="00854B23">
        <w:t xml:space="preserve">shows the different model variants’ forecasts in relation to historic demand development, and </w:t>
      </w:r>
      <w:r w:rsidR="00B666F6">
        <w:rPr>
          <w:lang w:eastAsia="de-DE"/>
        </w:rPr>
        <w:fldChar w:fldCharType="begin"/>
      </w:r>
      <w:r w:rsidR="00B666F6" w:rsidRPr="00C91288">
        <w:instrText xml:space="preserve"> REF _Ref180763085 \h </w:instrText>
      </w:r>
      <w:r w:rsidR="00B666F6">
        <w:rPr>
          <w:lang w:eastAsia="de-DE"/>
        </w:rPr>
      </w:r>
      <w:r w:rsidR="00B666F6">
        <w:rPr>
          <w:lang w:eastAsia="de-DE"/>
        </w:rPr>
        <w:fldChar w:fldCharType="separate"/>
      </w:r>
      <w:r w:rsidR="00B666F6" w:rsidRPr="00C46488">
        <w:rPr>
          <w:bCs/>
          <w:color w:val="104C91"/>
        </w:rPr>
        <w:t xml:space="preserve">Table </w:t>
      </w:r>
      <w:r w:rsidR="00B666F6">
        <w:rPr>
          <w:b/>
          <w:bCs/>
          <w:noProof/>
          <w:color w:val="104C91"/>
        </w:rPr>
        <w:t>2</w:t>
      </w:r>
      <w:r w:rsidR="00B666F6">
        <w:rPr>
          <w:lang w:eastAsia="de-DE"/>
        </w:rPr>
        <w:fldChar w:fldCharType="end"/>
      </w:r>
      <w:r w:rsidR="00B666F6">
        <w:rPr>
          <w:lang w:eastAsia="de-DE"/>
        </w:rPr>
        <w:t xml:space="preserve"> displays the </w:t>
      </w:r>
      <w:r w:rsidR="00A90C70">
        <w:rPr>
          <w:lang w:eastAsia="de-DE"/>
        </w:rPr>
        <w:t>annual consumption</w:t>
      </w:r>
      <w:r w:rsidR="00D068D5">
        <w:rPr>
          <w:lang w:eastAsia="de-DE"/>
        </w:rPr>
        <w:t xml:space="preserve"> </w:t>
      </w:r>
      <w:r w:rsidR="00695F0F">
        <w:rPr>
          <w:lang w:eastAsia="de-DE"/>
        </w:rPr>
        <w:t xml:space="preserve">and peak load </w:t>
      </w:r>
      <w:r w:rsidR="00D068D5">
        <w:rPr>
          <w:lang w:eastAsia="de-DE"/>
        </w:rPr>
        <w:t xml:space="preserve">in 2023 </w:t>
      </w:r>
      <w:r w:rsidR="00695F0F">
        <w:rPr>
          <w:lang w:eastAsia="de-DE"/>
        </w:rPr>
        <w:t xml:space="preserve">together with </w:t>
      </w:r>
      <w:r w:rsidR="00B666F6">
        <w:rPr>
          <w:lang w:eastAsia="de-DE"/>
        </w:rPr>
        <w:t xml:space="preserve">forecasts for 2030 and 2035. </w:t>
      </w:r>
      <w:r w:rsidR="00B666F6" w:rsidRPr="00124D8B">
        <w:rPr>
          <w:lang w:eastAsia="de-DE"/>
        </w:rPr>
        <w:t>These results offer a range of electricity demand projections, helping to illustrate how different economic drivers and sectoral trends may shape Uzbekistan’s energy needs through 2035.</w:t>
      </w:r>
    </w:p>
    <w:p w14:paraId="6359A11A" w14:textId="15C36081" w:rsidR="008F5D43" w:rsidRPr="008F5D43" w:rsidRDefault="008F5D43" w:rsidP="008F5D43">
      <w:pPr>
        <w:pStyle w:val="Beschriftung"/>
        <w:rPr>
          <w:rFonts w:cs="calibri light (Überschriften)"/>
          <w:b w:val="0"/>
          <w:bCs/>
          <w:color w:val="104C91"/>
          <w:sz w:val="22"/>
          <w:lang w:val="en-GB"/>
        </w:rPr>
      </w:pPr>
      <w:bookmarkStart w:id="20" w:name="_Ref181866745"/>
      <w:r w:rsidRPr="008F5D43">
        <w:rPr>
          <w:rFonts w:cs="calibri light (Überschriften)"/>
          <w:b w:val="0"/>
          <w:bCs/>
          <w:color w:val="104C91"/>
          <w:sz w:val="22"/>
          <w:lang w:val="en-GB"/>
        </w:rPr>
        <w:t xml:space="preserve">Figure </w:t>
      </w:r>
      <w:r w:rsidRPr="008F5D43">
        <w:rPr>
          <w:rFonts w:cs="calibri light (Überschriften)"/>
          <w:b w:val="0"/>
          <w:bCs/>
          <w:color w:val="104C91"/>
          <w:sz w:val="22"/>
          <w:lang w:val="en-GB"/>
        </w:rPr>
        <w:fldChar w:fldCharType="begin"/>
      </w:r>
      <w:r w:rsidRPr="008F5D43">
        <w:rPr>
          <w:rFonts w:cs="calibri light (Überschriften)"/>
          <w:b w:val="0"/>
          <w:bCs/>
          <w:color w:val="104C91"/>
          <w:sz w:val="22"/>
          <w:lang w:val="en-GB"/>
        </w:rPr>
        <w:instrText xml:space="preserve"> SEQ Figure \* ARABIC </w:instrText>
      </w:r>
      <w:r w:rsidRPr="008F5D43">
        <w:rPr>
          <w:rFonts w:cs="calibri light (Überschriften)"/>
          <w:b w:val="0"/>
          <w:bCs/>
          <w:color w:val="104C91"/>
          <w:sz w:val="22"/>
          <w:lang w:val="en-GB"/>
        </w:rPr>
        <w:fldChar w:fldCharType="separate"/>
      </w:r>
      <w:r w:rsidR="002401AF">
        <w:rPr>
          <w:rFonts w:cs="calibri light (Überschriften)"/>
          <w:b w:val="0"/>
          <w:bCs/>
          <w:noProof/>
          <w:color w:val="104C91"/>
          <w:sz w:val="22"/>
          <w:lang w:val="en-GB"/>
        </w:rPr>
        <w:t>6</w:t>
      </w:r>
      <w:r w:rsidRPr="008F5D43">
        <w:rPr>
          <w:rFonts w:cs="calibri light (Überschriften)"/>
          <w:b w:val="0"/>
          <w:bCs/>
          <w:color w:val="104C91"/>
          <w:sz w:val="22"/>
          <w:lang w:val="en-GB"/>
        </w:rPr>
        <w:fldChar w:fldCharType="end"/>
      </w:r>
      <w:bookmarkEnd w:id="20"/>
      <w:r w:rsidRPr="008F5D43">
        <w:rPr>
          <w:rFonts w:cs="calibri light (Überschriften)"/>
          <w:b w:val="0"/>
          <w:bCs/>
          <w:color w:val="104C91"/>
          <w:sz w:val="22"/>
          <w:lang w:val="en-GB"/>
        </w:rPr>
        <w:t xml:space="preserve">: </w:t>
      </w:r>
      <w:r w:rsidR="001117A5">
        <w:rPr>
          <w:rFonts w:cs="calibri light (Überschriften)"/>
          <w:b w:val="0"/>
          <w:bCs/>
          <w:color w:val="104C91"/>
          <w:sz w:val="22"/>
          <w:lang w:val="en-GB"/>
        </w:rPr>
        <w:t>Annual e</w:t>
      </w:r>
      <w:r w:rsidRPr="008F5D43">
        <w:rPr>
          <w:rFonts w:cs="calibri light (Überschriften)"/>
          <w:b w:val="0"/>
          <w:bCs/>
          <w:color w:val="104C91"/>
          <w:sz w:val="22"/>
          <w:lang w:val="en-GB"/>
        </w:rPr>
        <w:t>lectricity demand projection under the three model variants</w:t>
      </w:r>
    </w:p>
    <w:p w14:paraId="000ED368" w14:textId="1397EE36" w:rsidR="003F2871" w:rsidRDefault="00380C67" w:rsidP="003F2871">
      <w:pPr>
        <w:spacing w:before="260"/>
        <w:rPr>
          <w:noProof/>
        </w:rPr>
      </w:pPr>
      <w:r w:rsidRPr="00380C67">
        <w:rPr>
          <w:noProof/>
        </w:rPr>
        <w:t xml:space="preserve"> </w:t>
      </w:r>
      <w:r>
        <w:rPr>
          <w:noProof/>
        </w:rPr>
        <mc:AlternateContent>
          <mc:Choice Requires="wpg">
            <w:drawing>
              <wp:inline distT="0" distB="0" distL="0" distR="0" wp14:anchorId="254B3314" wp14:editId="577B56FF">
                <wp:extent cx="5040000" cy="2880000"/>
                <wp:effectExtent l="0" t="0" r="0" b="0"/>
                <wp:docPr id="571325784" name="Group 24"/>
                <wp:cNvGraphicFramePr/>
                <a:graphic xmlns:a="http://schemas.openxmlformats.org/drawingml/2006/main">
                  <a:graphicData uri="http://schemas.microsoft.com/office/word/2010/wordprocessingGroup">
                    <wpg:wgp>
                      <wpg:cNvGrpSpPr/>
                      <wpg:grpSpPr>
                        <a:xfrm>
                          <a:off x="0" y="0"/>
                          <a:ext cx="5040000" cy="2880000"/>
                          <a:chOff x="0" y="0"/>
                          <a:chExt cx="4540743" cy="2312252"/>
                        </a:xfrm>
                      </wpg:grpSpPr>
                      <wpg:grpSp>
                        <wpg:cNvPr id="1041853769" name="Group 1041853769"/>
                        <wpg:cNvGrpSpPr/>
                        <wpg:grpSpPr>
                          <a:xfrm>
                            <a:off x="0" y="0"/>
                            <a:ext cx="4540743" cy="2312252"/>
                            <a:chOff x="0" y="0"/>
                            <a:chExt cx="5043810" cy="2810783"/>
                          </a:xfrm>
                          <a:noFill/>
                        </wpg:grpSpPr>
                        <wpg:grpSp>
                          <wpg:cNvPr id="296299484" name="Group 296299484"/>
                          <wpg:cNvGrpSpPr/>
                          <wpg:grpSpPr>
                            <a:xfrm>
                              <a:off x="0" y="9501"/>
                              <a:ext cx="5043810" cy="2801282"/>
                              <a:chOff x="0" y="9501"/>
                              <a:chExt cx="4471842" cy="2703016"/>
                            </a:xfrm>
                            <a:grpFill/>
                          </wpg:grpSpPr>
                          <wpg:grpSp>
                            <wpg:cNvPr id="273318302" name="Group 273318302"/>
                            <wpg:cNvGrpSpPr/>
                            <wpg:grpSpPr>
                              <a:xfrm>
                                <a:off x="0" y="9501"/>
                                <a:ext cx="4471842" cy="2703016"/>
                                <a:chOff x="0" y="9501"/>
                                <a:chExt cx="4471842" cy="2703016"/>
                              </a:xfrm>
                              <a:grpFill/>
                            </wpg:grpSpPr>
                            <wpg:graphicFrame>
                              <wpg:cNvPr id="1622326928" name="Chart 1622326928"/>
                              <wpg:cNvFrPr/>
                              <wpg:xfrm>
                                <a:off x="0" y="9501"/>
                                <a:ext cx="4471842" cy="2703016"/>
                              </wpg:xfrm>
                              <a:graphic>
                                <a:graphicData uri="http://schemas.openxmlformats.org/drawingml/2006/chart">
                                  <c:chart xmlns:c="http://schemas.openxmlformats.org/drawingml/2006/chart" xmlns:r="http://schemas.openxmlformats.org/officeDocument/2006/relationships" r:id="rId26"/>
                                </a:graphicData>
                              </a:graphic>
                            </wpg:graphicFrame>
                            <wps:wsp>
                              <wps:cNvPr id="185059558" name="Straight Connector 185059558"/>
                              <wps:cNvCnPr/>
                              <wps:spPr>
                                <a:xfrm>
                                  <a:off x="3291706" y="163783"/>
                                  <a:ext cx="0" cy="2076061"/>
                                </a:xfrm>
                                <a:prstGeom prst="line">
                                  <a:avLst/>
                                </a:prstGeom>
                                <a:grpFill/>
                                <a:ln>
                                  <a:solidFill>
                                    <a:srgbClr val="7A7A7A"/>
                                  </a:solidFill>
                                  <a:prstDash val="sysDot"/>
                                </a:ln>
                              </wps:spPr>
                              <wps:style>
                                <a:lnRef idx="1">
                                  <a:schemeClr val="accent1"/>
                                </a:lnRef>
                                <a:fillRef idx="0">
                                  <a:schemeClr val="accent1"/>
                                </a:fillRef>
                                <a:effectRef idx="0">
                                  <a:schemeClr val="accent1"/>
                                </a:effectRef>
                                <a:fontRef idx="minor">
                                  <a:schemeClr val="tx1"/>
                                </a:fontRef>
                              </wps:style>
                              <wps:bodyPr/>
                            </wps:wsp>
                          </wpg:grpSp>
                          <wps:wsp>
                            <wps:cNvPr id="1572788872" name="TextBox 14"/>
                            <wps:cNvSpPr txBox="1"/>
                            <wps:spPr>
                              <a:xfrm>
                                <a:off x="3007212" y="366078"/>
                                <a:ext cx="279918" cy="514639"/>
                              </a:xfrm>
                              <a:prstGeom prst="rect">
                                <a:avLst/>
                              </a:prstGeom>
                              <a:grpFill/>
                              <a:ln w="9525" cmpd="sng">
                                <a:noFill/>
                              </a:ln>
                            </wps:spPr>
                            <wps:style>
                              <a:lnRef idx="0">
                                <a:scrgbClr r="0" g="0" b="0"/>
                              </a:lnRef>
                              <a:fillRef idx="0">
                                <a:scrgbClr r="0" g="0" b="0"/>
                              </a:fillRef>
                              <a:effectRef idx="0">
                                <a:scrgbClr r="0" g="0" b="0"/>
                              </a:effectRef>
                              <a:fontRef idx="minor">
                                <a:schemeClr val="dk1"/>
                              </a:fontRef>
                            </wps:style>
                            <wps:txbx>
                              <w:txbxContent>
                                <w:p w14:paraId="62E59790" w14:textId="77777777" w:rsidR="00380C67" w:rsidRDefault="00380C67" w:rsidP="00380C67">
                                  <w:pPr>
                                    <w:rPr>
                                      <w:rFonts w:asciiTheme="minorHAnsi" w:cs="Arial"/>
                                      <w:b/>
                                      <w:bCs/>
                                      <w:color w:val="86B3E1"/>
                                      <w:sz w:val="18"/>
                                    </w:rPr>
                                  </w:pPr>
                                  <w:r>
                                    <w:rPr>
                                      <w:rFonts w:asciiTheme="minorHAnsi" w:cs="Arial"/>
                                      <w:b/>
                                      <w:bCs/>
                                      <w:color w:val="86B3E1"/>
                                      <w:sz w:val="18"/>
                                    </w:rPr>
                                    <w:t>122.7</w:t>
                                  </w:r>
                                  <w:r>
                                    <w:rPr>
                                      <w:rFonts w:asciiTheme="minorHAnsi" w:cs="Arial"/>
                                      <w:b/>
                                      <w:bCs/>
                                      <w:color w:val="104C91"/>
                                      <w:kern w:val="24"/>
                                      <w:sz w:val="18"/>
                                    </w:rPr>
                                    <w:t>117.5</w:t>
                                  </w:r>
                                  <w:r>
                                    <w:rPr>
                                      <w:rFonts w:asciiTheme="minorHAnsi" w:cs="Arial"/>
                                      <w:b/>
                                      <w:bCs/>
                                      <w:color w:val="F49B19"/>
                                      <w:kern w:val="24"/>
                                      <w:sz w:val="18"/>
                                    </w:rPr>
                                    <w:t>109.3</w:t>
                                  </w:r>
                                </w:p>
                              </w:txbxContent>
                            </wps:txbx>
                            <wps:bodyPr wrap="square" lIns="0" tIns="0" rIns="0" bIns="0" rtlCol="0" anchor="t"/>
                          </wps:wsp>
                          <wps:wsp>
                            <wps:cNvPr id="535619455" name="TextBox 15"/>
                            <wps:cNvSpPr txBox="1"/>
                            <wps:spPr>
                              <a:xfrm>
                                <a:off x="3955440" y="764545"/>
                                <a:ext cx="279918" cy="522505"/>
                              </a:xfrm>
                              <a:prstGeom prst="rect">
                                <a:avLst/>
                              </a:prstGeom>
                              <a:grpFill/>
                              <a:ln w="9525" cmpd="sng">
                                <a:noFill/>
                              </a:ln>
                            </wps:spPr>
                            <wps:style>
                              <a:lnRef idx="0">
                                <a:scrgbClr r="0" g="0" b="0"/>
                              </a:lnRef>
                              <a:fillRef idx="0">
                                <a:scrgbClr r="0" g="0" b="0"/>
                              </a:fillRef>
                              <a:effectRef idx="0">
                                <a:scrgbClr r="0" g="0" b="0"/>
                              </a:effectRef>
                              <a:fontRef idx="minor">
                                <a:schemeClr val="dk1"/>
                              </a:fontRef>
                            </wps:style>
                            <wps:txbx>
                              <w:txbxContent>
                                <w:p w14:paraId="6308EA71" w14:textId="77777777" w:rsidR="00380C67" w:rsidRDefault="00380C67" w:rsidP="00380C67">
                                  <w:pPr>
                                    <w:rPr>
                                      <w:rFonts w:asciiTheme="minorHAnsi" w:cs="Arial"/>
                                      <w:b/>
                                      <w:bCs/>
                                      <w:color w:val="86B3E1"/>
                                      <w:sz w:val="18"/>
                                    </w:rPr>
                                  </w:pPr>
                                  <w:r>
                                    <w:rPr>
                                      <w:rFonts w:asciiTheme="minorHAnsi" w:cs="Arial"/>
                                      <w:b/>
                                      <w:bCs/>
                                      <w:color w:val="86B3E1"/>
                                      <w:sz w:val="18"/>
                                    </w:rPr>
                                    <w:t>151.5</w:t>
                                  </w:r>
                                  <w:r>
                                    <w:rPr>
                                      <w:rFonts w:asciiTheme="minorHAnsi" w:cs="Arial"/>
                                      <w:b/>
                                      <w:bCs/>
                                      <w:color w:val="104C91"/>
                                      <w:kern w:val="24"/>
                                      <w:sz w:val="18"/>
                                    </w:rPr>
                                    <w:t>137.2</w:t>
                                  </w:r>
                                  <w:r>
                                    <w:rPr>
                                      <w:rFonts w:asciiTheme="minorHAnsi" w:cs="Arial"/>
                                      <w:b/>
                                      <w:bCs/>
                                      <w:color w:val="F49B19"/>
                                      <w:kern w:val="24"/>
                                      <w:sz w:val="18"/>
                                    </w:rPr>
                                    <w:t>130.9</w:t>
                                  </w:r>
                                </w:p>
                              </w:txbxContent>
                            </wps:txbx>
                            <wps:bodyPr wrap="square" lIns="0" tIns="0" rIns="0" bIns="0" rtlCol="0" anchor="t"/>
                          </wps:wsp>
                        </wpg:grpSp>
                        <wps:wsp>
                          <wps:cNvPr id="45457938" name="TextBox 2"/>
                          <wps:cNvSpPr txBox="1"/>
                          <wps:spPr>
                            <a:xfrm>
                              <a:off x="418465" y="0"/>
                              <a:ext cx="381000" cy="146897"/>
                            </a:xfrm>
                            <a:prstGeom prst="rect">
                              <a:avLst/>
                            </a:prstGeom>
                            <a:grpFill/>
                            <a:ln w="9525" cmpd="sng">
                              <a:noFill/>
                            </a:ln>
                          </wps:spPr>
                          <wps:style>
                            <a:lnRef idx="0">
                              <a:scrgbClr r="0" g="0" b="0"/>
                            </a:lnRef>
                            <a:fillRef idx="0">
                              <a:scrgbClr r="0" g="0" b="0"/>
                            </a:fillRef>
                            <a:effectRef idx="0">
                              <a:scrgbClr r="0" g="0" b="0"/>
                            </a:effectRef>
                            <a:fontRef idx="minor">
                              <a:schemeClr val="dk1"/>
                            </a:fontRef>
                          </wps:style>
                          <wps:txbx>
                            <w:txbxContent>
                              <w:p w14:paraId="4F60C841" w14:textId="77777777" w:rsidR="00380C67" w:rsidRDefault="00380C67" w:rsidP="00380C67">
                                <w:pPr>
                                  <w:rPr>
                                    <w:rFonts w:asciiTheme="minorHAnsi" w:cs="Arial"/>
                                    <w:color w:val="7A7A7A"/>
                                    <w:kern w:val="24"/>
                                    <w:sz w:val="18"/>
                                  </w:rPr>
                                </w:pPr>
                                <w:r>
                                  <w:rPr>
                                    <w:rFonts w:asciiTheme="minorHAnsi" w:cs="Arial"/>
                                    <w:color w:val="7A7A7A"/>
                                    <w:kern w:val="24"/>
                                    <w:sz w:val="18"/>
                                  </w:rPr>
                                  <w:t>TWh</w:t>
                                </w:r>
                              </w:p>
                            </w:txbxContent>
                          </wps:txbx>
                          <wps:bodyPr wrap="square" lIns="36000" tIns="36000" rIns="36000" bIns="36000" rtlCol="0" anchor="t"/>
                        </wps:wsp>
                      </wpg:grpSp>
                      <wps:wsp>
                        <wps:cNvPr id="1247573873" name="TextBox 14"/>
                        <wps:cNvSpPr txBox="1"/>
                        <wps:spPr>
                          <a:xfrm>
                            <a:off x="1929782" y="1390693"/>
                            <a:ext cx="276225" cy="209549"/>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E5334EE" w14:textId="77777777" w:rsidR="00380C67" w:rsidRDefault="00380C67" w:rsidP="00380C67">
                              <w:pPr>
                                <w:rPr>
                                  <w:rFonts w:asciiTheme="minorHAnsi" w:cs="Arial"/>
                                  <w:b/>
                                  <w:bCs/>
                                  <w:color w:val="7A7A7A"/>
                                  <w:kern w:val="24"/>
                                  <w:sz w:val="18"/>
                                </w:rPr>
                              </w:pPr>
                              <w:r>
                                <w:rPr>
                                  <w:rFonts w:asciiTheme="minorHAnsi" w:cs="Arial"/>
                                  <w:b/>
                                  <w:bCs/>
                                  <w:color w:val="7A7A7A"/>
                                  <w:kern w:val="24"/>
                                  <w:sz w:val="18"/>
                                </w:rPr>
                                <w:t>81.0</w:t>
                              </w:r>
                            </w:p>
                          </w:txbxContent>
                        </wps:txbx>
                        <wps:bodyPr wrap="square" lIns="0" tIns="0" rIns="0" bIns="0" rtlCol="0" anchor="t"/>
                      </wps:wsp>
                    </wpg:wgp>
                  </a:graphicData>
                </a:graphic>
              </wp:inline>
            </w:drawing>
          </mc:Choice>
          <mc:Fallback>
            <w:pict>
              <v:group w14:anchorId="254B3314" id="Group 24" o:spid="_x0000_s1030" style="width:396.85pt;height:226.75pt;mso-position-horizontal-relative:char;mso-position-vertical-relative:line" coordsize="45407,23122" o:gfxdata="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">
                <v:group id="Group 1041853769" o:spid="_x0000_s1031" style="position:absolute;width:45407;height:23122" coordsize="50438,2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">
                  <v:group id="Group 296299484" o:spid="_x0000_s1032" style="position:absolute;top:95;width:50438;height:28012" coordorigin=",95" coordsize="44718,2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">
                    <v:group id="Group 273318302" o:spid="_x0000_s1033" style="position:absolute;top:95;width:44718;height:27030" coordorigin=",95" coordsize="44718,2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622326928" o:spid="_x0000_s1034" type="#_x0000_t75" style="position:absolute;left:1081;top:979;width:41378;height:25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">
                        <v:imagedata r:id="rId27" o:title=""/>
                        <o:lock v:ext="edit" aspectratio="f"/>
                      </v:shape>
                      <v:line id="Straight Connector 185059558" o:spid="_x0000_s1035" style="position:absolute;visibility:visible;mso-wrap-style:square" from="32917,1637" to="32917,2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" strokecolor="#7a7a7a" strokeweight=".5pt">
                        <v:stroke dashstyle="1 1" joinstyle="miter"/>
                      </v:line>
                    </v:group>
                    <v:shape id="TextBox 14" o:spid="_x0000_s1036" type="#_x0000_t202" style="position:absolute;left:30072;top:3660;width:2799;height:5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" filled="f" stroked="f">
                      <v:textbox inset="0,0,0,0">
                        <w:txbxContent>
                          <w:p w14:paraId="62E59790" w14:textId="77777777" w:rsidR="00380C67" w:rsidRDefault="00380C67" w:rsidP="00380C67">
                            <w:pPr>
                              <w:rPr>
                                <w:rFonts w:asciiTheme="minorHAnsi" w:cs="Arial"/>
                                <w:b/>
                                <w:bCs/>
                                <w:color w:val="86B3E1"/>
                                <w:sz w:val="18"/>
                              </w:rPr>
                            </w:pPr>
                            <w:r>
                              <w:rPr>
                                <w:rFonts w:asciiTheme="minorHAnsi" w:cs="Arial"/>
                                <w:b/>
                                <w:bCs/>
                                <w:color w:val="86B3E1"/>
                                <w:sz w:val="18"/>
                              </w:rPr>
                              <w:t>122.7</w:t>
                            </w:r>
                            <w:r>
                              <w:rPr>
                                <w:rFonts w:asciiTheme="minorHAnsi" w:cs="Arial"/>
                                <w:b/>
                                <w:bCs/>
                                <w:color w:val="104C91"/>
                                <w:kern w:val="24"/>
                                <w:sz w:val="18"/>
                              </w:rPr>
                              <w:t>117.5</w:t>
                            </w:r>
                            <w:r>
                              <w:rPr>
                                <w:rFonts w:asciiTheme="minorHAnsi" w:cs="Arial"/>
                                <w:b/>
                                <w:bCs/>
                                <w:color w:val="F49B19"/>
                                <w:kern w:val="24"/>
                                <w:sz w:val="18"/>
                              </w:rPr>
                              <w:t>109.3</w:t>
                            </w:r>
                          </w:p>
                        </w:txbxContent>
                      </v:textbox>
                    </v:shape>
                    <v:shape id="TextBox 15" o:spid="_x0000_s1037" type="#_x0000_t202" style="position:absolute;left:39554;top:7645;width:2799;height:5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" filled="f" stroked="f">
                      <v:textbox inset="0,0,0,0">
                        <w:txbxContent>
                          <w:p w14:paraId="6308EA71" w14:textId="77777777" w:rsidR="00380C67" w:rsidRDefault="00380C67" w:rsidP="00380C67">
                            <w:pPr>
                              <w:rPr>
                                <w:rFonts w:asciiTheme="minorHAnsi" w:cs="Arial"/>
                                <w:b/>
                                <w:bCs/>
                                <w:color w:val="86B3E1"/>
                                <w:sz w:val="18"/>
                              </w:rPr>
                            </w:pPr>
                            <w:r>
                              <w:rPr>
                                <w:rFonts w:asciiTheme="minorHAnsi" w:cs="Arial"/>
                                <w:b/>
                                <w:bCs/>
                                <w:color w:val="86B3E1"/>
                                <w:sz w:val="18"/>
                              </w:rPr>
                              <w:t>151.5</w:t>
                            </w:r>
                            <w:r>
                              <w:rPr>
                                <w:rFonts w:asciiTheme="minorHAnsi" w:cs="Arial"/>
                                <w:b/>
                                <w:bCs/>
                                <w:color w:val="104C91"/>
                                <w:kern w:val="24"/>
                                <w:sz w:val="18"/>
                              </w:rPr>
                              <w:t>137.2</w:t>
                            </w:r>
                            <w:r>
                              <w:rPr>
                                <w:rFonts w:asciiTheme="minorHAnsi" w:cs="Arial"/>
                                <w:b/>
                                <w:bCs/>
                                <w:color w:val="F49B19"/>
                                <w:kern w:val="24"/>
                                <w:sz w:val="18"/>
                              </w:rPr>
                              <w:t>130.9</w:t>
                            </w:r>
                          </w:p>
                        </w:txbxContent>
                      </v:textbox>
                    </v:shape>
                  </v:group>
                  <v:shape id="TextBox 2" o:spid="_x0000_s1038" type="#_x0000_t202" style="position:absolute;left:4184;width:3810;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" filled="f" stroked="f">
                    <v:textbox inset="1mm,1mm,1mm,1mm">
                      <w:txbxContent>
                        <w:p w14:paraId="4F60C841" w14:textId="77777777" w:rsidR="00380C67" w:rsidRDefault="00380C67" w:rsidP="00380C67">
                          <w:pPr>
                            <w:rPr>
                              <w:rFonts w:asciiTheme="minorHAnsi" w:cs="Arial"/>
                              <w:color w:val="7A7A7A"/>
                              <w:kern w:val="24"/>
                              <w:sz w:val="18"/>
                            </w:rPr>
                          </w:pPr>
                          <w:r>
                            <w:rPr>
                              <w:rFonts w:asciiTheme="minorHAnsi" w:cs="Arial"/>
                              <w:color w:val="7A7A7A"/>
                              <w:kern w:val="24"/>
                              <w:sz w:val="18"/>
                            </w:rPr>
                            <w:t>TWh</w:t>
                          </w:r>
                        </w:p>
                      </w:txbxContent>
                    </v:textbox>
                  </v:shape>
                </v:group>
                <v:shape id="TextBox 14" o:spid="_x0000_s1039" type="#_x0000_t202" style="position:absolute;left:19297;top:13906;width:27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" filled="f" stroked="f">
                  <v:textbox inset="0,0,0,0">
                    <w:txbxContent>
                      <w:p w14:paraId="4E5334EE" w14:textId="77777777" w:rsidR="00380C67" w:rsidRDefault="00380C67" w:rsidP="00380C67">
                        <w:pPr>
                          <w:rPr>
                            <w:rFonts w:asciiTheme="minorHAnsi" w:cs="Arial"/>
                            <w:b/>
                            <w:bCs/>
                            <w:color w:val="7A7A7A"/>
                            <w:kern w:val="24"/>
                            <w:sz w:val="18"/>
                          </w:rPr>
                        </w:pPr>
                        <w:r>
                          <w:rPr>
                            <w:rFonts w:asciiTheme="minorHAnsi" w:cs="Arial"/>
                            <w:b/>
                            <w:bCs/>
                            <w:color w:val="7A7A7A"/>
                            <w:kern w:val="24"/>
                            <w:sz w:val="18"/>
                          </w:rPr>
                          <w:t>81.0</w:t>
                        </w:r>
                      </w:p>
                    </w:txbxContent>
                  </v:textbox>
                </v:shape>
                <w10:anchorlock/>
              </v:group>
            </w:pict>
          </mc:Fallback>
        </mc:AlternateContent>
      </w:r>
      <w:r w:rsidDel="00380C67">
        <w:rPr>
          <w:noProof/>
        </w:rPr>
        <w:t xml:space="preserve"> </w:t>
      </w:r>
      <w:r w:rsidR="003F2871" w:rsidRPr="00E24694">
        <w:rPr>
          <w:noProof/>
        </w:rPr>
        <w:t xml:space="preserve"> </w:t>
      </w:r>
      <w:r w:rsidR="003F2871" w:rsidRPr="00861620">
        <w:rPr>
          <w:noProof/>
        </w:rPr>
        <w:t xml:space="preserve"> </w:t>
      </w:r>
    </w:p>
    <w:p w14:paraId="53D0F367" w14:textId="62609256" w:rsidR="003F2871" w:rsidRDefault="003F2871" w:rsidP="003F2871">
      <w:pPr>
        <w:spacing w:before="260"/>
        <w:rPr>
          <w:rFonts w:cs="Calibri"/>
          <w:i/>
          <w:iCs/>
          <w:color w:val="ADADAD"/>
          <w:sz w:val="18"/>
        </w:rPr>
      </w:pPr>
      <w:r w:rsidRPr="009C04E3">
        <w:rPr>
          <w:rFonts w:cs="Calibri"/>
          <w:i/>
          <w:iCs/>
          <w:color w:val="ADADAD"/>
          <w:sz w:val="18"/>
        </w:rPr>
        <w:t xml:space="preserve">Source: </w:t>
      </w:r>
      <w:r w:rsidRPr="00191919">
        <w:rPr>
          <w:rFonts w:cs="Calibri"/>
          <w:i/>
          <w:iCs/>
          <w:color w:val="ADADAD"/>
          <w:sz w:val="18"/>
        </w:rPr>
        <w:t>CDC Energiya</w:t>
      </w:r>
      <w:r>
        <w:rPr>
          <w:rFonts w:cs="Calibri"/>
          <w:i/>
          <w:iCs/>
          <w:color w:val="ADADAD"/>
          <w:sz w:val="18"/>
        </w:rPr>
        <w:t xml:space="preserve"> (2014-2023 data); own calculations (projected data).</w:t>
      </w:r>
    </w:p>
    <w:p w14:paraId="27D0C924" w14:textId="77777777" w:rsidR="00C33105" w:rsidRPr="003312BA" w:rsidRDefault="00C33105" w:rsidP="00C33105">
      <w:pPr>
        <w:spacing w:before="260" w:line="260" w:lineRule="atLeast"/>
        <w:jc w:val="left"/>
        <w:rPr>
          <w:rFonts w:cs="Calibri"/>
          <w:b/>
          <w:bCs/>
          <w:color w:val="104C91"/>
          <w:szCs w:val="22"/>
        </w:rPr>
      </w:pPr>
      <w:r w:rsidRPr="003312BA">
        <w:rPr>
          <w:rFonts w:cs="Calibri"/>
          <w:b/>
          <w:bCs/>
          <w:color w:val="104C91"/>
          <w:szCs w:val="22"/>
        </w:rPr>
        <w:t xml:space="preserve">“Steady growth” </w:t>
      </w:r>
    </w:p>
    <w:p w14:paraId="0FC135D5" w14:textId="4BCF5B93" w:rsidR="00C33105" w:rsidRDefault="00C33105" w:rsidP="00C33105">
      <w:pPr>
        <w:spacing w:before="260" w:line="260" w:lineRule="atLeast"/>
        <w:jc w:val="left"/>
        <w:rPr>
          <w:rFonts w:cs="Calibri"/>
          <w:szCs w:val="22"/>
        </w:rPr>
      </w:pPr>
      <w:r w:rsidRPr="00B97FB0">
        <w:rPr>
          <w:rFonts w:cs="Calibri"/>
          <w:szCs w:val="22"/>
        </w:rPr>
        <w:t xml:space="preserve">The "Steady </w:t>
      </w:r>
      <w:r>
        <w:rPr>
          <w:rFonts w:cs="Calibri"/>
          <w:szCs w:val="22"/>
        </w:rPr>
        <w:t>g</w:t>
      </w:r>
      <w:r w:rsidRPr="00B97FB0">
        <w:rPr>
          <w:rFonts w:cs="Calibri"/>
          <w:szCs w:val="22"/>
        </w:rPr>
        <w:t xml:space="preserve">rowth" model projects Uzbekistan's </w:t>
      </w:r>
      <w:r>
        <w:rPr>
          <w:rFonts w:cs="Calibri"/>
          <w:szCs w:val="22"/>
        </w:rPr>
        <w:t xml:space="preserve">annual </w:t>
      </w:r>
      <w:r w:rsidRPr="00B97FB0">
        <w:rPr>
          <w:rFonts w:cs="Calibri"/>
          <w:szCs w:val="22"/>
        </w:rPr>
        <w:t>electricity dema</w:t>
      </w:r>
      <w:r w:rsidRPr="0067343D">
        <w:rPr>
          <w:rFonts w:cs="Calibri"/>
          <w:szCs w:val="22"/>
        </w:rPr>
        <w:t xml:space="preserve">nd to reach </w:t>
      </w:r>
      <w:r w:rsidRPr="0067343D">
        <w:rPr>
          <w:rFonts w:cs="Calibri"/>
          <w:b/>
          <w:bCs/>
          <w:szCs w:val="22"/>
        </w:rPr>
        <w:t>117.5 TWh by 2030</w:t>
      </w:r>
      <w:r w:rsidRPr="0067343D">
        <w:rPr>
          <w:rFonts w:cs="Calibri"/>
          <w:szCs w:val="22"/>
        </w:rPr>
        <w:t xml:space="preserve"> and </w:t>
      </w:r>
      <w:r w:rsidRPr="0067343D">
        <w:rPr>
          <w:rFonts w:cs="Calibri"/>
          <w:b/>
          <w:bCs/>
          <w:szCs w:val="22"/>
        </w:rPr>
        <w:t>137.2 TWh by 2035</w:t>
      </w:r>
      <w:r w:rsidRPr="0067343D">
        <w:rPr>
          <w:rFonts w:cs="Calibri"/>
          <w:szCs w:val="22"/>
        </w:rPr>
        <w:t xml:space="preserve"> – a growth rate of 45% and 69% from</w:t>
      </w:r>
      <w:r>
        <w:rPr>
          <w:rFonts w:cs="Calibri"/>
          <w:szCs w:val="22"/>
        </w:rPr>
        <w:t xml:space="preserve"> the 2023 level </w:t>
      </w:r>
      <w:r w:rsidRPr="00B97FB0">
        <w:rPr>
          <w:rFonts w:cs="Calibri"/>
          <w:szCs w:val="22"/>
        </w:rPr>
        <w:t>of 8</w:t>
      </w:r>
      <w:r w:rsidR="00840AC0">
        <w:rPr>
          <w:rFonts w:cs="Calibri"/>
          <w:szCs w:val="22"/>
        </w:rPr>
        <w:t>1.0</w:t>
      </w:r>
      <w:r w:rsidRPr="00B97FB0">
        <w:rPr>
          <w:rFonts w:cs="Calibri"/>
          <w:szCs w:val="22"/>
        </w:rPr>
        <w:t xml:space="preserve"> TWh</w:t>
      </w:r>
      <w:r>
        <w:rPr>
          <w:rFonts w:cs="Calibri"/>
          <w:szCs w:val="22"/>
        </w:rPr>
        <w:t>, respectively</w:t>
      </w:r>
      <w:r w:rsidRPr="00B97FB0">
        <w:rPr>
          <w:rFonts w:cs="Calibri"/>
          <w:szCs w:val="22"/>
        </w:rPr>
        <w:t xml:space="preserve">. </w:t>
      </w:r>
      <w:r>
        <w:rPr>
          <w:rFonts w:cs="Calibri"/>
          <w:szCs w:val="22"/>
        </w:rPr>
        <w:t xml:space="preserve"> </w:t>
      </w:r>
      <w:r w:rsidRPr="00294F8E">
        <w:rPr>
          <w:rFonts w:cs="Calibri"/>
          <w:szCs w:val="22"/>
        </w:rPr>
        <w:t xml:space="preserve">Peak </w:t>
      </w:r>
      <w:r w:rsidRPr="00966D81">
        <w:rPr>
          <w:rFonts w:cs="Calibri"/>
          <w:szCs w:val="22"/>
        </w:rPr>
        <w:t xml:space="preserve">load is </w:t>
      </w:r>
      <w:r w:rsidRPr="00984D4A">
        <w:rPr>
          <w:rFonts w:cs="Calibri"/>
          <w:szCs w:val="22"/>
        </w:rPr>
        <w:t xml:space="preserve">projected to increase from </w:t>
      </w:r>
      <w:r w:rsidRPr="00984D4A">
        <w:rPr>
          <w:rFonts w:cs="Calibri"/>
          <w:b/>
          <w:bCs/>
          <w:szCs w:val="22"/>
        </w:rPr>
        <w:t>12.4 GW in 2023</w:t>
      </w:r>
      <w:r w:rsidRPr="00984D4A">
        <w:rPr>
          <w:rFonts w:cs="Calibri"/>
          <w:szCs w:val="22"/>
        </w:rPr>
        <w:t xml:space="preserve"> to </w:t>
      </w:r>
      <w:r w:rsidRPr="00984D4A">
        <w:rPr>
          <w:rFonts w:cs="Calibri"/>
          <w:b/>
          <w:bCs/>
          <w:szCs w:val="22"/>
        </w:rPr>
        <w:t>18.6 GW in 2030</w:t>
      </w:r>
      <w:r w:rsidRPr="00984D4A">
        <w:rPr>
          <w:rFonts w:cs="Calibri"/>
          <w:szCs w:val="22"/>
        </w:rPr>
        <w:t xml:space="preserve">, and </w:t>
      </w:r>
      <w:r w:rsidRPr="00984D4A">
        <w:rPr>
          <w:rFonts w:cs="Calibri"/>
          <w:b/>
          <w:bCs/>
          <w:szCs w:val="22"/>
        </w:rPr>
        <w:t>21.2 GW by 2035</w:t>
      </w:r>
      <w:r w:rsidRPr="00984D4A">
        <w:rPr>
          <w:rFonts w:cs="Calibri"/>
          <w:szCs w:val="22"/>
        </w:rPr>
        <w:t>. As shown</w:t>
      </w:r>
      <w:r w:rsidR="00A1478E">
        <w:rPr>
          <w:rFonts w:cs="Calibri"/>
          <w:szCs w:val="22"/>
        </w:rPr>
        <w:t xml:space="preserve"> in</w:t>
      </w:r>
      <w:r>
        <w:rPr>
          <w:rFonts w:cs="Calibri"/>
          <w:szCs w:val="22"/>
        </w:rPr>
        <w:t xml:space="preserve"> </w:t>
      </w:r>
      <w:r>
        <w:rPr>
          <w:rFonts w:cs="Calibri"/>
          <w:szCs w:val="22"/>
        </w:rPr>
        <w:fldChar w:fldCharType="begin"/>
      </w:r>
      <w:r>
        <w:rPr>
          <w:rFonts w:cs="Calibri"/>
          <w:szCs w:val="22"/>
        </w:rPr>
        <w:instrText xml:space="preserve"> REF _Ref181866745 \h </w:instrText>
      </w:r>
      <w:r>
        <w:rPr>
          <w:rFonts w:cs="Calibri"/>
          <w:szCs w:val="22"/>
        </w:rPr>
      </w:r>
      <w:r>
        <w:rPr>
          <w:rFonts w:cs="Calibri"/>
          <w:szCs w:val="22"/>
        </w:rPr>
        <w:fldChar w:fldCharType="separate"/>
      </w:r>
      <w:r w:rsidRPr="008F5D43">
        <w:rPr>
          <w:rFonts w:cs="calibri light (Überschriften)"/>
          <w:bCs/>
          <w:color w:val="104C91"/>
        </w:rPr>
        <w:t xml:space="preserve">Figure </w:t>
      </w:r>
      <w:r>
        <w:rPr>
          <w:rFonts w:cs="calibri light (Überschriften)"/>
          <w:b/>
          <w:bCs/>
          <w:noProof/>
          <w:color w:val="104C91"/>
        </w:rPr>
        <w:t>6</w:t>
      </w:r>
      <w:r>
        <w:rPr>
          <w:rFonts w:cs="Calibri"/>
          <w:szCs w:val="22"/>
        </w:rPr>
        <w:fldChar w:fldCharType="end"/>
      </w:r>
      <w:r w:rsidRPr="00745C60">
        <w:rPr>
          <w:rFonts w:cs="Calibri"/>
          <w:szCs w:val="22"/>
        </w:rPr>
        <w:t>, this forecast exhibits a noticeabl</w:t>
      </w:r>
      <w:r>
        <w:rPr>
          <w:rFonts w:cs="Calibri"/>
          <w:szCs w:val="22"/>
        </w:rPr>
        <w:t xml:space="preserve">y higher </w:t>
      </w:r>
      <w:r w:rsidRPr="00745C60">
        <w:rPr>
          <w:rFonts w:cs="Calibri"/>
          <w:szCs w:val="22"/>
        </w:rPr>
        <w:t>growth</w:t>
      </w:r>
      <w:r>
        <w:rPr>
          <w:rFonts w:cs="Calibri"/>
          <w:szCs w:val="22"/>
        </w:rPr>
        <w:t xml:space="preserve"> rate</w:t>
      </w:r>
      <w:r w:rsidRPr="00745C60">
        <w:rPr>
          <w:rFonts w:cs="Calibri"/>
          <w:szCs w:val="22"/>
        </w:rPr>
        <w:t xml:space="preserve"> leading up to 2030. This pattern reflects </w:t>
      </w:r>
      <w:r>
        <w:rPr>
          <w:rFonts w:cs="Calibri"/>
          <w:szCs w:val="22"/>
        </w:rPr>
        <w:t>the</w:t>
      </w:r>
      <w:r w:rsidRPr="00745C60">
        <w:rPr>
          <w:rFonts w:cs="Calibri"/>
          <w:szCs w:val="22"/>
        </w:rPr>
        <w:t xml:space="preserve"> assumed catch-up effect, where demand grows more strongly as supply constraints are alleviated by capacity expansion.</w:t>
      </w:r>
    </w:p>
    <w:p w14:paraId="023AF85C" w14:textId="77777777" w:rsidR="00C33105" w:rsidRDefault="00C33105" w:rsidP="00C33105">
      <w:pPr>
        <w:spacing w:before="260" w:line="260" w:lineRule="atLeast"/>
        <w:jc w:val="left"/>
        <w:rPr>
          <w:rFonts w:cs="Calibri"/>
          <w:szCs w:val="22"/>
        </w:rPr>
      </w:pPr>
      <w:r w:rsidRPr="00284F1C">
        <w:rPr>
          <w:rFonts w:cs="Calibri"/>
          <w:szCs w:val="22"/>
        </w:rPr>
        <w:lastRenderedPageBreak/>
        <w:t xml:space="preserve">These projections are anchored in historical consumption trends and the established relationship between GDP growth and electricity demand. </w:t>
      </w:r>
      <w:r w:rsidRPr="00111501">
        <w:rPr>
          <w:rFonts w:cs="Calibri"/>
          <w:szCs w:val="22"/>
        </w:rPr>
        <w:t>Th</w:t>
      </w:r>
      <w:r>
        <w:rPr>
          <w:rFonts w:cs="Calibri"/>
          <w:szCs w:val="22"/>
        </w:rPr>
        <w:t>is</w:t>
      </w:r>
      <w:r w:rsidRPr="00111501">
        <w:rPr>
          <w:rFonts w:cs="Calibri"/>
          <w:szCs w:val="22"/>
        </w:rPr>
        <w:t xml:space="preserve"> projection provides a benchmark scenario, where </w:t>
      </w:r>
      <w:r>
        <w:rPr>
          <w:rFonts w:cs="Calibri"/>
          <w:szCs w:val="22"/>
        </w:rPr>
        <w:t xml:space="preserve">overall </w:t>
      </w:r>
      <w:r w:rsidRPr="00111501">
        <w:rPr>
          <w:rFonts w:cs="Calibri"/>
          <w:szCs w:val="22"/>
        </w:rPr>
        <w:t>economic expansion primarily drives rising demand, absent major changes in consumption behaviour or policy interventions.</w:t>
      </w:r>
    </w:p>
    <w:p w14:paraId="5ABD6B83" w14:textId="159ACDE9" w:rsidR="0001750E" w:rsidRDefault="0001750E" w:rsidP="00C33105">
      <w:pPr>
        <w:pStyle w:val="Beschriftung"/>
        <w:ind w:left="0" w:firstLine="0"/>
        <w:rPr>
          <w:rFonts w:cs="calibri light (Überschriften)"/>
          <w:b w:val="0"/>
          <w:bCs/>
          <w:color w:val="104C91"/>
          <w:sz w:val="22"/>
          <w:lang w:val="en-GB"/>
        </w:rPr>
      </w:pPr>
      <w:bookmarkStart w:id="21" w:name="_Ref180763085"/>
      <w:bookmarkStart w:id="22" w:name="_Ref180763077"/>
      <w:r w:rsidRPr="00C46488">
        <w:rPr>
          <w:rFonts w:cs="calibri light (Überschriften)"/>
          <w:b w:val="0"/>
          <w:bCs/>
          <w:color w:val="104C91"/>
          <w:sz w:val="22"/>
          <w:lang w:val="en-GB"/>
        </w:rPr>
        <w:t xml:space="preserve">Table </w:t>
      </w:r>
      <w:r w:rsidRPr="00C46488">
        <w:rPr>
          <w:rFonts w:cs="calibri light (Überschriften)"/>
          <w:b w:val="0"/>
          <w:bCs/>
          <w:color w:val="104C91"/>
          <w:sz w:val="22"/>
          <w:lang w:val="en-GB"/>
        </w:rPr>
        <w:fldChar w:fldCharType="begin"/>
      </w:r>
      <w:r w:rsidRPr="00C46488">
        <w:rPr>
          <w:rFonts w:cs="calibri light (Überschriften)"/>
          <w:b w:val="0"/>
          <w:bCs/>
          <w:color w:val="104C91"/>
          <w:sz w:val="22"/>
          <w:lang w:val="en-GB"/>
        </w:rPr>
        <w:instrText xml:space="preserve"> SEQ Table \* ARABIC </w:instrText>
      </w:r>
      <w:r w:rsidRPr="00C46488">
        <w:rPr>
          <w:rFonts w:cs="calibri light (Überschriften)"/>
          <w:b w:val="0"/>
          <w:bCs/>
          <w:color w:val="104C91"/>
          <w:sz w:val="22"/>
          <w:lang w:val="en-GB"/>
        </w:rPr>
        <w:fldChar w:fldCharType="separate"/>
      </w:r>
      <w:r w:rsidR="002401AF">
        <w:rPr>
          <w:rFonts w:cs="calibri light (Überschriften)"/>
          <w:b w:val="0"/>
          <w:bCs/>
          <w:noProof/>
          <w:color w:val="104C91"/>
          <w:sz w:val="22"/>
          <w:lang w:val="en-GB"/>
        </w:rPr>
        <w:t>2</w:t>
      </w:r>
      <w:r w:rsidRPr="00C46488">
        <w:rPr>
          <w:rFonts w:cs="calibri light (Überschriften)"/>
          <w:b w:val="0"/>
          <w:bCs/>
          <w:color w:val="104C91"/>
          <w:sz w:val="22"/>
          <w:lang w:val="en-GB"/>
        </w:rPr>
        <w:fldChar w:fldCharType="end"/>
      </w:r>
      <w:bookmarkEnd w:id="21"/>
      <w:r w:rsidRPr="00C46488">
        <w:rPr>
          <w:rFonts w:cs="calibri light (Überschriften)"/>
          <w:b w:val="0"/>
          <w:bCs/>
          <w:color w:val="104C91"/>
          <w:sz w:val="22"/>
          <w:lang w:val="en-GB"/>
        </w:rPr>
        <w:t>: El</w:t>
      </w:r>
      <w:r>
        <w:rPr>
          <w:rFonts w:cs="calibri light (Überschriften)"/>
          <w:b w:val="0"/>
          <w:bCs/>
          <w:color w:val="104C91"/>
          <w:sz w:val="22"/>
          <w:lang w:val="en-GB"/>
        </w:rPr>
        <w:t>ec</w:t>
      </w:r>
      <w:r w:rsidRPr="00C46488">
        <w:rPr>
          <w:rFonts w:cs="calibri light (Überschriften)"/>
          <w:b w:val="0"/>
          <w:bCs/>
          <w:color w:val="104C91"/>
          <w:sz w:val="22"/>
          <w:lang w:val="en-GB"/>
        </w:rPr>
        <w:t xml:space="preserve">tricity demand projection under the </w:t>
      </w:r>
      <w:r w:rsidR="00D33265">
        <w:rPr>
          <w:rFonts w:cs="calibri light (Überschriften)"/>
          <w:b w:val="0"/>
          <w:bCs/>
          <w:color w:val="104C91"/>
          <w:sz w:val="22"/>
          <w:lang w:val="en-GB"/>
        </w:rPr>
        <w:t>three</w:t>
      </w:r>
      <w:r w:rsidR="00D33265" w:rsidRPr="00C46488">
        <w:rPr>
          <w:rFonts w:cs="calibri light (Überschriften)"/>
          <w:b w:val="0"/>
          <w:bCs/>
          <w:color w:val="104C91"/>
          <w:sz w:val="22"/>
          <w:lang w:val="en-GB"/>
        </w:rPr>
        <w:t xml:space="preserve"> </w:t>
      </w:r>
      <w:r w:rsidRPr="00C46488">
        <w:rPr>
          <w:rFonts w:cs="calibri light (Überschriften)"/>
          <w:b w:val="0"/>
          <w:bCs/>
          <w:color w:val="104C91"/>
          <w:sz w:val="22"/>
          <w:lang w:val="en-GB"/>
        </w:rPr>
        <w:t>model variants</w:t>
      </w:r>
      <w:bookmarkEnd w:id="22"/>
    </w:p>
    <w:tbl>
      <w:tblPr>
        <w:tblStyle w:val="EinfacheTabelle21"/>
        <w:tblW w:w="8344" w:type="dxa"/>
        <w:tblLayout w:type="fixed"/>
        <w:tblLook w:val="04A0" w:firstRow="1" w:lastRow="0" w:firstColumn="1" w:lastColumn="0" w:noHBand="0" w:noVBand="1"/>
      </w:tblPr>
      <w:tblGrid>
        <w:gridCol w:w="844"/>
        <w:gridCol w:w="2700"/>
        <w:gridCol w:w="2126"/>
        <w:gridCol w:w="2674"/>
      </w:tblGrid>
      <w:tr w:rsidR="00BC11FB" w:rsidRPr="005278BD" w14:paraId="6EF28242" w14:textId="77777777" w:rsidTr="00432D5A">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844" w:type="dxa"/>
            <w:tcBorders>
              <w:top w:val="single" w:sz="4" w:space="0" w:color="104C91"/>
              <w:bottom w:val="single" w:sz="4" w:space="0" w:color="104C91"/>
            </w:tcBorders>
          </w:tcPr>
          <w:p w14:paraId="520B7696" w14:textId="77777777" w:rsidR="00BC11FB" w:rsidRPr="005278BD" w:rsidRDefault="00BC11FB">
            <w:pPr>
              <w:spacing w:line="240" w:lineRule="auto"/>
              <w:rPr>
                <w:color w:val="104C91"/>
                <w:lang w:eastAsia="de-DE"/>
              </w:rPr>
            </w:pPr>
          </w:p>
        </w:tc>
        <w:tc>
          <w:tcPr>
            <w:tcW w:w="7500" w:type="dxa"/>
            <w:gridSpan w:val="3"/>
            <w:tcBorders>
              <w:top w:val="single" w:sz="4" w:space="0" w:color="104C91"/>
              <w:bottom w:val="single" w:sz="4" w:space="0" w:color="104C91"/>
            </w:tcBorders>
          </w:tcPr>
          <w:p w14:paraId="571AB930" w14:textId="7D3D019E" w:rsidR="00BC11FB" w:rsidRDefault="001117A5">
            <w:pPr>
              <w:spacing w:line="240" w:lineRule="auto"/>
              <w:jc w:val="center"/>
              <w:cnfStyle w:val="100000000000" w:firstRow="1" w:lastRow="0" w:firstColumn="0" w:lastColumn="0" w:oddVBand="0" w:evenVBand="0" w:oddHBand="0" w:evenHBand="0" w:firstRowFirstColumn="0" w:firstRowLastColumn="0" w:lastRowFirstColumn="0" w:lastRowLastColumn="0"/>
              <w:rPr>
                <w:b w:val="0"/>
                <w:color w:val="104C91"/>
                <w:lang w:eastAsia="de-DE"/>
              </w:rPr>
            </w:pPr>
            <w:r>
              <w:rPr>
                <w:color w:val="104C91"/>
                <w:lang w:eastAsia="de-DE"/>
              </w:rPr>
              <w:t>Annual</w:t>
            </w:r>
            <w:r w:rsidR="00BC11FB">
              <w:rPr>
                <w:color w:val="104C91"/>
                <w:lang w:eastAsia="de-DE"/>
              </w:rPr>
              <w:t xml:space="preserve"> consumption (TWh)</w:t>
            </w:r>
          </w:p>
        </w:tc>
      </w:tr>
      <w:tr w:rsidR="00BC11FB" w:rsidRPr="005278BD" w14:paraId="1F0BD605" w14:textId="77777777" w:rsidTr="00432D5A">
        <w:trPr>
          <w:trHeight w:val="445"/>
        </w:trPr>
        <w:tc>
          <w:tcPr>
            <w:cnfStyle w:val="001000000000" w:firstRow="0" w:lastRow="0" w:firstColumn="1" w:lastColumn="0" w:oddVBand="0" w:evenVBand="0" w:oddHBand="0" w:evenHBand="0" w:firstRowFirstColumn="0" w:firstRowLastColumn="0" w:lastRowFirstColumn="0" w:lastRowLastColumn="0"/>
            <w:tcW w:w="844" w:type="dxa"/>
            <w:tcBorders>
              <w:top w:val="single" w:sz="4" w:space="0" w:color="104C91"/>
              <w:bottom w:val="single" w:sz="4" w:space="0" w:color="104C91"/>
            </w:tcBorders>
          </w:tcPr>
          <w:p w14:paraId="687C2020" w14:textId="77777777" w:rsidR="00BC11FB" w:rsidRPr="005278BD" w:rsidRDefault="00BC11FB">
            <w:pPr>
              <w:spacing w:line="240" w:lineRule="auto"/>
              <w:rPr>
                <w:color w:val="104C91"/>
                <w:lang w:eastAsia="de-DE"/>
              </w:rPr>
            </w:pPr>
            <w:r>
              <w:rPr>
                <w:lang w:eastAsia="de-DE"/>
              </w:rPr>
              <w:t>2023</w:t>
            </w:r>
          </w:p>
        </w:tc>
        <w:tc>
          <w:tcPr>
            <w:tcW w:w="7500" w:type="dxa"/>
            <w:gridSpan w:val="3"/>
            <w:tcBorders>
              <w:top w:val="single" w:sz="4" w:space="0" w:color="104C91"/>
              <w:bottom w:val="single" w:sz="4" w:space="0" w:color="104C91"/>
            </w:tcBorders>
          </w:tcPr>
          <w:p w14:paraId="525F943C" w14:textId="41684605" w:rsidR="00BC11FB" w:rsidRPr="00997E22"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997E22">
              <w:rPr>
                <w:lang w:eastAsia="de-DE"/>
              </w:rPr>
              <w:t>81.0</w:t>
            </w:r>
          </w:p>
        </w:tc>
      </w:tr>
      <w:tr w:rsidR="00432D5A" w:rsidRPr="005278BD" w14:paraId="320D9306" w14:textId="77777777" w:rsidTr="00674F4C">
        <w:trPr>
          <w:trHeight w:val="382"/>
        </w:trPr>
        <w:tc>
          <w:tcPr>
            <w:cnfStyle w:val="001000000000" w:firstRow="0" w:lastRow="0" w:firstColumn="1" w:lastColumn="0" w:oddVBand="0" w:evenVBand="0" w:oddHBand="0" w:evenHBand="0" w:firstRowFirstColumn="0" w:firstRowLastColumn="0" w:lastRowFirstColumn="0" w:lastRowLastColumn="0"/>
            <w:tcW w:w="844" w:type="dxa"/>
            <w:tcBorders>
              <w:top w:val="single" w:sz="4" w:space="0" w:color="104C91"/>
              <w:bottom w:val="single" w:sz="4" w:space="0" w:color="104C91"/>
            </w:tcBorders>
          </w:tcPr>
          <w:p w14:paraId="241E51AA" w14:textId="77777777" w:rsidR="00BC11FB" w:rsidRPr="005278BD" w:rsidRDefault="00BC11FB" w:rsidP="00BC11FB">
            <w:pPr>
              <w:spacing w:line="240" w:lineRule="auto"/>
              <w:rPr>
                <w:color w:val="104C91"/>
                <w:lang w:eastAsia="de-DE"/>
              </w:rPr>
            </w:pPr>
          </w:p>
        </w:tc>
        <w:tc>
          <w:tcPr>
            <w:tcW w:w="2700" w:type="dxa"/>
            <w:tcBorders>
              <w:top w:val="single" w:sz="4" w:space="0" w:color="104C91"/>
              <w:bottom w:val="single" w:sz="4" w:space="0" w:color="104C91"/>
            </w:tcBorders>
          </w:tcPr>
          <w:p w14:paraId="3A2FA40D" w14:textId="77777777" w:rsidR="00BC11FB" w:rsidRPr="003F1378"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color w:val="104C91"/>
                <w:lang w:eastAsia="de-DE"/>
              </w:rPr>
            </w:pPr>
            <w:r w:rsidRPr="003F1378">
              <w:rPr>
                <w:color w:val="104C91"/>
                <w:lang w:eastAsia="de-DE"/>
              </w:rPr>
              <w:t>Steady growth</w:t>
            </w:r>
          </w:p>
        </w:tc>
        <w:tc>
          <w:tcPr>
            <w:tcW w:w="2126" w:type="dxa"/>
            <w:tcBorders>
              <w:top w:val="single" w:sz="4" w:space="0" w:color="104C91"/>
              <w:bottom w:val="single" w:sz="4" w:space="0" w:color="104C91"/>
            </w:tcBorders>
          </w:tcPr>
          <w:p w14:paraId="50B55087" w14:textId="77777777" w:rsidR="00BC11FB"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color w:val="104C91"/>
                <w:lang w:eastAsia="de-DE"/>
              </w:rPr>
            </w:pPr>
            <w:r>
              <w:rPr>
                <w:color w:val="104C91"/>
                <w:lang w:eastAsia="de-DE"/>
              </w:rPr>
              <w:t>Sectoral expansion</w:t>
            </w:r>
          </w:p>
        </w:tc>
        <w:tc>
          <w:tcPr>
            <w:tcW w:w="2674" w:type="dxa"/>
            <w:tcBorders>
              <w:top w:val="single" w:sz="4" w:space="0" w:color="104C91"/>
              <w:bottom w:val="single" w:sz="4" w:space="0" w:color="104C91"/>
            </w:tcBorders>
          </w:tcPr>
          <w:p w14:paraId="56DF21A9" w14:textId="3DC853AC" w:rsidR="00BC11FB"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color w:val="104C91"/>
                <w:lang w:eastAsia="de-DE"/>
              </w:rPr>
            </w:pPr>
            <w:r>
              <w:rPr>
                <w:color w:val="104C91"/>
                <w:lang w:eastAsia="de-DE"/>
              </w:rPr>
              <w:t>Tariff impact</w:t>
            </w:r>
          </w:p>
        </w:tc>
      </w:tr>
      <w:tr w:rsidR="00432D5A" w:rsidRPr="005278BD" w14:paraId="5EC05703" w14:textId="77777777" w:rsidTr="00674F4C">
        <w:trPr>
          <w:trHeight w:val="304"/>
        </w:trPr>
        <w:tc>
          <w:tcPr>
            <w:cnfStyle w:val="001000000000" w:firstRow="0" w:lastRow="0" w:firstColumn="1" w:lastColumn="0" w:oddVBand="0" w:evenVBand="0" w:oddHBand="0" w:evenHBand="0" w:firstRowFirstColumn="0" w:firstRowLastColumn="0" w:lastRowFirstColumn="0" w:lastRowLastColumn="0"/>
            <w:tcW w:w="844" w:type="dxa"/>
            <w:tcBorders>
              <w:bottom w:val="nil"/>
            </w:tcBorders>
          </w:tcPr>
          <w:p w14:paraId="4DCE0B4B" w14:textId="77777777" w:rsidR="00BC11FB" w:rsidRPr="003F2602" w:rsidRDefault="00BC11FB" w:rsidP="00BC11FB">
            <w:pPr>
              <w:spacing w:line="240" w:lineRule="auto"/>
              <w:jc w:val="center"/>
              <w:rPr>
                <w:lang w:eastAsia="de-DE"/>
              </w:rPr>
            </w:pPr>
            <w:r>
              <w:rPr>
                <w:lang w:eastAsia="de-DE"/>
              </w:rPr>
              <w:t>2030</w:t>
            </w:r>
          </w:p>
        </w:tc>
        <w:tc>
          <w:tcPr>
            <w:tcW w:w="2700" w:type="dxa"/>
            <w:tcBorders>
              <w:bottom w:val="nil"/>
            </w:tcBorders>
          </w:tcPr>
          <w:p w14:paraId="74942C56" w14:textId="1588D539" w:rsidR="00BC11FB" w:rsidRPr="005278BD" w:rsidRDefault="008C462A"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117.5</w:t>
            </w:r>
          </w:p>
        </w:tc>
        <w:tc>
          <w:tcPr>
            <w:tcW w:w="2126" w:type="dxa"/>
            <w:tcBorders>
              <w:bottom w:val="nil"/>
            </w:tcBorders>
          </w:tcPr>
          <w:p w14:paraId="7375D540" w14:textId="19F3251B" w:rsidR="00BC11FB" w:rsidRPr="005278BD"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122.7</w:t>
            </w:r>
          </w:p>
        </w:tc>
        <w:tc>
          <w:tcPr>
            <w:tcW w:w="2674" w:type="dxa"/>
            <w:tcBorders>
              <w:bottom w:val="nil"/>
            </w:tcBorders>
          </w:tcPr>
          <w:p w14:paraId="0A82FBC1" w14:textId="0977210F" w:rsidR="00BC11FB" w:rsidRPr="005278BD"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109.3</w:t>
            </w:r>
          </w:p>
        </w:tc>
      </w:tr>
      <w:tr w:rsidR="00432D5A" w:rsidRPr="005278BD" w14:paraId="73661167" w14:textId="77777777" w:rsidTr="00674F4C">
        <w:trPr>
          <w:trHeight w:val="404"/>
        </w:trPr>
        <w:tc>
          <w:tcPr>
            <w:cnfStyle w:val="001000000000" w:firstRow="0" w:lastRow="0" w:firstColumn="1" w:lastColumn="0" w:oddVBand="0" w:evenVBand="0" w:oddHBand="0" w:evenHBand="0" w:firstRowFirstColumn="0" w:firstRowLastColumn="0" w:lastRowFirstColumn="0" w:lastRowLastColumn="0"/>
            <w:tcW w:w="844" w:type="dxa"/>
            <w:tcBorders>
              <w:top w:val="nil"/>
              <w:left w:val="nil"/>
              <w:bottom w:val="single" w:sz="12" w:space="0" w:color="4472C4" w:themeColor="accent1"/>
            </w:tcBorders>
          </w:tcPr>
          <w:p w14:paraId="13D6E8AE" w14:textId="77777777" w:rsidR="00BC11FB" w:rsidRPr="00C97429" w:rsidRDefault="00BC11FB" w:rsidP="00BC11FB">
            <w:pPr>
              <w:spacing w:line="240" w:lineRule="auto"/>
              <w:jc w:val="center"/>
              <w:rPr>
                <w:bCs/>
                <w:lang w:eastAsia="de-DE"/>
              </w:rPr>
            </w:pPr>
            <w:r>
              <w:rPr>
                <w:bCs/>
                <w:lang w:eastAsia="de-DE"/>
              </w:rPr>
              <w:t>2035</w:t>
            </w:r>
          </w:p>
        </w:tc>
        <w:tc>
          <w:tcPr>
            <w:tcW w:w="2700" w:type="dxa"/>
            <w:tcBorders>
              <w:top w:val="nil"/>
              <w:bottom w:val="single" w:sz="12" w:space="0" w:color="4472C4" w:themeColor="accent1"/>
            </w:tcBorders>
          </w:tcPr>
          <w:p w14:paraId="36A925D7" w14:textId="54EC687D" w:rsidR="00BC11FB" w:rsidRPr="006207A3"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r w:rsidR="00E51F2F">
              <w:rPr>
                <w:lang w:eastAsia="de-DE"/>
              </w:rPr>
              <w:t>37.2</w:t>
            </w:r>
          </w:p>
        </w:tc>
        <w:tc>
          <w:tcPr>
            <w:tcW w:w="2126" w:type="dxa"/>
            <w:tcBorders>
              <w:top w:val="nil"/>
              <w:bottom w:val="single" w:sz="12" w:space="0" w:color="4472C4" w:themeColor="accent1"/>
            </w:tcBorders>
          </w:tcPr>
          <w:p w14:paraId="121D7FA7" w14:textId="6B0AC351" w:rsidR="00BC11FB" w:rsidRPr="006207A3"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151.5</w:t>
            </w:r>
          </w:p>
        </w:tc>
        <w:tc>
          <w:tcPr>
            <w:tcW w:w="2674" w:type="dxa"/>
            <w:tcBorders>
              <w:top w:val="nil"/>
              <w:bottom w:val="single" w:sz="12" w:space="0" w:color="4472C4" w:themeColor="accent1"/>
            </w:tcBorders>
          </w:tcPr>
          <w:p w14:paraId="10B6D548" w14:textId="29A97AAD" w:rsidR="00BC11FB" w:rsidRPr="006207A3"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130.9</w:t>
            </w:r>
          </w:p>
        </w:tc>
      </w:tr>
      <w:tr w:rsidR="00432D5A" w:rsidRPr="005278BD" w14:paraId="2106A74B" w14:textId="77777777" w:rsidTr="00674F4C">
        <w:trPr>
          <w:trHeight w:val="404"/>
        </w:trPr>
        <w:tc>
          <w:tcPr>
            <w:cnfStyle w:val="001000000000" w:firstRow="0" w:lastRow="0" w:firstColumn="1" w:lastColumn="0" w:oddVBand="0" w:evenVBand="0" w:oddHBand="0" w:evenHBand="0" w:firstRowFirstColumn="0" w:firstRowLastColumn="0" w:lastRowFirstColumn="0" w:lastRowLastColumn="0"/>
            <w:tcW w:w="844" w:type="dxa"/>
            <w:tcBorders>
              <w:top w:val="single" w:sz="12" w:space="0" w:color="4472C4" w:themeColor="accent1"/>
            </w:tcBorders>
          </w:tcPr>
          <w:p w14:paraId="2DB69009" w14:textId="77777777" w:rsidR="00BC11FB" w:rsidRDefault="00BC11FB" w:rsidP="00BC11FB">
            <w:pPr>
              <w:spacing w:line="240" w:lineRule="auto"/>
              <w:jc w:val="center"/>
              <w:rPr>
                <w:bCs/>
                <w:lang w:eastAsia="de-DE"/>
              </w:rPr>
            </w:pPr>
          </w:p>
        </w:tc>
        <w:tc>
          <w:tcPr>
            <w:tcW w:w="2700" w:type="dxa"/>
            <w:tcBorders>
              <w:top w:val="single" w:sz="12" w:space="0" w:color="4472C4" w:themeColor="accent1"/>
            </w:tcBorders>
          </w:tcPr>
          <w:p w14:paraId="4FC0673C" w14:textId="77777777" w:rsidR="00BC11FB"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p>
        </w:tc>
        <w:tc>
          <w:tcPr>
            <w:tcW w:w="2126" w:type="dxa"/>
            <w:tcBorders>
              <w:top w:val="single" w:sz="12" w:space="0" w:color="4472C4" w:themeColor="accent1"/>
            </w:tcBorders>
          </w:tcPr>
          <w:p w14:paraId="23454AF4" w14:textId="77777777" w:rsidR="00BC11FB"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p>
        </w:tc>
        <w:tc>
          <w:tcPr>
            <w:tcW w:w="2674" w:type="dxa"/>
            <w:tcBorders>
              <w:top w:val="single" w:sz="12" w:space="0" w:color="4472C4" w:themeColor="accent1"/>
            </w:tcBorders>
          </w:tcPr>
          <w:p w14:paraId="34594A88" w14:textId="77777777" w:rsidR="00BC11FB"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p>
        </w:tc>
      </w:tr>
      <w:tr w:rsidR="00B06457" w:rsidRPr="005278BD" w14:paraId="167AEC3F" w14:textId="77777777" w:rsidTr="00432D5A">
        <w:trPr>
          <w:trHeight w:val="414"/>
        </w:trPr>
        <w:tc>
          <w:tcPr>
            <w:cnfStyle w:val="001000000000" w:firstRow="0" w:lastRow="0" w:firstColumn="1" w:lastColumn="0" w:oddVBand="0" w:evenVBand="0" w:oddHBand="0" w:evenHBand="0" w:firstRowFirstColumn="0" w:firstRowLastColumn="0" w:lastRowFirstColumn="0" w:lastRowLastColumn="0"/>
            <w:tcW w:w="844" w:type="dxa"/>
            <w:tcBorders>
              <w:top w:val="single" w:sz="4" w:space="0" w:color="104C91"/>
              <w:bottom w:val="single" w:sz="4" w:space="0" w:color="104C91"/>
            </w:tcBorders>
          </w:tcPr>
          <w:p w14:paraId="174CACBC" w14:textId="77777777" w:rsidR="00B06457" w:rsidRPr="005278BD" w:rsidRDefault="00B06457" w:rsidP="00BC11FB">
            <w:pPr>
              <w:spacing w:line="240" w:lineRule="auto"/>
              <w:rPr>
                <w:color w:val="104C91"/>
                <w:lang w:eastAsia="de-DE"/>
              </w:rPr>
            </w:pPr>
          </w:p>
        </w:tc>
        <w:tc>
          <w:tcPr>
            <w:tcW w:w="7500" w:type="dxa"/>
            <w:gridSpan w:val="3"/>
            <w:tcBorders>
              <w:top w:val="single" w:sz="4" w:space="0" w:color="104C91"/>
              <w:bottom w:val="single" w:sz="4" w:space="0" w:color="104C91"/>
            </w:tcBorders>
          </w:tcPr>
          <w:p w14:paraId="7352C9E6" w14:textId="1AF75D08" w:rsidR="00B06457" w:rsidRPr="006F3E71" w:rsidRDefault="00B06457" w:rsidP="00BC11FB">
            <w:pPr>
              <w:spacing w:line="240" w:lineRule="auto"/>
              <w:jc w:val="center"/>
              <w:cnfStyle w:val="000000000000" w:firstRow="0" w:lastRow="0" w:firstColumn="0" w:lastColumn="0" w:oddVBand="0" w:evenVBand="0" w:oddHBand="0" w:evenHBand="0" w:firstRowFirstColumn="0" w:firstRowLastColumn="0" w:lastRowFirstColumn="0" w:lastRowLastColumn="0"/>
              <w:rPr>
                <w:b/>
                <w:bCs/>
                <w:color w:val="104C91"/>
                <w:lang w:eastAsia="de-DE"/>
              </w:rPr>
            </w:pPr>
            <w:r w:rsidRPr="006F3E71">
              <w:rPr>
                <w:b/>
                <w:bCs/>
                <w:color w:val="104C91"/>
                <w:lang w:eastAsia="de-DE"/>
              </w:rPr>
              <w:t>Peak demand (GW)</w:t>
            </w:r>
          </w:p>
        </w:tc>
      </w:tr>
      <w:tr w:rsidR="00B06457" w:rsidRPr="005278BD" w14:paraId="2757F060" w14:textId="77777777" w:rsidTr="00432D5A">
        <w:trPr>
          <w:trHeight w:val="445"/>
        </w:trPr>
        <w:tc>
          <w:tcPr>
            <w:cnfStyle w:val="001000000000" w:firstRow="0" w:lastRow="0" w:firstColumn="1" w:lastColumn="0" w:oddVBand="0" w:evenVBand="0" w:oddHBand="0" w:evenHBand="0" w:firstRowFirstColumn="0" w:firstRowLastColumn="0" w:lastRowFirstColumn="0" w:lastRowLastColumn="0"/>
            <w:tcW w:w="844" w:type="dxa"/>
            <w:tcBorders>
              <w:top w:val="single" w:sz="4" w:space="0" w:color="104C91"/>
              <w:bottom w:val="single" w:sz="4" w:space="0" w:color="104C91"/>
            </w:tcBorders>
          </w:tcPr>
          <w:p w14:paraId="04C5D880" w14:textId="77777777" w:rsidR="00B06457" w:rsidRPr="005278BD" w:rsidRDefault="00B06457" w:rsidP="00BC11FB">
            <w:pPr>
              <w:spacing w:line="240" w:lineRule="auto"/>
              <w:rPr>
                <w:color w:val="104C91"/>
                <w:lang w:eastAsia="de-DE"/>
              </w:rPr>
            </w:pPr>
            <w:r>
              <w:rPr>
                <w:lang w:eastAsia="de-DE"/>
              </w:rPr>
              <w:t>2023</w:t>
            </w:r>
          </w:p>
        </w:tc>
        <w:tc>
          <w:tcPr>
            <w:tcW w:w="7500" w:type="dxa"/>
            <w:gridSpan w:val="3"/>
            <w:tcBorders>
              <w:top w:val="single" w:sz="4" w:space="0" w:color="104C91"/>
              <w:bottom w:val="single" w:sz="4" w:space="0" w:color="104C91"/>
            </w:tcBorders>
          </w:tcPr>
          <w:p w14:paraId="3B30FB36" w14:textId="7A9A4576" w:rsidR="00B06457" w:rsidRPr="00997E22" w:rsidRDefault="00B06457"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12</w:t>
            </w:r>
            <w:r w:rsidRPr="00997E22">
              <w:rPr>
                <w:lang w:eastAsia="de-DE"/>
              </w:rPr>
              <w:t>.</w:t>
            </w:r>
            <w:r>
              <w:rPr>
                <w:lang w:eastAsia="de-DE"/>
              </w:rPr>
              <w:t>4</w:t>
            </w:r>
          </w:p>
        </w:tc>
      </w:tr>
      <w:tr w:rsidR="00432D5A" w:rsidRPr="005278BD" w14:paraId="2F9EB68C" w14:textId="77777777" w:rsidTr="00674F4C">
        <w:trPr>
          <w:trHeight w:val="405"/>
        </w:trPr>
        <w:tc>
          <w:tcPr>
            <w:cnfStyle w:val="001000000000" w:firstRow="0" w:lastRow="0" w:firstColumn="1" w:lastColumn="0" w:oddVBand="0" w:evenVBand="0" w:oddHBand="0" w:evenHBand="0" w:firstRowFirstColumn="0" w:firstRowLastColumn="0" w:lastRowFirstColumn="0" w:lastRowLastColumn="0"/>
            <w:tcW w:w="844" w:type="dxa"/>
            <w:tcBorders>
              <w:top w:val="single" w:sz="4" w:space="0" w:color="104C91"/>
              <w:bottom w:val="single" w:sz="4" w:space="0" w:color="104C91"/>
            </w:tcBorders>
          </w:tcPr>
          <w:p w14:paraId="73AD6020" w14:textId="77777777" w:rsidR="00BC11FB" w:rsidRPr="005278BD" w:rsidRDefault="00BC11FB" w:rsidP="00BC11FB">
            <w:pPr>
              <w:spacing w:line="240" w:lineRule="auto"/>
              <w:rPr>
                <w:color w:val="104C91"/>
                <w:lang w:eastAsia="de-DE"/>
              </w:rPr>
            </w:pPr>
          </w:p>
        </w:tc>
        <w:tc>
          <w:tcPr>
            <w:tcW w:w="2700" w:type="dxa"/>
            <w:tcBorders>
              <w:top w:val="single" w:sz="4" w:space="0" w:color="104C91"/>
              <w:bottom w:val="single" w:sz="4" w:space="0" w:color="104C91"/>
            </w:tcBorders>
          </w:tcPr>
          <w:p w14:paraId="5D4D8FE1" w14:textId="77777777" w:rsidR="00BC11FB" w:rsidRPr="00E36208"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color w:val="104C91"/>
                <w:lang w:eastAsia="de-DE"/>
              </w:rPr>
            </w:pPr>
            <w:r w:rsidRPr="00E36208">
              <w:rPr>
                <w:color w:val="104C91"/>
                <w:lang w:eastAsia="de-DE"/>
              </w:rPr>
              <w:t>Steady growth</w:t>
            </w:r>
          </w:p>
        </w:tc>
        <w:tc>
          <w:tcPr>
            <w:tcW w:w="2126" w:type="dxa"/>
            <w:tcBorders>
              <w:top w:val="single" w:sz="4" w:space="0" w:color="104C91"/>
              <w:bottom w:val="single" w:sz="4" w:space="0" w:color="104C91"/>
            </w:tcBorders>
          </w:tcPr>
          <w:p w14:paraId="03958614" w14:textId="77777777" w:rsidR="00BC11FB"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color w:val="104C91"/>
                <w:lang w:eastAsia="de-DE"/>
              </w:rPr>
            </w:pPr>
            <w:r>
              <w:rPr>
                <w:color w:val="104C91"/>
                <w:lang w:eastAsia="de-DE"/>
              </w:rPr>
              <w:t>Sectoral expansion</w:t>
            </w:r>
          </w:p>
        </w:tc>
        <w:tc>
          <w:tcPr>
            <w:tcW w:w="2674" w:type="dxa"/>
            <w:tcBorders>
              <w:top w:val="single" w:sz="4" w:space="0" w:color="104C91"/>
              <w:bottom w:val="single" w:sz="4" w:space="0" w:color="104C91"/>
            </w:tcBorders>
          </w:tcPr>
          <w:p w14:paraId="1A4570DB" w14:textId="64D73549" w:rsidR="00BC11FB"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color w:val="104C91"/>
                <w:lang w:eastAsia="de-DE"/>
              </w:rPr>
            </w:pPr>
            <w:r>
              <w:rPr>
                <w:color w:val="104C91"/>
                <w:lang w:eastAsia="de-DE"/>
              </w:rPr>
              <w:t>Tariff impact</w:t>
            </w:r>
          </w:p>
        </w:tc>
      </w:tr>
      <w:tr w:rsidR="00432D5A" w:rsidRPr="005278BD" w14:paraId="1DFE4A99" w14:textId="77777777" w:rsidTr="00674F4C">
        <w:trPr>
          <w:trHeight w:val="304"/>
        </w:trPr>
        <w:tc>
          <w:tcPr>
            <w:cnfStyle w:val="001000000000" w:firstRow="0" w:lastRow="0" w:firstColumn="1" w:lastColumn="0" w:oddVBand="0" w:evenVBand="0" w:oddHBand="0" w:evenHBand="0" w:firstRowFirstColumn="0" w:firstRowLastColumn="0" w:lastRowFirstColumn="0" w:lastRowLastColumn="0"/>
            <w:tcW w:w="844" w:type="dxa"/>
          </w:tcPr>
          <w:p w14:paraId="76CDEAE7" w14:textId="77777777" w:rsidR="00BC11FB" w:rsidRPr="003F2602" w:rsidRDefault="00BC11FB" w:rsidP="00BC11FB">
            <w:pPr>
              <w:spacing w:line="240" w:lineRule="auto"/>
              <w:jc w:val="center"/>
              <w:rPr>
                <w:lang w:eastAsia="de-DE"/>
              </w:rPr>
            </w:pPr>
            <w:r>
              <w:rPr>
                <w:lang w:eastAsia="de-DE"/>
              </w:rPr>
              <w:t>2030</w:t>
            </w:r>
          </w:p>
        </w:tc>
        <w:tc>
          <w:tcPr>
            <w:tcW w:w="2700" w:type="dxa"/>
          </w:tcPr>
          <w:p w14:paraId="54B99C26" w14:textId="4342F251" w:rsidR="00BC11FB" w:rsidRPr="005278BD"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r w:rsidR="00E71B62">
              <w:rPr>
                <w:lang w:eastAsia="de-DE"/>
              </w:rPr>
              <w:t>8</w:t>
            </w:r>
            <w:r>
              <w:rPr>
                <w:lang w:eastAsia="de-DE"/>
              </w:rPr>
              <w:t>.</w:t>
            </w:r>
            <w:r w:rsidR="00E71B62">
              <w:rPr>
                <w:lang w:eastAsia="de-DE"/>
              </w:rPr>
              <w:t>6</w:t>
            </w:r>
          </w:p>
        </w:tc>
        <w:tc>
          <w:tcPr>
            <w:tcW w:w="2126" w:type="dxa"/>
          </w:tcPr>
          <w:p w14:paraId="6FA83DEF" w14:textId="7A70033A" w:rsidR="00BC11FB" w:rsidRPr="005278BD"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r w:rsidR="00527252">
              <w:rPr>
                <w:lang w:eastAsia="de-DE"/>
              </w:rPr>
              <w:t>9.2</w:t>
            </w:r>
          </w:p>
        </w:tc>
        <w:tc>
          <w:tcPr>
            <w:tcW w:w="2674" w:type="dxa"/>
          </w:tcPr>
          <w:p w14:paraId="245CFBC0" w14:textId="7F24F7FA" w:rsidR="00BC11FB" w:rsidRPr="005278BD" w:rsidRDefault="00BC11FB"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r w:rsidR="00527252">
              <w:rPr>
                <w:lang w:eastAsia="de-DE"/>
              </w:rPr>
              <w:t>7.4</w:t>
            </w:r>
          </w:p>
        </w:tc>
      </w:tr>
      <w:tr w:rsidR="00432D5A" w:rsidRPr="005278BD" w14:paraId="4B60EA06" w14:textId="77777777" w:rsidTr="00674F4C">
        <w:trPr>
          <w:trHeight w:val="404"/>
        </w:trPr>
        <w:tc>
          <w:tcPr>
            <w:cnfStyle w:val="001000000000" w:firstRow="0" w:lastRow="0" w:firstColumn="1" w:lastColumn="0" w:oddVBand="0" w:evenVBand="0" w:oddHBand="0" w:evenHBand="0" w:firstRowFirstColumn="0" w:firstRowLastColumn="0" w:lastRowFirstColumn="0" w:lastRowLastColumn="0"/>
            <w:tcW w:w="844" w:type="dxa"/>
          </w:tcPr>
          <w:p w14:paraId="3F809E2F" w14:textId="77777777" w:rsidR="00BC11FB" w:rsidRPr="00C97429" w:rsidRDefault="00BC11FB" w:rsidP="00BC11FB">
            <w:pPr>
              <w:spacing w:line="240" w:lineRule="auto"/>
              <w:jc w:val="center"/>
              <w:rPr>
                <w:bCs/>
                <w:lang w:eastAsia="de-DE"/>
              </w:rPr>
            </w:pPr>
            <w:r>
              <w:rPr>
                <w:bCs/>
                <w:lang w:eastAsia="de-DE"/>
              </w:rPr>
              <w:t>2035</w:t>
            </w:r>
          </w:p>
        </w:tc>
        <w:tc>
          <w:tcPr>
            <w:tcW w:w="2700" w:type="dxa"/>
          </w:tcPr>
          <w:p w14:paraId="4441394E" w14:textId="077A4EC7" w:rsidR="00BC11FB" w:rsidRPr="006207A3" w:rsidRDefault="00E71B62"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21</w:t>
            </w:r>
            <w:r w:rsidR="00BC11FB" w:rsidRPr="00B949FF">
              <w:rPr>
                <w:lang w:eastAsia="de-DE"/>
              </w:rPr>
              <w:t>.</w:t>
            </w:r>
            <w:r>
              <w:rPr>
                <w:lang w:eastAsia="de-DE"/>
              </w:rPr>
              <w:t>2</w:t>
            </w:r>
          </w:p>
        </w:tc>
        <w:tc>
          <w:tcPr>
            <w:tcW w:w="2126" w:type="dxa"/>
          </w:tcPr>
          <w:p w14:paraId="15404313" w14:textId="51A447AB" w:rsidR="00BC11FB" w:rsidRPr="006207A3" w:rsidRDefault="00C936E7"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23</w:t>
            </w:r>
            <w:r w:rsidR="00BC11FB" w:rsidRPr="00B949FF">
              <w:rPr>
                <w:lang w:eastAsia="de-DE"/>
              </w:rPr>
              <w:t>.</w:t>
            </w:r>
            <w:r>
              <w:rPr>
                <w:lang w:eastAsia="de-DE"/>
              </w:rPr>
              <w:t>0</w:t>
            </w:r>
          </w:p>
        </w:tc>
        <w:tc>
          <w:tcPr>
            <w:tcW w:w="2674" w:type="dxa"/>
          </w:tcPr>
          <w:p w14:paraId="5D59EC4B" w14:textId="7412CDBC" w:rsidR="00BC11FB" w:rsidRPr="006207A3" w:rsidRDefault="00C936E7" w:rsidP="00BC11FB">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lang w:eastAsia="de-DE"/>
              </w:rPr>
              <w:t>20.3</w:t>
            </w:r>
          </w:p>
        </w:tc>
      </w:tr>
    </w:tbl>
    <w:p w14:paraId="1B1F3A1E" w14:textId="66041F1C" w:rsidR="0001750E" w:rsidRPr="002E5578" w:rsidRDefault="0001750E" w:rsidP="0001750E">
      <w:pPr>
        <w:rPr>
          <w:i/>
          <w:color w:val="FF0000"/>
          <w:sz w:val="18"/>
        </w:rPr>
      </w:pPr>
      <w:r w:rsidRPr="009C04E3">
        <w:rPr>
          <w:rFonts w:cs="Calibri"/>
          <w:i/>
          <w:iCs/>
          <w:color w:val="ADADAD"/>
          <w:sz w:val="18"/>
        </w:rPr>
        <w:t xml:space="preserve">Source: </w:t>
      </w:r>
      <w:r w:rsidRPr="00191919">
        <w:rPr>
          <w:rFonts w:cs="Calibri"/>
          <w:i/>
          <w:iCs/>
          <w:color w:val="ADADAD"/>
          <w:sz w:val="18"/>
        </w:rPr>
        <w:t>CDC Energiya</w:t>
      </w:r>
      <w:r>
        <w:rPr>
          <w:rFonts w:cs="Calibri"/>
          <w:i/>
          <w:iCs/>
          <w:color w:val="ADADAD"/>
          <w:sz w:val="18"/>
        </w:rPr>
        <w:t xml:space="preserve"> (2023 data); own calculations (projected data). Note:  Annual results for all remaining years are provided in the annex.</w:t>
      </w:r>
    </w:p>
    <w:p w14:paraId="45348D61" w14:textId="33E9DFF8" w:rsidR="00124D8B" w:rsidRPr="003312BA" w:rsidRDefault="00124D8B" w:rsidP="00124D8B">
      <w:pPr>
        <w:spacing w:before="260" w:line="260" w:lineRule="atLeast"/>
        <w:jc w:val="left"/>
        <w:rPr>
          <w:rFonts w:cs="Calibri"/>
          <w:b/>
          <w:bCs/>
          <w:color w:val="104C91"/>
          <w:szCs w:val="22"/>
        </w:rPr>
      </w:pPr>
      <w:r w:rsidRPr="003312BA">
        <w:rPr>
          <w:rFonts w:cs="Calibri"/>
          <w:b/>
          <w:bCs/>
          <w:color w:val="104C91"/>
          <w:szCs w:val="22"/>
        </w:rPr>
        <w:t>“</w:t>
      </w:r>
      <w:r>
        <w:rPr>
          <w:rFonts w:cs="Calibri"/>
          <w:b/>
          <w:bCs/>
          <w:color w:val="104C91"/>
          <w:szCs w:val="22"/>
        </w:rPr>
        <w:t>Sectoral expansion</w:t>
      </w:r>
      <w:r w:rsidRPr="003312BA">
        <w:rPr>
          <w:rFonts w:cs="Calibri"/>
          <w:b/>
          <w:bCs/>
          <w:color w:val="104C91"/>
          <w:szCs w:val="22"/>
        </w:rPr>
        <w:t xml:space="preserve">” </w:t>
      </w:r>
    </w:p>
    <w:p w14:paraId="474C6780" w14:textId="77777777" w:rsidR="00FB7B67" w:rsidRDefault="004F023A" w:rsidP="00534C54">
      <w:pPr>
        <w:spacing w:before="260" w:line="260" w:lineRule="atLeast"/>
        <w:jc w:val="left"/>
        <w:rPr>
          <w:lang w:eastAsia="de-DE"/>
        </w:rPr>
      </w:pPr>
      <w:r w:rsidRPr="004F023A">
        <w:rPr>
          <w:lang w:eastAsia="de-DE"/>
        </w:rPr>
        <w:t xml:space="preserve">While the </w:t>
      </w:r>
      <w:r w:rsidR="00745BA4">
        <w:rPr>
          <w:lang w:eastAsia="de-DE"/>
        </w:rPr>
        <w:t>baseline</w:t>
      </w:r>
      <w:r w:rsidRPr="004F023A">
        <w:rPr>
          <w:lang w:eastAsia="de-DE"/>
        </w:rPr>
        <w:t xml:space="preserve"> model offers a conservative forecast based on historical patterns and GDP growth, it does not fully capture potential structural shifts in the economy. Historical data and GDP trends alone cannot account for significant changes in Uzbekistan's sectoral composition. As sectors like industry and transport electrify, the relationship between GDP growth and electricity demand will evolve, leading to upward pressure on consumption beyond what historical patterns would suggest. Moreover, if the sectoral composition of GDP changes</w:t>
      </w:r>
      <w:r>
        <w:rPr>
          <w:lang w:eastAsia="de-DE"/>
        </w:rPr>
        <w:t xml:space="preserve"> – </w:t>
      </w:r>
      <w:r w:rsidRPr="004F023A">
        <w:rPr>
          <w:lang w:eastAsia="de-DE"/>
        </w:rPr>
        <w:t xml:space="preserve">such as a potential </w:t>
      </w:r>
      <w:r>
        <w:rPr>
          <w:lang w:eastAsia="de-DE"/>
        </w:rPr>
        <w:t xml:space="preserve">rise in the share stemming from industry – </w:t>
      </w:r>
      <w:r w:rsidRPr="004F023A">
        <w:rPr>
          <w:lang w:eastAsia="de-DE"/>
        </w:rPr>
        <w:t>this could increase the electricity intensity (electricity use per unit of GDP). Thus, incorporating sector-specific developments is essential for a more nuanced and comprehensive projection.</w:t>
      </w:r>
      <w:r w:rsidR="005235BF">
        <w:rPr>
          <w:lang w:eastAsia="de-DE"/>
        </w:rPr>
        <w:t xml:space="preserve"> </w:t>
      </w:r>
    </w:p>
    <w:p w14:paraId="6472708C" w14:textId="7729AAE3" w:rsidR="00124D8B" w:rsidRDefault="00FB7B67" w:rsidP="00534C54">
      <w:pPr>
        <w:spacing w:before="260" w:line="260" w:lineRule="atLeast"/>
        <w:jc w:val="left"/>
        <w:rPr>
          <w:lang w:eastAsia="de-DE"/>
        </w:rPr>
      </w:pPr>
      <w:r>
        <w:rPr>
          <w:lang w:eastAsia="de-DE"/>
        </w:rPr>
        <w:t>In Uzbekistan, i</w:t>
      </w:r>
      <w:r w:rsidR="005235BF" w:rsidRPr="005235BF">
        <w:rPr>
          <w:lang w:eastAsia="de-DE"/>
        </w:rPr>
        <w:t xml:space="preserve">ndustrial production is projected to nearly double between 2022 and 2030, and </w:t>
      </w:r>
      <w:r w:rsidR="00D335DF">
        <w:rPr>
          <w:lang w:eastAsia="de-DE"/>
        </w:rPr>
        <w:t xml:space="preserve">the share of </w:t>
      </w:r>
      <w:r w:rsidR="005235BF" w:rsidRPr="005235BF">
        <w:rPr>
          <w:lang w:eastAsia="de-DE"/>
        </w:rPr>
        <w:t>electric vehicle</w:t>
      </w:r>
      <w:r w:rsidR="00D335DF">
        <w:rPr>
          <w:lang w:eastAsia="de-DE"/>
        </w:rPr>
        <w:t xml:space="preserve">s </w:t>
      </w:r>
      <w:r w:rsidR="005235BF" w:rsidRPr="005235BF">
        <w:rPr>
          <w:lang w:eastAsia="de-DE"/>
        </w:rPr>
        <w:t>is expected to triple, reflecting significant electrification within the transport sector. Additionally, GDP per capita is assumed to grow by 28% over the same period, contributing to increased electricity consumption across sectors.</w:t>
      </w:r>
    </w:p>
    <w:p w14:paraId="3E83B141" w14:textId="46351C2C" w:rsidR="004A3839" w:rsidRPr="00300874" w:rsidRDefault="00015C3F" w:rsidP="00124D8B">
      <w:pPr>
        <w:spacing w:before="260" w:line="260" w:lineRule="atLeast"/>
        <w:jc w:val="left"/>
        <w:rPr>
          <w:lang w:eastAsia="de-DE"/>
        </w:rPr>
      </w:pPr>
      <w:r w:rsidRPr="00015C3F">
        <w:rPr>
          <w:lang w:eastAsia="de-DE"/>
        </w:rPr>
        <w:t>Taking these sectoral assumptions into account</w:t>
      </w:r>
      <w:r>
        <w:rPr>
          <w:lang w:eastAsia="de-DE"/>
        </w:rPr>
        <w:t xml:space="preserve"> i</w:t>
      </w:r>
      <w:r w:rsidR="00CF0AF2" w:rsidRPr="00CF0AF2">
        <w:rPr>
          <w:lang w:eastAsia="de-DE"/>
        </w:rPr>
        <w:t xml:space="preserve">n </w:t>
      </w:r>
      <w:r w:rsidR="004213F7">
        <w:rPr>
          <w:lang w:eastAsia="de-DE"/>
        </w:rPr>
        <w:t>th</w:t>
      </w:r>
      <w:r w:rsidR="00745BA4">
        <w:rPr>
          <w:lang w:eastAsia="de-DE"/>
        </w:rPr>
        <w:t>e “Sectoral expansion”</w:t>
      </w:r>
      <w:r w:rsidR="004213F7">
        <w:rPr>
          <w:lang w:eastAsia="de-DE"/>
        </w:rPr>
        <w:t xml:space="preserve"> variant,</w:t>
      </w:r>
      <w:r w:rsidR="00CF0AF2" w:rsidRPr="00CF0AF2">
        <w:rPr>
          <w:lang w:eastAsia="de-DE"/>
        </w:rPr>
        <w:t xml:space="preserve"> demand is projected to reach </w:t>
      </w:r>
      <w:r w:rsidR="00003E04">
        <w:rPr>
          <w:b/>
          <w:bCs/>
          <w:lang w:eastAsia="de-DE"/>
        </w:rPr>
        <w:t>12</w:t>
      </w:r>
      <w:r w:rsidR="006B328C">
        <w:rPr>
          <w:b/>
          <w:bCs/>
          <w:lang w:eastAsia="de-DE"/>
        </w:rPr>
        <w:t>2.</w:t>
      </w:r>
      <w:r w:rsidR="00F80009">
        <w:rPr>
          <w:b/>
          <w:bCs/>
          <w:lang w:eastAsia="de-DE"/>
        </w:rPr>
        <w:t>7</w:t>
      </w:r>
      <w:r w:rsidR="00CF0AF2" w:rsidRPr="00CF0AF2">
        <w:rPr>
          <w:b/>
          <w:bCs/>
          <w:lang w:eastAsia="de-DE"/>
        </w:rPr>
        <w:t xml:space="preserve"> TWh by 2030</w:t>
      </w:r>
      <w:r w:rsidR="004213F7">
        <w:rPr>
          <w:b/>
          <w:bCs/>
          <w:lang w:eastAsia="de-DE"/>
        </w:rPr>
        <w:t xml:space="preserve"> </w:t>
      </w:r>
      <w:r w:rsidR="004213F7" w:rsidRPr="004213F7">
        <w:rPr>
          <w:lang w:eastAsia="de-DE"/>
        </w:rPr>
        <w:t>(+</w:t>
      </w:r>
      <w:r w:rsidR="00F80009">
        <w:rPr>
          <w:lang w:eastAsia="de-DE"/>
        </w:rPr>
        <w:t>52</w:t>
      </w:r>
      <w:r w:rsidR="004213F7" w:rsidRPr="004213F7">
        <w:rPr>
          <w:lang w:eastAsia="de-DE"/>
        </w:rPr>
        <w:t>%)</w:t>
      </w:r>
      <w:r w:rsidR="00CF0AF2" w:rsidRPr="00CF0AF2">
        <w:rPr>
          <w:lang w:eastAsia="de-DE"/>
        </w:rPr>
        <w:t xml:space="preserve"> and </w:t>
      </w:r>
      <w:r w:rsidR="00CF0AF2" w:rsidRPr="00CF0AF2">
        <w:rPr>
          <w:b/>
          <w:bCs/>
          <w:lang w:eastAsia="de-DE"/>
        </w:rPr>
        <w:t>1</w:t>
      </w:r>
      <w:r w:rsidR="00F80009">
        <w:rPr>
          <w:b/>
          <w:bCs/>
          <w:lang w:eastAsia="de-DE"/>
        </w:rPr>
        <w:t>51.5</w:t>
      </w:r>
      <w:r w:rsidR="00CF0AF2" w:rsidRPr="00CF0AF2">
        <w:rPr>
          <w:b/>
          <w:bCs/>
          <w:lang w:eastAsia="de-DE"/>
        </w:rPr>
        <w:t xml:space="preserve"> TWh by 2035</w:t>
      </w:r>
      <w:r w:rsidR="004213F7">
        <w:rPr>
          <w:b/>
          <w:bCs/>
          <w:lang w:eastAsia="de-DE"/>
        </w:rPr>
        <w:t xml:space="preserve"> </w:t>
      </w:r>
      <w:r w:rsidR="004213F7" w:rsidRPr="004213F7">
        <w:rPr>
          <w:lang w:eastAsia="de-DE"/>
        </w:rPr>
        <w:t>(+</w:t>
      </w:r>
      <w:r w:rsidR="00F80009">
        <w:rPr>
          <w:lang w:eastAsia="de-DE"/>
        </w:rPr>
        <w:t>87</w:t>
      </w:r>
      <w:r w:rsidR="004213F7" w:rsidRPr="004213F7">
        <w:rPr>
          <w:lang w:eastAsia="de-DE"/>
        </w:rPr>
        <w:t>%)</w:t>
      </w:r>
      <w:r w:rsidR="00240060">
        <w:rPr>
          <w:lang w:eastAsia="de-DE"/>
        </w:rPr>
        <w:t xml:space="preserve">, with a </w:t>
      </w:r>
      <w:r w:rsidR="00240060" w:rsidRPr="003A56D2">
        <w:rPr>
          <w:b/>
          <w:bCs/>
          <w:lang w:eastAsia="de-DE"/>
        </w:rPr>
        <w:t xml:space="preserve">peak load of </w:t>
      </w:r>
      <w:r w:rsidR="003A56D2" w:rsidRPr="003A56D2">
        <w:rPr>
          <w:b/>
          <w:bCs/>
          <w:lang w:eastAsia="de-DE"/>
        </w:rPr>
        <w:t>1</w:t>
      </w:r>
      <w:r w:rsidR="00AD2171">
        <w:rPr>
          <w:b/>
          <w:bCs/>
          <w:lang w:eastAsia="de-DE"/>
        </w:rPr>
        <w:t>9.2</w:t>
      </w:r>
      <w:r w:rsidR="003A56D2" w:rsidRPr="003A56D2">
        <w:rPr>
          <w:b/>
          <w:bCs/>
          <w:lang w:eastAsia="de-DE"/>
        </w:rPr>
        <w:t xml:space="preserve"> GW and 2</w:t>
      </w:r>
      <w:r w:rsidR="00AD2171">
        <w:rPr>
          <w:b/>
          <w:bCs/>
          <w:lang w:eastAsia="de-DE"/>
        </w:rPr>
        <w:t>3.</w:t>
      </w:r>
      <w:r w:rsidR="003A56D2" w:rsidRPr="003A56D2">
        <w:rPr>
          <w:b/>
          <w:bCs/>
          <w:lang w:eastAsia="de-DE"/>
        </w:rPr>
        <w:t>0 GW</w:t>
      </w:r>
      <w:r w:rsidR="00CF0AF2" w:rsidRPr="00CF0AF2">
        <w:rPr>
          <w:lang w:eastAsia="de-DE"/>
        </w:rPr>
        <w:t xml:space="preserve">. </w:t>
      </w:r>
      <w:r w:rsidR="00690B28" w:rsidRPr="00690B28">
        <w:rPr>
          <w:lang w:eastAsia="de-DE"/>
        </w:rPr>
        <w:t xml:space="preserve">By accounting for these sectoral dynamics, </w:t>
      </w:r>
      <w:r w:rsidR="00690B28">
        <w:rPr>
          <w:lang w:eastAsia="de-DE"/>
        </w:rPr>
        <w:t>it</w:t>
      </w:r>
      <w:r w:rsidR="00690B28" w:rsidRPr="00690B28">
        <w:rPr>
          <w:lang w:eastAsia="de-DE"/>
        </w:rPr>
        <w:t xml:space="preserve"> offers a more detailed view of future demand trends, addressing structural breaks and sectoral shifts. </w:t>
      </w:r>
    </w:p>
    <w:p w14:paraId="276A735E" w14:textId="75FB233C" w:rsidR="00124D8B" w:rsidRDefault="00124D8B" w:rsidP="00124D8B">
      <w:pPr>
        <w:spacing w:before="260" w:line="260" w:lineRule="atLeast"/>
        <w:jc w:val="left"/>
        <w:rPr>
          <w:lang w:eastAsia="de-DE"/>
        </w:rPr>
      </w:pPr>
      <w:r w:rsidRPr="003312BA">
        <w:rPr>
          <w:rFonts w:cs="Calibri"/>
          <w:b/>
          <w:bCs/>
          <w:color w:val="104C91"/>
          <w:szCs w:val="22"/>
        </w:rPr>
        <w:t>“</w:t>
      </w:r>
      <w:r>
        <w:rPr>
          <w:rFonts w:cs="Calibri"/>
          <w:b/>
          <w:bCs/>
          <w:color w:val="104C91"/>
          <w:szCs w:val="22"/>
        </w:rPr>
        <w:t>Tariff impact</w:t>
      </w:r>
      <w:r w:rsidRPr="003312BA">
        <w:rPr>
          <w:rFonts w:cs="Calibri"/>
          <w:b/>
          <w:bCs/>
          <w:color w:val="104C91"/>
          <w:szCs w:val="22"/>
        </w:rPr>
        <w:t xml:space="preserve">” </w:t>
      </w:r>
    </w:p>
    <w:p w14:paraId="7B986590" w14:textId="72CF609E" w:rsidR="00B617BF" w:rsidRDefault="00562258" w:rsidP="00534C54">
      <w:pPr>
        <w:spacing w:before="260" w:line="260" w:lineRule="atLeast"/>
        <w:jc w:val="left"/>
        <w:rPr>
          <w:lang w:eastAsia="de-DE"/>
        </w:rPr>
      </w:pPr>
      <w:r w:rsidRPr="00562258">
        <w:rPr>
          <w:lang w:eastAsia="de-DE"/>
        </w:rPr>
        <w:lastRenderedPageBreak/>
        <w:t>The "Tariff impact" model introduces the influence of electricity prices on demand, recogni</w:t>
      </w:r>
      <w:r w:rsidR="009F7F22">
        <w:rPr>
          <w:lang w:eastAsia="de-DE"/>
        </w:rPr>
        <w:t>s</w:t>
      </w:r>
      <w:r w:rsidRPr="00562258">
        <w:rPr>
          <w:lang w:eastAsia="de-DE"/>
        </w:rPr>
        <w:t xml:space="preserve">ing that price reforms play a critical role in shaping consumer </w:t>
      </w:r>
      <w:r w:rsidR="009F7F22" w:rsidRPr="00562258">
        <w:rPr>
          <w:lang w:eastAsia="de-DE"/>
        </w:rPr>
        <w:t>behaviour</w:t>
      </w:r>
      <w:r w:rsidRPr="00562258">
        <w:rPr>
          <w:lang w:eastAsia="de-DE"/>
        </w:rPr>
        <w:t>. By incorporating tariff elasticity estimates, this model adds another dimension to the previous projections, acknowledging that Uzbekistan’s recent and planned price hikes will likely moderate demand growth.</w:t>
      </w:r>
    </w:p>
    <w:p w14:paraId="0786FACC" w14:textId="48ABC5F4" w:rsidR="003208DD" w:rsidRPr="00605F57" w:rsidRDefault="000A0CBC" w:rsidP="001E4E54">
      <w:pPr>
        <w:spacing w:before="260" w:line="260" w:lineRule="atLeast"/>
        <w:jc w:val="left"/>
        <w:rPr>
          <w:lang w:eastAsia="de-DE"/>
        </w:rPr>
      </w:pPr>
      <w:r w:rsidRPr="000A0CBC">
        <w:rPr>
          <w:lang w:eastAsia="de-DE"/>
        </w:rPr>
        <w:t>Following the 2023-2025 tariff increases, the model assumes that electricity prices will start to reflect real costs</w:t>
      </w:r>
      <w:r w:rsidR="00CB57DD">
        <w:rPr>
          <w:lang w:eastAsia="de-DE"/>
        </w:rPr>
        <w:t xml:space="preserve"> </w:t>
      </w:r>
      <w:r w:rsidR="00A848BC">
        <w:rPr>
          <w:lang w:eastAsia="de-DE"/>
        </w:rPr>
        <w:t>–</w:t>
      </w:r>
      <w:r w:rsidR="00CB57DD">
        <w:rPr>
          <w:lang w:eastAsia="de-DE"/>
        </w:rPr>
        <w:t xml:space="preserve"> </w:t>
      </w:r>
      <w:r w:rsidRPr="000A0CBC">
        <w:rPr>
          <w:lang w:eastAsia="de-DE"/>
        </w:rPr>
        <w:t>including generation, transmission, and distribution</w:t>
      </w:r>
      <w:r w:rsidR="00CB57DD">
        <w:rPr>
          <w:lang w:eastAsia="de-DE"/>
        </w:rPr>
        <w:t xml:space="preserve"> </w:t>
      </w:r>
      <w:r w:rsidR="00A848BC">
        <w:rPr>
          <w:lang w:eastAsia="de-DE"/>
        </w:rPr>
        <w:t>–</w:t>
      </w:r>
      <w:r w:rsidR="00CB57DD">
        <w:rPr>
          <w:lang w:eastAsia="de-DE"/>
        </w:rPr>
        <w:t xml:space="preserve"> </w:t>
      </w:r>
      <w:r w:rsidRPr="000A0CBC">
        <w:rPr>
          <w:lang w:eastAsia="de-DE"/>
        </w:rPr>
        <w:t>thereby contributing to more efficient electricity use across sectors. Under this scenario,</w:t>
      </w:r>
      <w:r w:rsidR="001E4E54">
        <w:rPr>
          <w:lang w:eastAsia="de-DE"/>
        </w:rPr>
        <w:t xml:space="preserve"> demand is projected to reach </w:t>
      </w:r>
      <w:r w:rsidR="001E4E54" w:rsidRPr="001E4E54">
        <w:rPr>
          <w:b/>
          <w:bCs/>
          <w:lang w:eastAsia="de-DE"/>
        </w:rPr>
        <w:t>109.</w:t>
      </w:r>
      <w:r w:rsidR="00897D35">
        <w:rPr>
          <w:b/>
          <w:bCs/>
          <w:lang w:eastAsia="de-DE"/>
        </w:rPr>
        <w:t>3</w:t>
      </w:r>
      <w:r w:rsidR="001E4E54" w:rsidRPr="001E4E54">
        <w:rPr>
          <w:b/>
          <w:bCs/>
          <w:lang w:eastAsia="de-DE"/>
        </w:rPr>
        <w:t xml:space="preserve"> TWh by 2030</w:t>
      </w:r>
      <w:r w:rsidR="001E4E54">
        <w:rPr>
          <w:lang w:eastAsia="de-DE"/>
        </w:rPr>
        <w:t xml:space="preserve"> </w:t>
      </w:r>
      <w:r w:rsidR="007A5970">
        <w:rPr>
          <w:lang w:eastAsia="de-DE"/>
        </w:rPr>
        <w:t>(</w:t>
      </w:r>
      <w:r w:rsidR="0075289F">
        <w:rPr>
          <w:lang w:eastAsia="de-DE"/>
        </w:rPr>
        <w:t xml:space="preserve">+35%) </w:t>
      </w:r>
      <w:r w:rsidR="001E4E54">
        <w:rPr>
          <w:lang w:eastAsia="de-DE"/>
        </w:rPr>
        <w:t xml:space="preserve">and </w:t>
      </w:r>
      <w:r w:rsidR="001E4E54" w:rsidRPr="001E4E54">
        <w:rPr>
          <w:b/>
          <w:bCs/>
          <w:lang w:eastAsia="de-DE"/>
        </w:rPr>
        <w:t>13</w:t>
      </w:r>
      <w:r w:rsidR="00897D35">
        <w:rPr>
          <w:b/>
          <w:bCs/>
          <w:lang w:eastAsia="de-DE"/>
        </w:rPr>
        <w:t>0.9</w:t>
      </w:r>
      <w:r w:rsidR="001E4E54" w:rsidRPr="001E4E54">
        <w:rPr>
          <w:b/>
          <w:bCs/>
          <w:lang w:eastAsia="de-DE"/>
        </w:rPr>
        <w:t xml:space="preserve"> TWh by 2035</w:t>
      </w:r>
      <w:r w:rsidR="0075289F" w:rsidRPr="0075289F">
        <w:rPr>
          <w:lang w:eastAsia="de-DE"/>
        </w:rPr>
        <w:t xml:space="preserve"> (+62%)</w:t>
      </w:r>
      <w:r w:rsidR="001E4E54">
        <w:rPr>
          <w:lang w:eastAsia="de-DE"/>
        </w:rPr>
        <w:t xml:space="preserve">, a moderation </w:t>
      </w:r>
      <w:r w:rsidR="005B4417">
        <w:rPr>
          <w:lang w:eastAsia="de-DE"/>
        </w:rPr>
        <w:t>compared to</w:t>
      </w:r>
      <w:r w:rsidR="001E4E54">
        <w:rPr>
          <w:lang w:eastAsia="de-DE"/>
        </w:rPr>
        <w:t xml:space="preserve"> the "Steady growth" and "Sectoral expansion" </w:t>
      </w:r>
      <w:r w:rsidR="005B4417">
        <w:rPr>
          <w:lang w:eastAsia="de-DE"/>
        </w:rPr>
        <w:t>variants.</w:t>
      </w:r>
      <w:r w:rsidR="001E4E54">
        <w:rPr>
          <w:lang w:eastAsia="de-DE"/>
        </w:rPr>
        <w:t xml:space="preserve"> </w:t>
      </w:r>
      <w:r w:rsidR="003A56D2">
        <w:rPr>
          <w:lang w:eastAsia="de-DE"/>
        </w:rPr>
        <w:t>Similar</w:t>
      </w:r>
      <w:r w:rsidR="004E5C9D">
        <w:rPr>
          <w:lang w:eastAsia="de-DE"/>
        </w:rPr>
        <w:t xml:space="preserve">ly, also peak loads are more moderated at </w:t>
      </w:r>
      <w:r w:rsidR="004E5C9D" w:rsidRPr="004E5C9D">
        <w:rPr>
          <w:b/>
          <w:bCs/>
          <w:lang w:eastAsia="de-DE"/>
        </w:rPr>
        <w:t>17.4 GW and 20.3 GW</w:t>
      </w:r>
      <w:r w:rsidR="004E5C9D">
        <w:rPr>
          <w:lang w:eastAsia="de-DE"/>
        </w:rPr>
        <w:t xml:space="preserve">. </w:t>
      </w:r>
      <w:r w:rsidR="005B4417" w:rsidRPr="005B4417">
        <w:rPr>
          <w:lang w:eastAsia="de-DE"/>
        </w:rPr>
        <w:t>This illustrates how reforms aimed at reducing subsidies and ensuring cost-recovery in the energy sector will likely temper overall demand growth.</w:t>
      </w:r>
    </w:p>
    <w:p w14:paraId="08B0792C" w14:textId="3260F961" w:rsidR="00C14CBA" w:rsidRDefault="00C14CBA" w:rsidP="00C14CBA">
      <w:pPr>
        <w:pStyle w:val="berschrift2"/>
      </w:pPr>
      <w:bookmarkStart w:id="23" w:name="_Toc182575134"/>
      <w:r>
        <w:t>Discussion</w:t>
      </w:r>
      <w:r w:rsidR="00C2499B">
        <w:t xml:space="preserve"> of results</w:t>
      </w:r>
      <w:bookmarkEnd w:id="23"/>
    </w:p>
    <w:p w14:paraId="55452D4F" w14:textId="34786F7F" w:rsidR="00A101D4" w:rsidRDefault="00605F57" w:rsidP="00A101D4">
      <w:pPr>
        <w:spacing w:before="260" w:line="260" w:lineRule="atLeast"/>
        <w:jc w:val="left"/>
        <w:rPr>
          <w:lang w:eastAsia="de-DE"/>
        </w:rPr>
      </w:pPr>
      <w:r w:rsidRPr="002D1D10">
        <w:t>The projections from the different model variants present a range of growth patterns based on assumptions about sectoral and technological shifts.</w:t>
      </w:r>
      <w:r>
        <w:t xml:space="preserve"> </w:t>
      </w:r>
      <w:r w:rsidR="008C1008">
        <w:t xml:space="preserve">The first </w:t>
      </w:r>
      <w:r w:rsidR="00490BF6">
        <w:t>two</w:t>
      </w:r>
      <w:r w:rsidR="008C1008">
        <w:t xml:space="preserve"> </w:t>
      </w:r>
      <w:r w:rsidR="008C1008" w:rsidRPr="008C1008">
        <w:t>v</w:t>
      </w:r>
      <w:r w:rsidRPr="008C1008">
        <w:t>ariants</w:t>
      </w:r>
      <w:r w:rsidR="008C1008">
        <w:rPr>
          <w:b/>
          <w:bCs/>
        </w:rPr>
        <w:t xml:space="preserve"> </w:t>
      </w:r>
      <w:r w:rsidRPr="002D1D10">
        <w:t xml:space="preserve">show continuous growth in electricity demand, </w:t>
      </w:r>
      <w:r w:rsidR="00824072">
        <w:t xml:space="preserve">driven by economic </w:t>
      </w:r>
      <w:r w:rsidR="00824072" w:rsidRPr="002D1D10">
        <w:t>advancements, assumptions that Uzbekistan will increase its power generation capacity enough to meet rising demand</w:t>
      </w:r>
      <w:r w:rsidR="00824072">
        <w:t xml:space="preserve">, and the latter also </w:t>
      </w:r>
      <w:r w:rsidRPr="002D1D10">
        <w:t>driven by the inclusion of sectoral expansions (particularly industrial and transport electrification).</w:t>
      </w:r>
      <w:r>
        <w:t xml:space="preserve"> </w:t>
      </w:r>
      <w:r w:rsidR="008C1008" w:rsidRPr="00BD17B6">
        <w:t>T</w:t>
      </w:r>
      <w:r w:rsidRPr="002D1D10">
        <w:t xml:space="preserve">he "Tariff impact" model presents a distinct pattern, with demand </w:t>
      </w:r>
      <w:r w:rsidR="00664345">
        <w:t xml:space="preserve">growth flattening </w:t>
      </w:r>
      <w:r w:rsidRPr="002D1D10">
        <w:t>in</w:t>
      </w:r>
      <w:r w:rsidR="00C2260B">
        <w:t>itially</w:t>
      </w:r>
      <w:r w:rsidRPr="002D1D10">
        <w:t xml:space="preserve">. This reflects the assumed response to real electricity tariff increases. </w:t>
      </w:r>
      <w:r>
        <w:t>A</w:t>
      </w:r>
      <w:r w:rsidRPr="002D1D10">
        <w:t xml:space="preserve">fter this initial </w:t>
      </w:r>
      <w:r w:rsidR="00585347">
        <w:t>adjustment</w:t>
      </w:r>
      <w:r w:rsidRPr="002D1D10">
        <w:t xml:space="preserve">, the model assumes that if no further tariff increases occur in real terms, demand will resume growing at </w:t>
      </w:r>
      <w:r w:rsidR="00487BF9">
        <w:t>a similar</w:t>
      </w:r>
      <w:r w:rsidRPr="002D1D10">
        <w:t xml:space="preserve"> rate as the "</w:t>
      </w:r>
      <w:r w:rsidR="00490BF6">
        <w:t>Sectoral expansion</w:t>
      </w:r>
      <w:r w:rsidRPr="002D1D10">
        <w:t>" variant</w:t>
      </w:r>
      <w:r>
        <w:t xml:space="preserve">, though starting </w:t>
      </w:r>
      <w:r w:rsidRPr="002D1D10">
        <w:t>from a lower base.</w:t>
      </w:r>
      <w:r w:rsidR="00A101D4" w:rsidRPr="00A101D4">
        <w:rPr>
          <w:lang w:eastAsia="de-DE"/>
        </w:rPr>
        <w:t xml:space="preserve"> </w:t>
      </w:r>
    </w:p>
    <w:p w14:paraId="37C8CDD3" w14:textId="77777777" w:rsidR="004A3839" w:rsidRDefault="0092475A" w:rsidP="004A3839">
      <w:pPr>
        <w:spacing w:before="260" w:line="240" w:lineRule="auto"/>
        <w:jc w:val="left"/>
      </w:pPr>
      <w:r w:rsidRPr="0092475A">
        <w:rPr>
          <w:lang w:eastAsia="de-DE"/>
        </w:rPr>
        <w:t xml:space="preserve">Each of the </w:t>
      </w:r>
      <w:r w:rsidR="00490BF6">
        <w:rPr>
          <w:lang w:eastAsia="de-DE"/>
        </w:rPr>
        <w:t>three</w:t>
      </w:r>
      <w:r w:rsidRPr="0092475A">
        <w:rPr>
          <w:lang w:eastAsia="de-DE"/>
        </w:rPr>
        <w:t xml:space="preserve"> model variants demonstrat</w:t>
      </w:r>
      <w:r w:rsidR="00490BF6">
        <w:rPr>
          <w:lang w:eastAsia="de-DE"/>
        </w:rPr>
        <w:t>es</w:t>
      </w:r>
      <w:r w:rsidRPr="0092475A">
        <w:rPr>
          <w:lang w:eastAsia="de-DE"/>
        </w:rPr>
        <w:t xml:space="preserve"> strong predictive accuracy when tested on hourly data from 2020 to 2023, </w:t>
      </w:r>
      <w:r w:rsidR="000552E0">
        <w:rPr>
          <w:lang w:eastAsia="de-DE"/>
        </w:rPr>
        <w:t xml:space="preserve">each </w:t>
      </w:r>
      <w:r w:rsidRPr="0092475A">
        <w:rPr>
          <w:lang w:eastAsia="de-DE"/>
        </w:rPr>
        <w:t xml:space="preserve">achieving a </w:t>
      </w:r>
      <w:r w:rsidRPr="00BD17B6">
        <w:rPr>
          <w:b/>
          <w:bCs/>
          <w:lang w:eastAsia="de-DE"/>
        </w:rPr>
        <w:t xml:space="preserve">Mean Absolute Percentage Error (MAPE) </w:t>
      </w:r>
      <w:r w:rsidRPr="000552E0">
        <w:rPr>
          <w:lang w:eastAsia="de-DE"/>
        </w:rPr>
        <w:t>of</w:t>
      </w:r>
      <w:r w:rsidRPr="00BD17B6">
        <w:rPr>
          <w:b/>
          <w:bCs/>
          <w:lang w:eastAsia="de-DE"/>
        </w:rPr>
        <w:t xml:space="preserve"> </w:t>
      </w:r>
      <w:r w:rsidR="000552E0">
        <w:rPr>
          <w:b/>
          <w:bCs/>
          <w:lang w:eastAsia="de-DE"/>
        </w:rPr>
        <w:t>around 5.5</w:t>
      </w:r>
      <w:r w:rsidRPr="00BD17B6">
        <w:rPr>
          <w:b/>
          <w:bCs/>
          <w:lang w:eastAsia="de-DE"/>
        </w:rPr>
        <w:t>%</w:t>
      </w:r>
      <w:r w:rsidRPr="0092475A">
        <w:rPr>
          <w:lang w:eastAsia="de-DE"/>
        </w:rPr>
        <w:t>. Given the volatility in global economic growth during this period</w:t>
      </w:r>
      <w:r w:rsidR="005A3A13">
        <w:rPr>
          <w:lang w:eastAsia="de-DE"/>
        </w:rPr>
        <w:t xml:space="preserve"> – </w:t>
      </w:r>
      <w:r w:rsidRPr="0092475A">
        <w:rPr>
          <w:lang w:eastAsia="de-DE"/>
        </w:rPr>
        <w:t xml:space="preserve">alongside </w:t>
      </w:r>
      <w:r w:rsidR="00CC5735">
        <w:rPr>
          <w:lang w:eastAsia="de-DE"/>
        </w:rPr>
        <w:t>the energy-crisis</w:t>
      </w:r>
      <w:r w:rsidRPr="0092475A">
        <w:rPr>
          <w:lang w:eastAsia="de-DE"/>
        </w:rPr>
        <w:t xml:space="preserve"> influencing energy and electricity usage</w:t>
      </w:r>
      <w:r w:rsidR="005A3A13">
        <w:rPr>
          <w:lang w:eastAsia="de-DE"/>
        </w:rPr>
        <w:t xml:space="preserve"> </w:t>
      </w:r>
      <w:r w:rsidR="00CC5735">
        <w:rPr>
          <w:lang w:eastAsia="de-DE"/>
        </w:rPr>
        <w:t>in Uzbekistan</w:t>
      </w:r>
      <w:r w:rsidR="005A3A13">
        <w:rPr>
          <w:lang w:eastAsia="de-DE"/>
        </w:rPr>
        <w:t xml:space="preserve"> – </w:t>
      </w:r>
      <w:r w:rsidRPr="0092475A">
        <w:rPr>
          <w:lang w:eastAsia="de-DE"/>
        </w:rPr>
        <w:t>these results enhance confidence in the model’s ability to forecast demand effectively under evolving future scenarios.</w:t>
      </w:r>
      <w:r w:rsidR="004A3839" w:rsidRPr="004A3839">
        <w:t xml:space="preserve"> </w:t>
      </w:r>
    </w:p>
    <w:p w14:paraId="133C763E" w14:textId="10970514" w:rsidR="004A3839" w:rsidRDefault="004A3839" w:rsidP="004A3839">
      <w:pPr>
        <w:spacing w:before="260" w:line="240" w:lineRule="auto"/>
        <w:jc w:val="left"/>
      </w:pPr>
      <w:r w:rsidRPr="001C72A2">
        <w:t xml:space="preserve">The </w:t>
      </w:r>
      <w:r w:rsidRPr="00663920">
        <w:rPr>
          <w:b/>
          <w:bCs/>
        </w:rPr>
        <w:t>comparison with external forecasts</w:t>
      </w:r>
      <w:r w:rsidR="0069475F">
        <w:rPr>
          <w:b/>
          <w:bCs/>
        </w:rPr>
        <w:t xml:space="preserve">, </w:t>
      </w:r>
      <w:r w:rsidR="0069475F" w:rsidRPr="0069475F">
        <w:t>visualised in</w:t>
      </w:r>
      <w:r w:rsidR="0069475F">
        <w:rPr>
          <w:b/>
          <w:bCs/>
        </w:rPr>
        <w:t xml:space="preserve"> </w:t>
      </w:r>
      <w:r w:rsidR="0069475F">
        <w:rPr>
          <w:b/>
          <w:bCs/>
        </w:rPr>
        <w:fldChar w:fldCharType="begin"/>
      </w:r>
      <w:r w:rsidR="0069475F">
        <w:rPr>
          <w:b/>
          <w:bCs/>
        </w:rPr>
        <w:instrText xml:space="preserve"> REF _Ref180764393 \h </w:instrText>
      </w:r>
      <w:r w:rsidR="0069475F">
        <w:rPr>
          <w:b/>
          <w:bCs/>
        </w:rPr>
      </w:r>
      <w:r w:rsidR="0069475F">
        <w:rPr>
          <w:b/>
          <w:bCs/>
        </w:rPr>
        <w:fldChar w:fldCharType="separate"/>
      </w:r>
      <w:r w:rsidR="0069475F" w:rsidRPr="00E174C4">
        <w:rPr>
          <w:rFonts w:cs="calibri light (Überschriften)"/>
          <w:bCs/>
          <w:color w:val="104C91"/>
        </w:rPr>
        <w:t xml:space="preserve">Figure </w:t>
      </w:r>
      <w:r w:rsidR="0069475F">
        <w:rPr>
          <w:rFonts w:cs="calibri light (Überschriften)"/>
          <w:bCs/>
          <w:noProof/>
          <w:color w:val="104C91"/>
        </w:rPr>
        <w:t>7</w:t>
      </w:r>
      <w:r w:rsidR="0069475F">
        <w:rPr>
          <w:b/>
          <w:bCs/>
        </w:rPr>
        <w:fldChar w:fldCharType="end"/>
      </w:r>
      <w:r w:rsidRPr="001C72A2">
        <w:t xml:space="preserve"> reveals that both the "Steady growth" and "Sectoral expansion" models align closely with </w:t>
      </w:r>
      <w:r>
        <w:t xml:space="preserve">2030 </w:t>
      </w:r>
      <w:r w:rsidRPr="001C72A2">
        <w:t xml:space="preserve">projections from the Ministry of Energy (120.8 TWh) and the conservative EPPEI scenario (118.2 TWh). The “Tariff impact” variant, however, </w:t>
      </w:r>
      <w:r w:rsidRPr="001C6261">
        <w:t>based on Uzbekistan's tariff reform</w:t>
      </w:r>
      <w:r>
        <w:t xml:space="preserve"> – </w:t>
      </w:r>
      <w:r w:rsidRPr="001C6261">
        <w:t>announced and implemented after the two external forecasts were produced</w:t>
      </w:r>
      <w:r>
        <w:t xml:space="preserve"> – </w:t>
      </w:r>
      <w:r w:rsidRPr="001C72A2">
        <w:t>projects a more conservative demand estimate</w:t>
      </w:r>
      <w:r>
        <w:t xml:space="preserve">, </w:t>
      </w:r>
      <w:r w:rsidRPr="001C72A2">
        <w:t>reflecting moderating effects from assumed real electricity tariff increases.</w:t>
      </w:r>
      <w:r>
        <w:t xml:space="preserve"> </w:t>
      </w:r>
    </w:p>
    <w:p w14:paraId="6C8F24EE" w14:textId="1190E67E" w:rsidR="0092475A" w:rsidRDefault="0092475A" w:rsidP="000228FE">
      <w:pPr>
        <w:spacing w:before="260" w:line="240" w:lineRule="auto"/>
        <w:jc w:val="left"/>
        <w:rPr>
          <w:lang w:eastAsia="de-DE"/>
        </w:rPr>
      </w:pPr>
    </w:p>
    <w:p w14:paraId="17721962" w14:textId="26515EEC" w:rsidR="00396CB1" w:rsidRPr="004F7847" w:rsidRDefault="00E174C4" w:rsidP="00E337E7">
      <w:pPr>
        <w:pStyle w:val="Beschriftung"/>
        <w:ind w:left="0" w:firstLine="0"/>
        <w:rPr>
          <w:rFonts w:cs="calibri light (Überschriften)"/>
          <w:color w:val="104C91"/>
          <w:lang w:val="en-GB"/>
        </w:rPr>
      </w:pPr>
      <w:bookmarkStart w:id="24" w:name="_Ref180764393"/>
      <w:r w:rsidRPr="00E174C4">
        <w:rPr>
          <w:rFonts w:cs="calibri light (Überschriften)"/>
          <w:b w:val="0"/>
          <w:bCs/>
          <w:color w:val="104C91"/>
          <w:sz w:val="22"/>
          <w:lang w:val="en-GB"/>
        </w:rPr>
        <w:lastRenderedPageBreak/>
        <w:t xml:space="preserve">Figure </w:t>
      </w:r>
      <w:r w:rsidRPr="00E174C4">
        <w:rPr>
          <w:rFonts w:cs="calibri light (Überschriften)"/>
          <w:b w:val="0"/>
          <w:bCs/>
          <w:color w:val="104C91"/>
          <w:sz w:val="22"/>
          <w:lang w:val="en-GB"/>
        </w:rPr>
        <w:fldChar w:fldCharType="begin"/>
      </w:r>
      <w:r w:rsidRPr="00E174C4">
        <w:rPr>
          <w:rFonts w:cs="calibri light (Überschriften)"/>
          <w:b w:val="0"/>
          <w:bCs/>
          <w:color w:val="104C91"/>
          <w:sz w:val="22"/>
          <w:lang w:val="en-GB"/>
        </w:rPr>
        <w:instrText xml:space="preserve"> SEQ Figure \* ARABIC </w:instrText>
      </w:r>
      <w:r w:rsidRPr="00E174C4">
        <w:rPr>
          <w:rFonts w:cs="calibri light (Überschriften)"/>
          <w:b w:val="0"/>
          <w:bCs/>
          <w:color w:val="104C91"/>
          <w:sz w:val="22"/>
          <w:lang w:val="en-GB"/>
        </w:rPr>
        <w:fldChar w:fldCharType="separate"/>
      </w:r>
      <w:r w:rsidR="002401AF">
        <w:rPr>
          <w:rFonts w:cs="calibri light (Überschriften)"/>
          <w:b w:val="0"/>
          <w:bCs/>
          <w:noProof/>
          <w:color w:val="104C91"/>
          <w:sz w:val="22"/>
          <w:lang w:val="en-GB"/>
        </w:rPr>
        <w:t>7</w:t>
      </w:r>
      <w:r w:rsidRPr="00E174C4">
        <w:rPr>
          <w:rFonts w:cs="calibri light (Überschriften)"/>
          <w:b w:val="0"/>
          <w:bCs/>
          <w:color w:val="104C91"/>
          <w:sz w:val="22"/>
          <w:lang w:val="en-GB"/>
        </w:rPr>
        <w:fldChar w:fldCharType="end"/>
      </w:r>
      <w:bookmarkEnd w:id="24"/>
      <w:r w:rsidRPr="00E174C4">
        <w:rPr>
          <w:rFonts w:cs="calibri light (Überschriften)"/>
          <w:b w:val="0"/>
          <w:bCs/>
          <w:color w:val="104C91"/>
          <w:sz w:val="22"/>
          <w:lang w:val="en-GB"/>
        </w:rPr>
        <w:t xml:space="preserve">: Forecast comparison for </w:t>
      </w:r>
      <w:r w:rsidR="000F3668">
        <w:rPr>
          <w:rFonts w:cs="calibri light (Überschriften)"/>
          <w:b w:val="0"/>
          <w:bCs/>
          <w:color w:val="104C91"/>
          <w:sz w:val="22"/>
          <w:lang w:val="en-GB"/>
        </w:rPr>
        <w:t xml:space="preserve">annual </w:t>
      </w:r>
      <w:r w:rsidRPr="00E174C4">
        <w:rPr>
          <w:rFonts w:cs="calibri light (Überschriften)"/>
          <w:b w:val="0"/>
          <w:bCs/>
          <w:color w:val="104C91"/>
          <w:sz w:val="22"/>
          <w:lang w:val="en-GB"/>
        </w:rPr>
        <w:t>consumption and peak load</w:t>
      </w:r>
    </w:p>
    <w:p w14:paraId="3F4D6827" w14:textId="4FB8CED7" w:rsidR="00AC6433" w:rsidRDefault="00AF59F2" w:rsidP="00396CB1">
      <w:pPr>
        <w:spacing w:before="260"/>
        <w:rPr>
          <w:rFonts w:cs="calibri light (Überschriften)"/>
          <w:bCs/>
          <w:color w:val="104C91"/>
          <w:szCs w:val="20"/>
          <w:lang w:eastAsia="de-DE"/>
        </w:rPr>
      </w:pPr>
      <w:r>
        <w:rPr>
          <w:noProof/>
        </w:rPr>
        <mc:AlternateContent>
          <mc:Choice Requires="wpg">
            <w:drawing>
              <wp:inline distT="0" distB="0" distL="0" distR="0" wp14:anchorId="7FE4011E" wp14:editId="75097DC1">
                <wp:extent cx="4611359" cy="2741364"/>
                <wp:effectExtent l="0" t="0" r="0" b="1905"/>
                <wp:docPr id="28" name="Group 27">
                  <a:extLst xmlns:a="http://schemas.openxmlformats.org/drawingml/2006/main">
                    <a:ext uri="{FF2B5EF4-FFF2-40B4-BE49-F238E27FC236}">
                      <a16:creationId xmlns:a16="http://schemas.microsoft.com/office/drawing/2014/main" id="{9923C36B-C1BE-2DB2-9843-82DDC462248A}"/>
                    </a:ext>
                  </a:extLst>
                </wp:docPr>
                <wp:cNvGraphicFramePr/>
                <a:graphic xmlns:a="http://schemas.openxmlformats.org/drawingml/2006/main">
                  <a:graphicData uri="http://schemas.microsoft.com/office/word/2010/wordprocessingGroup">
                    <wpg:wgp>
                      <wpg:cNvGrpSpPr/>
                      <wpg:grpSpPr>
                        <a:xfrm>
                          <a:off x="0" y="0"/>
                          <a:ext cx="4611359" cy="2741364"/>
                          <a:chOff x="0" y="0"/>
                          <a:chExt cx="4603642" cy="2735418"/>
                        </a:xfrm>
                      </wpg:grpSpPr>
                      <wpg:grpSp>
                        <wpg:cNvPr id="879339946" name="Group 879339946">
                          <a:extLst>
                            <a:ext uri="{FF2B5EF4-FFF2-40B4-BE49-F238E27FC236}">
                              <a16:creationId xmlns:a16="http://schemas.microsoft.com/office/drawing/2014/main" id="{E220DAFE-FB26-37A0-AEA6-45369EA99A74}"/>
                            </a:ext>
                          </a:extLst>
                        </wpg:cNvPr>
                        <wpg:cNvGrpSpPr/>
                        <wpg:grpSpPr>
                          <a:xfrm>
                            <a:off x="0" y="0"/>
                            <a:ext cx="4603642" cy="2735418"/>
                            <a:chOff x="0" y="0"/>
                            <a:chExt cx="4603642" cy="2735418"/>
                          </a:xfrm>
                        </wpg:grpSpPr>
                        <wpg:grpSp>
                          <wpg:cNvPr id="1915976755" name="Group 1915976755">
                            <a:extLst>
                              <a:ext uri="{FF2B5EF4-FFF2-40B4-BE49-F238E27FC236}">
                                <a16:creationId xmlns:a16="http://schemas.microsoft.com/office/drawing/2014/main" id="{4CB3C0B5-E9AC-5574-29BB-ACCB270D78C8}"/>
                              </a:ext>
                            </a:extLst>
                          </wpg:cNvPr>
                          <wpg:cNvGrpSpPr/>
                          <wpg:grpSpPr>
                            <a:xfrm>
                              <a:off x="0" y="0"/>
                              <a:ext cx="4603642" cy="2735418"/>
                              <a:chOff x="0" y="0"/>
                              <a:chExt cx="4603642" cy="2735418"/>
                            </a:xfrm>
                          </wpg:grpSpPr>
                          <wpg:grpSp>
                            <wpg:cNvPr id="1212896457" name="Group 1212896457">
                              <a:extLst>
                                <a:ext uri="{FF2B5EF4-FFF2-40B4-BE49-F238E27FC236}">
                                  <a16:creationId xmlns:a16="http://schemas.microsoft.com/office/drawing/2014/main" id="{0E6D7BAB-571C-E7AB-0FAB-FA787BEA3952}"/>
                                </a:ext>
                              </a:extLst>
                            </wpg:cNvPr>
                            <wpg:cNvGrpSpPr/>
                            <wpg:grpSpPr>
                              <a:xfrm>
                                <a:off x="0" y="0"/>
                                <a:ext cx="4603642" cy="2735418"/>
                                <a:chOff x="0" y="0"/>
                                <a:chExt cx="4603642" cy="2735418"/>
                              </a:xfrm>
                            </wpg:grpSpPr>
                            <wpg:graphicFrame>
                              <wpg:cNvPr id="563060884" name="Chart 563060884">
                                <a:extLst>
                                  <a:ext uri="{FF2B5EF4-FFF2-40B4-BE49-F238E27FC236}">
                                    <a16:creationId xmlns:a16="http://schemas.microsoft.com/office/drawing/2014/main" id="{47DA260B-EAF5-41A7-A891-B9B8D74E1DF9}"/>
                                  </a:ext>
                                </a:extLst>
                              </wpg:cNvPr>
                              <wpg:cNvFrPr>
                                <a:graphicFrameLocks/>
                              </wpg:cNvFrPr>
                              <wpg:xfrm>
                                <a:off x="0" y="20748"/>
                                <a:ext cx="4603642" cy="2714670"/>
                              </wpg:xfrm>
                              <a:graphic>
                                <a:graphicData uri="http://schemas.openxmlformats.org/drawingml/2006/chart">
                                  <c:chart xmlns:c="http://schemas.openxmlformats.org/drawingml/2006/chart" xmlns:r="http://schemas.openxmlformats.org/officeDocument/2006/relationships" r:id="rId28"/>
                                </a:graphicData>
                              </a:graphic>
                            </wpg:graphicFrame>
                            <wpg:graphicFrame>
                              <wpg:cNvPr id="1392181103" name="Chart 1392181103">
                                <a:extLst>
                                  <a:ext uri="{FF2B5EF4-FFF2-40B4-BE49-F238E27FC236}">
                                    <a16:creationId xmlns:a16="http://schemas.microsoft.com/office/drawing/2014/main" id="{3B56E971-88D9-4A78-88E1-8CC45588F31D}"/>
                                  </a:ext>
                                </a:extLst>
                              </wpg:cNvPr>
                              <wpg:cNvFrPr>
                                <a:graphicFrameLocks/>
                              </wpg:cNvFrPr>
                              <wpg:xfrm>
                                <a:off x="2378029" y="0"/>
                                <a:ext cx="2147789" cy="2429900"/>
                              </wpg:xfrm>
                              <a:graphic>
                                <a:graphicData uri="http://schemas.openxmlformats.org/drawingml/2006/chart">
                                  <c:chart xmlns:c="http://schemas.openxmlformats.org/drawingml/2006/chart" xmlns:r="http://schemas.openxmlformats.org/officeDocument/2006/relationships" r:id="rId29"/>
                                </a:graphicData>
                              </a:graphic>
                            </wpg:graphicFrame>
                          </wpg:grpSp>
                          <wps:wsp>
                            <wps:cNvPr id="1828355716" name="TextBox 21">
                              <a:extLst>
                                <a:ext uri="{FF2B5EF4-FFF2-40B4-BE49-F238E27FC236}">
                                  <a16:creationId xmlns:a16="http://schemas.microsoft.com/office/drawing/2014/main" id="{1CDB0E17-AA7D-A383-8C5B-90D0D9DFE9D5}"/>
                                </a:ext>
                              </a:extLst>
                            </wps:cNvPr>
                            <wps:cNvSpPr txBox="1"/>
                            <wps:spPr>
                              <a:xfrm>
                                <a:off x="402702" y="164691"/>
                                <a:ext cx="269393" cy="169334"/>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54BBCB02" w14:textId="77777777" w:rsidR="00AF59F2" w:rsidRDefault="00AF59F2" w:rsidP="00AF59F2">
                                  <w:pPr>
                                    <w:rPr>
                                      <w:rFonts w:asciiTheme="minorHAnsi" w:cstheme="minorBidi"/>
                                      <w:color w:val="7A7A7A"/>
                                      <w:kern w:val="24"/>
                                      <w:sz w:val="20"/>
                                      <w:szCs w:val="20"/>
                                    </w:rPr>
                                  </w:pPr>
                                  <w:r>
                                    <w:rPr>
                                      <w:rFonts w:asciiTheme="minorHAnsi" w:cstheme="minorBidi"/>
                                      <w:color w:val="7A7A7A"/>
                                      <w:kern w:val="24"/>
                                      <w:sz w:val="20"/>
                                      <w:szCs w:val="20"/>
                                    </w:rPr>
                                    <w:t>TWh</w:t>
                                  </w:r>
                                </w:p>
                              </w:txbxContent>
                            </wps:txbx>
                            <wps:bodyPr wrap="square" lIns="0" tIns="0" rIns="0" bIns="0" rtlCol="0" anchor="t"/>
                          </wps:wsp>
                          <wps:wsp>
                            <wps:cNvPr id="748646302" name="TextBox 22">
                              <a:extLst>
                                <a:ext uri="{FF2B5EF4-FFF2-40B4-BE49-F238E27FC236}">
                                  <a16:creationId xmlns:a16="http://schemas.microsoft.com/office/drawing/2014/main" id="{2451959D-559D-4F7A-AE8D-B74AA0F738E6}"/>
                                </a:ext>
                              </a:extLst>
                            </wps:cNvPr>
                            <wps:cNvSpPr txBox="1"/>
                            <wps:spPr>
                              <a:xfrm>
                                <a:off x="2697489" y="140790"/>
                                <a:ext cx="269393" cy="169334"/>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367EB43" w14:textId="77777777" w:rsidR="00AF59F2" w:rsidRDefault="00AF59F2" w:rsidP="00AF59F2">
                                  <w:pPr>
                                    <w:rPr>
                                      <w:rFonts w:asciiTheme="minorHAnsi" w:cstheme="minorBidi"/>
                                      <w:color w:val="7A7A7A"/>
                                      <w:kern w:val="24"/>
                                      <w:sz w:val="20"/>
                                      <w:szCs w:val="20"/>
                                    </w:rPr>
                                  </w:pPr>
                                  <w:r>
                                    <w:rPr>
                                      <w:rFonts w:asciiTheme="minorHAnsi" w:cstheme="minorBidi"/>
                                      <w:color w:val="7A7A7A"/>
                                      <w:kern w:val="24"/>
                                      <w:sz w:val="20"/>
                                      <w:szCs w:val="20"/>
                                    </w:rPr>
                                    <w:t>GW</w:t>
                                  </w:r>
                                </w:p>
                              </w:txbxContent>
                            </wps:txbx>
                            <wps:bodyPr wrap="square" lIns="0" tIns="0" rIns="0" bIns="0" rtlCol="0" anchor="t"/>
                          </wps:wsp>
                        </wpg:grpSp>
                        <wps:wsp>
                          <wps:cNvPr id="569526220" name="TextBox 25">
                            <a:extLst>
                              <a:ext uri="{FF2B5EF4-FFF2-40B4-BE49-F238E27FC236}">
                                <a16:creationId xmlns:a16="http://schemas.microsoft.com/office/drawing/2014/main" id="{A28BC188-3653-408E-A941-A4654EF58CD5}"/>
                              </a:ext>
                            </a:extLst>
                          </wps:cNvPr>
                          <wps:cNvSpPr txBox="1"/>
                          <wps:spPr>
                            <a:xfrm>
                              <a:off x="3031068" y="67732"/>
                              <a:ext cx="1162242" cy="20547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4B93386" w14:textId="77777777" w:rsidR="00AF59F2" w:rsidRDefault="00AF59F2" w:rsidP="00AF59F2">
                                <w:pPr>
                                  <w:jc w:val="center"/>
                                  <w:rPr>
                                    <w:rFonts w:asciiTheme="minorHAnsi" w:cstheme="minorBidi"/>
                                    <w:color w:val="7A7A7A"/>
                                    <w:kern w:val="24"/>
                                    <w:sz w:val="20"/>
                                    <w:szCs w:val="20"/>
                                  </w:rPr>
                                </w:pPr>
                                <w:r w:rsidRPr="00DF5F27">
                                  <w:rPr>
                                    <w:rFonts w:asciiTheme="minorHAnsi" w:cstheme="minorBidi"/>
                                    <w:color w:val="7A7A7A"/>
                                    <w:kern w:val="24"/>
                                    <w:sz w:val="21"/>
                                    <w:szCs w:val="21"/>
                                  </w:rPr>
                                  <w:t>Peak</w:t>
                                </w:r>
                                <w:r>
                                  <w:rPr>
                                    <w:rFonts w:asciiTheme="minorHAnsi" w:cstheme="minorBidi"/>
                                    <w:color w:val="7A7A7A"/>
                                    <w:kern w:val="24"/>
                                    <w:sz w:val="20"/>
                                    <w:szCs w:val="20"/>
                                  </w:rPr>
                                  <w:t xml:space="preserve"> </w:t>
                                </w:r>
                                <w:r>
                                  <w:rPr>
                                    <w:rFonts w:asciiTheme="minorHAnsi" w:cstheme="minorBidi"/>
                                    <w:color w:val="7A7A7A"/>
                                    <w:kern w:val="24"/>
                                    <w:sz w:val="21"/>
                                    <w:szCs w:val="21"/>
                                  </w:rPr>
                                  <w:t>load</w:t>
                                </w:r>
                              </w:p>
                            </w:txbxContent>
                          </wps:txbx>
                          <wps:bodyPr wrap="square" lIns="0" tIns="0" rIns="0" bIns="0" rtlCol="0" anchor="t"/>
                        </wps:wsp>
                      </wpg:grpSp>
                      <wps:wsp>
                        <wps:cNvPr id="1871825341" name="TextBox 24">
                          <a:extLst>
                            <a:ext uri="{FF2B5EF4-FFF2-40B4-BE49-F238E27FC236}">
                              <a16:creationId xmlns:a16="http://schemas.microsoft.com/office/drawing/2014/main" id="{F8EA80CF-42EC-414E-9B4B-BAABFA5FB94B}"/>
                            </a:ext>
                          </a:extLst>
                        </wps:cNvPr>
                        <wps:cNvSpPr txBox="1"/>
                        <wps:spPr>
                          <a:xfrm>
                            <a:off x="715819" y="46181"/>
                            <a:ext cx="1162242" cy="20547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FFA4869" w14:textId="31E79094" w:rsidR="00AF59F2" w:rsidRDefault="00DF5F27" w:rsidP="00AF59F2">
                              <w:pPr>
                                <w:jc w:val="center"/>
                                <w:rPr>
                                  <w:rFonts w:asciiTheme="minorHAnsi" w:cstheme="minorBidi"/>
                                  <w:color w:val="7A7A7A"/>
                                  <w:kern w:val="24"/>
                                  <w:sz w:val="20"/>
                                  <w:szCs w:val="20"/>
                                </w:rPr>
                              </w:pPr>
                              <w:r w:rsidRPr="00DF5F27">
                                <w:rPr>
                                  <w:rFonts w:asciiTheme="minorHAnsi" w:cstheme="minorBidi"/>
                                  <w:color w:val="7A7A7A"/>
                                  <w:kern w:val="24"/>
                                  <w:sz w:val="21"/>
                                  <w:szCs w:val="21"/>
                                </w:rPr>
                                <w:t>Annual</w:t>
                              </w:r>
                              <w:r w:rsidR="00AF59F2">
                                <w:rPr>
                                  <w:rFonts w:asciiTheme="minorHAnsi" w:cstheme="minorBidi"/>
                                  <w:color w:val="7A7A7A"/>
                                  <w:kern w:val="24"/>
                                  <w:sz w:val="20"/>
                                  <w:szCs w:val="20"/>
                                </w:rPr>
                                <w:t xml:space="preserve"> </w:t>
                              </w:r>
                              <w:r w:rsidR="00AF59F2">
                                <w:rPr>
                                  <w:rFonts w:asciiTheme="minorHAnsi" w:cstheme="minorBidi"/>
                                  <w:color w:val="7A7A7A"/>
                                  <w:kern w:val="24"/>
                                  <w:sz w:val="21"/>
                                  <w:szCs w:val="21"/>
                                </w:rPr>
                                <w:t>consumption</w:t>
                              </w:r>
                            </w:p>
                          </w:txbxContent>
                        </wps:txbx>
                        <wps:bodyPr wrap="square" lIns="0" tIns="0" rIns="0" bIns="0" rtlCol="0" anchor="t"/>
                      </wps:wsp>
                    </wpg:wgp>
                  </a:graphicData>
                </a:graphic>
              </wp:inline>
            </w:drawing>
          </mc:Choice>
          <mc:Fallback>
            <w:pict>
              <v:group w14:anchorId="7FE4011E" id="Group 27" o:spid="_x0000_s1040" style="width:363.1pt;height:215.85pt;mso-position-horizontal-relative:char;mso-position-vertical-relative:line" coordsize="46036,27354"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">
                <v:group id="Group 879339946" o:spid="_x0000_s1041" style="position:absolute;width:46036;height:27354" coordsize="46036,2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">
                  <v:group id="Group 1915976755" o:spid="_x0000_s1042" style="position:absolute;width:46036;height:27354" coordsize="46036,2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">
                    <v:group id="Group 1212896457" o:spid="_x0000_s1043" style="position:absolute;width:46036;height:27354" coordsize="46036,2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">
                      <v:shape id="Chart 563060884" o:spid="_x0000_s1044" type="#_x0000_t75" style="position:absolute;top:182;width:46008;height:271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">
                        <v:imagedata r:id="rId30" o:title=""/>
                        <o:lock v:ext="edit" aspectratio="f"/>
                      </v:shape>
                      <v:shape id="Chart 1392181103" o:spid="_x0000_s1045" type="#_x0000_t75" style="position:absolute;left:23856;top:1703;width:21422;height:220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">
                        <v:imagedata r:id="rId31" o:title=""/>
                        <o:lock v:ext="edit" aspectratio="f"/>
                      </v:shape>
                    </v:group>
                    <v:shape id="TextBox 21" o:spid="_x0000_s1046" type="#_x0000_t202" style="position:absolute;left:4027;top:1646;width:2693;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" filled="f" stroked="f">
                      <v:textbox inset="0,0,0,0">
                        <w:txbxContent>
                          <w:p w14:paraId="54BBCB02" w14:textId="77777777" w:rsidR="00AF59F2" w:rsidRDefault="00AF59F2" w:rsidP="00AF59F2">
                            <w:pPr>
                              <w:rPr>
                                <w:rFonts w:asciiTheme="minorHAnsi" w:cstheme="minorBidi"/>
                                <w:color w:val="7A7A7A"/>
                                <w:kern w:val="24"/>
                                <w:sz w:val="20"/>
                                <w:szCs w:val="20"/>
                              </w:rPr>
                            </w:pPr>
                            <w:r>
                              <w:rPr>
                                <w:rFonts w:asciiTheme="minorHAnsi" w:cstheme="minorBidi"/>
                                <w:color w:val="7A7A7A"/>
                                <w:kern w:val="24"/>
                                <w:sz w:val="20"/>
                                <w:szCs w:val="20"/>
                              </w:rPr>
                              <w:t>TWh</w:t>
                            </w:r>
                          </w:p>
                        </w:txbxContent>
                      </v:textbox>
                    </v:shape>
                    <v:shape id="TextBox 22" o:spid="_x0000_s1047" type="#_x0000_t202" style="position:absolute;left:26974;top:1407;width:2694;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" filled="f" stroked="f">
                      <v:textbox inset="0,0,0,0">
                        <w:txbxContent>
                          <w:p w14:paraId="4367EB43" w14:textId="77777777" w:rsidR="00AF59F2" w:rsidRDefault="00AF59F2" w:rsidP="00AF59F2">
                            <w:pPr>
                              <w:rPr>
                                <w:rFonts w:asciiTheme="minorHAnsi" w:cstheme="minorBidi"/>
                                <w:color w:val="7A7A7A"/>
                                <w:kern w:val="24"/>
                                <w:sz w:val="20"/>
                                <w:szCs w:val="20"/>
                              </w:rPr>
                            </w:pPr>
                            <w:r>
                              <w:rPr>
                                <w:rFonts w:asciiTheme="minorHAnsi" w:cstheme="minorBidi"/>
                                <w:color w:val="7A7A7A"/>
                                <w:kern w:val="24"/>
                                <w:sz w:val="20"/>
                                <w:szCs w:val="20"/>
                              </w:rPr>
                              <w:t>GW</w:t>
                            </w:r>
                          </w:p>
                        </w:txbxContent>
                      </v:textbox>
                    </v:shape>
                  </v:group>
                  <v:shape id="TextBox 25" o:spid="_x0000_s1048" type="#_x0000_t202" style="position:absolute;left:30310;top:677;width:11623;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" filled="f" stroked="f">
                    <v:textbox inset="0,0,0,0">
                      <w:txbxContent>
                        <w:p w14:paraId="04B93386" w14:textId="77777777" w:rsidR="00AF59F2" w:rsidRDefault="00AF59F2" w:rsidP="00AF59F2">
                          <w:pPr>
                            <w:jc w:val="center"/>
                            <w:rPr>
                              <w:rFonts w:asciiTheme="minorHAnsi" w:cstheme="minorBidi"/>
                              <w:color w:val="7A7A7A"/>
                              <w:kern w:val="24"/>
                              <w:sz w:val="20"/>
                              <w:szCs w:val="20"/>
                            </w:rPr>
                          </w:pPr>
                          <w:r w:rsidRPr="00DF5F27">
                            <w:rPr>
                              <w:rFonts w:asciiTheme="minorHAnsi" w:cstheme="minorBidi"/>
                              <w:color w:val="7A7A7A"/>
                              <w:kern w:val="24"/>
                              <w:sz w:val="21"/>
                              <w:szCs w:val="21"/>
                            </w:rPr>
                            <w:t>Peak</w:t>
                          </w:r>
                          <w:r>
                            <w:rPr>
                              <w:rFonts w:asciiTheme="minorHAnsi" w:cstheme="minorBidi"/>
                              <w:color w:val="7A7A7A"/>
                              <w:kern w:val="24"/>
                              <w:sz w:val="20"/>
                              <w:szCs w:val="20"/>
                            </w:rPr>
                            <w:t xml:space="preserve"> </w:t>
                          </w:r>
                          <w:r>
                            <w:rPr>
                              <w:rFonts w:asciiTheme="minorHAnsi" w:cstheme="minorBidi"/>
                              <w:color w:val="7A7A7A"/>
                              <w:kern w:val="24"/>
                              <w:sz w:val="21"/>
                              <w:szCs w:val="21"/>
                            </w:rPr>
                            <w:t>load</w:t>
                          </w:r>
                        </w:p>
                      </w:txbxContent>
                    </v:textbox>
                  </v:shape>
                </v:group>
                <v:shape id="TextBox 24" o:spid="_x0000_s1049" type="#_x0000_t202" style="position:absolute;left:7158;top:461;width:1162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" filled="f" stroked="f">
                  <v:textbox inset="0,0,0,0">
                    <w:txbxContent>
                      <w:p w14:paraId="4FFA4869" w14:textId="31E79094" w:rsidR="00AF59F2" w:rsidRDefault="00DF5F27" w:rsidP="00AF59F2">
                        <w:pPr>
                          <w:jc w:val="center"/>
                          <w:rPr>
                            <w:rFonts w:asciiTheme="minorHAnsi" w:cstheme="minorBidi"/>
                            <w:color w:val="7A7A7A"/>
                            <w:kern w:val="24"/>
                            <w:sz w:val="20"/>
                            <w:szCs w:val="20"/>
                          </w:rPr>
                        </w:pPr>
                        <w:r w:rsidRPr="00DF5F27">
                          <w:rPr>
                            <w:rFonts w:asciiTheme="minorHAnsi" w:cstheme="minorBidi"/>
                            <w:color w:val="7A7A7A"/>
                            <w:kern w:val="24"/>
                            <w:sz w:val="21"/>
                            <w:szCs w:val="21"/>
                          </w:rPr>
                          <w:t>Annual</w:t>
                        </w:r>
                        <w:r w:rsidR="00AF59F2">
                          <w:rPr>
                            <w:rFonts w:asciiTheme="minorHAnsi" w:cstheme="minorBidi"/>
                            <w:color w:val="7A7A7A"/>
                            <w:kern w:val="24"/>
                            <w:sz w:val="20"/>
                            <w:szCs w:val="20"/>
                          </w:rPr>
                          <w:t xml:space="preserve"> </w:t>
                        </w:r>
                        <w:r w:rsidR="00AF59F2">
                          <w:rPr>
                            <w:rFonts w:asciiTheme="minorHAnsi" w:cstheme="minorBidi"/>
                            <w:color w:val="7A7A7A"/>
                            <w:kern w:val="24"/>
                            <w:sz w:val="21"/>
                            <w:szCs w:val="21"/>
                          </w:rPr>
                          <w:t>consumption</w:t>
                        </w:r>
                      </w:p>
                    </w:txbxContent>
                  </v:textbox>
                </v:shape>
                <w10:anchorlock/>
              </v:group>
            </w:pict>
          </mc:Fallback>
        </mc:AlternateContent>
      </w:r>
    </w:p>
    <w:p w14:paraId="0F448AF6" w14:textId="060F39CA" w:rsidR="00396CB1" w:rsidRPr="00B5296F" w:rsidRDefault="00396CB1" w:rsidP="00396CB1">
      <w:pPr>
        <w:pStyle w:val="Fliesstext"/>
        <w:spacing w:line="240" w:lineRule="auto"/>
        <w:jc w:val="both"/>
        <w:rPr>
          <w:rFonts w:cs="Calibri"/>
          <w:i/>
          <w:iCs/>
          <w:color w:val="ADADAD"/>
          <w:sz w:val="18"/>
          <w:szCs w:val="18"/>
        </w:rPr>
      </w:pPr>
      <w:r w:rsidRPr="00CF1329">
        <w:rPr>
          <w:rFonts w:cs="Calibri"/>
          <w:i/>
          <w:iCs/>
          <w:color w:val="ADADAD"/>
          <w:sz w:val="18"/>
          <w:szCs w:val="18"/>
        </w:rPr>
        <w:t xml:space="preserve">Source: </w:t>
      </w:r>
      <w:r w:rsidR="00795E1A" w:rsidRPr="00191919">
        <w:rPr>
          <w:rFonts w:cs="Calibri"/>
          <w:i/>
          <w:iCs/>
          <w:color w:val="ADADAD"/>
          <w:sz w:val="18"/>
        </w:rPr>
        <w:t>CDC Energiya</w:t>
      </w:r>
      <w:r w:rsidR="00795E1A">
        <w:rPr>
          <w:rFonts w:cs="Calibri"/>
          <w:i/>
          <w:iCs/>
          <w:color w:val="ADADAD"/>
          <w:sz w:val="18"/>
        </w:rPr>
        <w:t xml:space="preserve"> (2023 data)</w:t>
      </w:r>
      <w:r w:rsidR="002C11D5">
        <w:rPr>
          <w:rFonts w:cs="Calibri"/>
          <w:i/>
          <w:iCs/>
          <w:color w:val="ADADAD"/>
          <w:sz w:val="18"/>
        </w:rPr>
        <w:t>;</w:t>
      </w:r>
      <w:r w:rsidR="00795E1A">
        <w:rPr>
          <w:rFonts w:cs="Calibri"/>
          <w:i/>
          <w:iCs/>
          <w:color w:val="ADADAD"/>
          <w:sz w:val="18"/>
        </w:rPr>
        <w:t xml:space="preserve"> </w:t>
      </w:r>
      <w:r w:rsidRPr="00CF1329">
        <w:rPr>
          <w:rFonts w:cs="Calibri"/>
          <w:i/>
          <w:iCs/>
          <w:color w:val="ADADAD"/>
          <w:sz w:val="18"/>
          <w:szCs w:val="18"/>
        </w:rPr>
        <w:t>Ministry of Energy</w:t>
      </w:r>
      <w:r>
        <w:rPr>
          <w:rFonts w:cs="Calibri"/>
          <w:i/>
          <w:iCs/>
          <w:color w:val="ADADAD"/>
          <w:sz w:val="18"/>
          <w:szCs w:val="18"/>
        </w:rPr>
        <w:t xml:space="preserve">, EPPEI </w:t>
      </w:r>
      <w:r w:rsidR="00CC2111">
        <w:rPr>
          <w:rFonts w:cs="Calibri"/>
          <w:i/>
          <w:iCs/>
          <w:color w:val="ADADAD"/>
          <w:sz w:val="18"/>
          <w:szCs w:val="18"/>
        </w:rPr>
        <w:t>“</w:t>
      </w:r>
      <w:r>
        <w:rPr>
          <w:rFonts w:cs="Calibri"/>
          <w:i/>
          <w:iCs/>
          <w:color w:val="ADADAD"/>
          <w:sz w:val="18"/>
          <w:szCs w:val="18"/>
        </w:rPr>
        <w:t>Power System Planning Study in Uzbekistan, 2024</w:t>
      </w:r>
      <w:r w:rsidR="00CC2111">
        <w:rPr>
          <w:rFonts w:cs="Calibri"/>
          <w:i/>
          <w:iCs/>
          <w:color w:val="ADADAD"/>
          <w:sz w:val="18"/>
          <w:szCs w:val="18"/>
        </w:rPr>
        <w:t>”</w:t>
      </w:r>
      <w:r w:rsidR="002C11D5">
        <w:rPr>
          <w:rFonts w:cs="Calibri"/>
          <w:i/>
          <w:iCs/>
          <w:color w:val="ADADAD"/>
          <w:sz w:val="18"/>
          <w:szCs w:val="18"/>
        </w:rPr>
        <w:t xml:space="preserve"> (external forecast range);</w:t>
      </w:r>
      <w:r w:rsidR="004A6AF5">
        <w:rPr>
          <w:rFonts w:cs="Calibri"/>
          <w:i/>
          <w:iCs/>
          <w:color w:val="ADADAD"/>
          <w:sz w:val="18"/>
          <w:szCs w:val="18"/>
        </w:rPr>
        <w:t xml:space="preserve"> own calculations</w:t>
      </w:r>
      <w:r w:rsidR="00A31C5E">
        <w:rPr>
          <w:rFonts w:cs="Calibri"/>
          <w:i/>
          <w:iCs/>
          <w:color w:val="ADADAD"/>
          <w:sz w:val="18"/>
          <w:szCs w:val="18"/>
        </w:rPr>
        <w:t xml:space="preserve"> (2030 and 2035 projections)</w:t>
      </w:r>
      <w:r>
        <w:rPr>
          <w:rFonts w:cs="Calibri"/>
          <w:i/>
          <w:iCs/>
          <w:color w:val="ADADAD"/>
          <w:sz w:val="18"/>
          <w:szCs w:val="18"/>
        </w:rPr>
        <w:t>.</w:t>
      </w:r>
      <w:r w:rsidR="00AF59F2">
        <w:rPr>
          <w:rFonts w:cs="Calibri"/>
          <w:i/>
          <w:iCs/>
          <w:color w:val="ADADAD"/>
          <w:sz w:val="18"/>
          <w:szCs w:val="18"/>
        </w:rPr>
        <w:t xml:space="preserve"> Note: </w:t>
      </w:r>
      <w:r w:rsidR="00B5296F">
        <w:rPr>
          <w:rFonts w:cs="Calibri"/>
          <w:i/>
          <w:iCs/>
          <w:color w:val="ADADAD"/>
          <w:sz w:val="18"/>
          <w:szCs w:val="18"/>
        </w:rPr>
        <w:t>The range includes external forecasts from the Ministry of Energy and EPPEI.</w:t>
      </w:r>
    </w:p>
    <w:p w14:paraId="69551187" w14:textId="729D2301" w:rsidR="00763D0A" w:rsidRDefault="00EE3F85" w:rsidP="00C91B15">
      <w:pPr>
        <w:spacing w:before="260" w:line="240" w:lineRule="auto"/>
        <w:jc w:val="left"/>
      </w:pPr>
      <w:r w:rsidRPr="00EE3F85">
        <w:t xml:space="preserve">Looking further to 2035, only the "Sectoral expansion" variant remains aligned with EPPEI’s most conservative projections. </w:t>
      </w:r>
      <w:r w:rsidR="00E60BE4" w:rsidRPr="00E60BE4">
        <w:t xml:space="preserve">This highlights the influence of differing assumptions on long-term electricity demand, particularly regarding GDP growth, electricity intensity, and sectoral electrification. </w:t>
      </w:r>
      <w:r w:rsidR="002D2177">
        <w:t xml:space="preserve">On electricity intensity, for example, EPPEI’s </w:t>
      </w:r>
      <w:r w:rsidR="00E60BE4">
        <w:t>“</w:t>
      </w:r>
      <w:r w:rsidR="002D2177">
        <w:t>accelerating</w:t>
      </w:r>
      <w:r w:rsidR="00E60BE4">
        <w:t>”</w:t>
      </w:r>
      <w:r w:rsidR="002D2177">
        <w:t xml:space="preserve"> scenario </w:t>
      </w:r>
      <w:r w:rsidR="005C68D3" w:rsidRPr="005C68D3">
        <w:t xml:space="preserve">anticipates that electricity demand will outpace GDP growth until 2035. In contrast, </w:t>
      </w:r>
      <w:r w:rsidR="005C68D3">
        <w:t>both</w:t>
      </w:r>
      <w:r w:rsidR="00C91B15">
        <w:t xml:space="preserve"> t</w:t>
      </w:r>
      <w:r w:rsidR="0020708D" w:rsidRPr="00EE3F85">
        <w:t>he "Steady growth" and "Sectoral expansion"</w:t>
      </w:r>
      <w:r w:rsidR="00C91B15">
        <w:t xml:space="preserve"> </w:t>
      </w:r>
      <w:r w:rsidR="0020708D" w:rsidRPr="00EE3F85">
        <w:t xml:space="preserve">variants </w:t>
      </w:r>
      <w:r w:rsidR="007634CB" w:rsidRPr="007634CB">
        <w:t>predict an initial phase of rapid electricity demand growth that surpasses GDP for several years</w:t>
      </w:r>
      <w:r w:rsidR="007C736D" w:rsidRPr="007C736D">
        <w:t xml:space="preserve">, followed by a slower rate of increase relative to GDP growth. </w:t>
      </w:r>
      <w:r w:rsidR="00112B8B" w:rsidRPr="00112B8B">
        <w:t>This trend mirrors the expected development path of middle-income countries, where initial industriali</w:t>
      </w:r>
      <w:r w:rsidR="00A545F6">
        <w:t>s</w:t>
      </w:r>
      <w:r w:rsidR="00112B8B" w:rsidRPr="00112B8B">
        <w:t>ation and sectoral electrification</w:t>
      </w:r>
      <w:r w:rsidR="00112B8B">
        <w:t xml:space="preserve"> – </w:t>
      </w:r>
      <w:r w:rsidR="00112B8B" w:rsidRPr="00112B8B">
        <w:t>especially in heavy industry and transport</w:t>
      </w:r>
      <w:r w:rsidR="00112B8B">
        <w:t xml:space="preserve"> – </w:t>
      </w:r>
      <w:r w:rsidR="00112B8B" w:rsidRPr="00112B8B">
        <w:t>temporarily increase electricity intensity. However, as moderni</w:t>
      </w:r>
      <w:r w:rsidR="00A545F6">
        <w:t>s</w:t>
      </w:r>
      <w:r w:rsidR="00112B8B" w:rsidRPr="00112B8B">
        <w:t>ation progresses and efficiency improvements are reali</w:t>
      </w:r>
      <w:r w:rsidR="00A545F6">
        <w:t>s</w:t>
      </w:r>
      <w:r w:rsidR="00112B8B" w:rsidRPr="00112B8B">
        <w:t>ed, electricity intensity typically stabili</w:t>
      </w:r>
      <w:r w:rsidR="00A545F6">
        <w:t>s</w:t>
      </w:r>
      <w:r w:rsidR="00112B8B" w:rsidRPr="00112B8B">
        <w:t>es or declines.</w:t>
      </w:r>
    </w:p>
    <w:p w14:paraId="7E18A392" w14:textId="68D394BC" w:rsidR="00663920" w:rsidRPr="00213514" w:rsidRDefault="00663920" w:rsidP="00C91B15">
      <w:pPr>
        <w:spacing w:before="260" w:line="240" w:lineRule="auto"/>
        <w:jc w:val="left"/>
      </w:pPr>
      <w:r>
        <w:t>The</w:t>
      </w:r>
      <w:r w:rsidRPr="0077734C">
        <w:t xml:space="preserve"> diverse trajectories of electricity demand forecasts for Uzbekistan</w:t>
      </w:r>
      <w:r>
        <w:t xml:space="preserve"> </w:t>
      </w:r>
      <w:r w:rsidRPr="00E43B97">
        <w:t xml:space="preserve">underscores the uncertainty inherent in long-term forecasting. Much of this variability arises from different choices regarding which external factors to </w:t>
      </w:r>
      <w:proofErr w:type="gramStart"/>
      <w:r w:rsidRPr="00E43B97">
        <w:t>include,</w:t>
      </w:r>
      <w:proofErr w:type="gramEnd"/>
      <w:r w:rsidRPr="00E43B97">
        <w:t xml:space="preserve"> assumptions about their future trajectories, and the degree to which these factors reliably impact consumption. Moreover, long-term models cannot account for unforeseen developments, highlighting the limitations in establishing a fully predictable demand pathway.</w:t>
      </w:r>
    </w:p>
    <w:p w14:paraId="0371C5D1" w14:textId="73EB8D20" w:rsidR="00B4314E" w:rsidRPr="005278BD" w:rsidRDefault="007F4B90" w:rsidP="00B4314E">
      <w:pPr>
        <w:pStyle w:val="berschrift1"/>
      </w:pPr>
      <w:bookmarkStart w:id="25" w:name="_Ref182314745"/>
      <w:bookmarkStart w:id="26" w:name="_Toc182575135"/>
      <w:r>
        <w:t xml:space="preserve">Implications for </w:t>
      </w:r>
      <w:proofErr w:type="gramStart"/>
      <w:r>
        <w:t>policy-making</w:t>
      </w:r>
      <w:bookmarkEnd w:id="25"/>
      <w:bookmarkEnd w:id="26"/>
      <w:proofErr w:type="gramEnd"/>
    </w:p>
    <w:p w14:paraId="4A52F0FC" w14:textId="0EF14B88" w:rsidR="004F12BA" w:rsidRDefault="00C311F1" w:rsidP="00083FB0">
      <w:pPr>
        <w:spacing w:before="260" w:line="260" w:lineRule="atLeast"/>
        <w:jc w:val="left"/>
      </w:pPr>
      <w:r w:rsidRPr="00C311F1">
        <w:t xml:space="preserve">From these insights, several </w:t>
      </w:r>
      <w:r w:rsidR="00EF749E">
        <w:t>implications and recommendations for</w:t>
      </w:r>
      <w:r w:rsidRPr="00C311F1">
        <w:t xml:space="preserve"> </w:t>
      </w:r>
      <w:proofErr w:type="gramStart"/>
      <w:r w:rsidRPr="00C311F1">
        <w:t>policy</w:t>
      </w:r>
      <w:r w:rsidR="00EF749E">
        <w:t>-making</w:t>
      </w:r>
      <w:proofErr w:type="gramEnd"/>
      <w:r w:rsidRPr="00C311F1">
        <w:t xml:space="preserve"> can be derived to </w:t>
      </w:r>
      <w:r w:rsidR="003457F2" w:rsidRPr="003457F2">
        <w:t>promote efficient</w:t>
      </w:r>
      <w:r w:rsidR="00E61444" w:rsidRPr="00E61444">
        <w:t xml:space="preserve"> and</w:t>
      </w:r>
      <w:r w:rsidR="003457F2" w:rsidRPr="003457F2">
        <w:t xml:space="preserve"> equitable access to electricity</w:t>
      </w:r>
      <w:r w:rsidR="003457F2" w:rsidRPr="00C311F1">
        <w:t xml:space="preserve"> </w:t>
      </w:r>
      <w:r w:rsidR="003457F2">
        <w:t>in</w:t>
      </w:r>
      <w:r w:rsidRPr="00C311F1">
        <w:t xml:space="preserve"> Uzbekistan</w:t>
      </w:r>
      <w:r w:rsidR="003457F2">
        <w:t>.</w:t>
      </w:r>
      <w:r w:rsidR="00E61444" w:rsidRPr="00E61444">
        <w:t xml:space="preserve"> </w:t>
      </w:r>
      <w:r w:rsidR="00416114" w:rsidRPr="00416114">
        <w:t xml:space="preserve">While some of the following recommendations stem directly from our analysis of demand projections, others represent best practices from international experience in energy sector reform and modernization. Together, </w:t>
      </w:r>
      <w:r w:rsidR="00416114">
        <w:t>t</w:t>
      </w:r>
      <w:r w:rsidR="00E61444" w:rsidRPr="00E61444">
        <w:t xml:space="preserve">hese findings have broader implications for economic growth, </w:t>
      </w:r>
      <w:r w:rsidR="00E61444" w:rsidRPr="00E61444">
        <w:lastRenderedPageBreak/>
        <w:t>competitiveness, and the overall resilience of the energy sector, which are critical for sustainable development in the region.</w:t>
      </w:r>
      <w:r w:rsidR="00E61444" w:rsidRPr="00C311F1" w:rsidDel="00E61444">
        <w:t xml:space="preserve"> </w:t>
      </w:r>
    </w:p>
    <w:p w14:paraId="71B4168B" w14:textId="77777777" w:rsidR="002A5F09" w:rsidRPr="00C77D9E" w:rsidRDefault="002A5F09" w:rsidP="002A5F09">
      <w:pPr>
        <w:pStyle w:val="Hervorhebungen-blau-fett"/>
        <w:spacing w:line="240" w:lineRule="auto"/>
      </w:pPr>
      <w:r w:rsidRPr="00C77D9E">
        <w:t>Build in-house forecasting capabilities for enhanced energy planning</w:t>
      </w:r>
    </w:p>
    <w:p w14:paraId="209B5C71" w14:textId="59EB6198" w:rsidR="002A5F09" w:rsidRPr="00DB71E9" w:rsidRDefault="00BE2102" w:rsidP="002A5F09">
      <w:pPr>
        <w:spacing w:before="260" w:line="240" w:lineRule="auto"/>
        <w:jc w:val="left"/>
      </w:pPr>
      <w:r w:rsidRPr="00BE2102">
        <w:t>Our study</w:t>
      </w:r>
      <w:r>
        <w:t xml:space="preserve"> </w:t>
      </w:r>
      <w:r w:rsidRPr="00BE2102">
        <w:t>highlight</w:t>
      </w:r>
      <w:r w:rsidR="00C764A3">
        <w:t>s</w:t>
      </w:r>
      <w:r w:rsidRPr="00BE2102">
        <w:t xml:space="preserve"> the need for data-driven demand projections specific to Uzbekistan’s unique sectoral dynamics</w:t>
      </w:r>
      <w:r>
        <w:t xml:space="preserve">. </w:t>
      </w:r>
      <w:r w:rsidR="002A5F09" w:rsidRPr="00C77D9E">
        <w:t xml:space="preserve">To improve energy planning, reduce dependency on external models, and support informed </w:t>
      </w:r>
      <w:proofErr w:type="gramStart"/>
      <w:r w:rsidR="002A5F09" w:rsidRPr="00C77D9E">
        <w:t>policy-making</w:t>
      </w:r>
      <w:proofErr w:type="gramEnd"/>
      <w:r w:rsidR="002A5F09" w:rsidRPr="00C77D9E">
        <w:t xml:space="preserve">, </w:t>
      </w:r>
      <w:r w:rsidR="002A5F09" w:rsidRPr="00C77D9E">
        <w:rPr>
          <w:b/>
        </w:rPr>
        <w:t>Uzbekistan should establish a dedicated in-house forecasting unit within the Ministry of Energy or a regulatory body</w:t>
      </w:r>
      <w:r w:rsidR="002A5F09" w:rsidRPr="00C77D9E">
        <w:t xml:space="preserve">. </w:t>
      </w:r>
      <w:r w:rsidR="002A5F09" w:rsidRPr="003933AC">
        <w:t xml:space="preserve">This unit would have direct access to critical data on consumption, pricing, and sectoral trends, enabling the generation of accurate demand projections and the ability to model evolving energy patterns. It would also </w:t>
      </w:r>
      <w:r w:rsidR="002A5F09" w:rsidRPr="00DB71E9">
        <w:t>allow for more precise calculation of tariff elasticities using local data, rather than relying on estimates from existing literature.</w:t>
      </w:r>
      <w:r w:rsidRPr="00DB71E9">
        <w:t xml:space="preserve"> </w:t>
      </w:r>
      <w:r w:rsidR="002A5F09" w:rsidRPr="00DB71E9">
        <w:t>Investing in domestic forecasting capacity will empower Uzbekistan to better anticipate demand shifts, such as those driven by electric vehicle adoption, and adapt to sectoral changes. By building this capacity, Uzbekistan can develop a more resilient and competitive energy sector capable of integrating renewables.</w:t>
      </w:r>
    </w:p>
    <w:p w14:paraId="03361B0B" w14:textId="77777777" w:rsidR="002A5F09" w:rsidRPr="00DB71E9" w:rsidRDefault="002A5F09" w:rsidP="002A5F09">
      <w:pPr>
        <w:spacing w:before="260" w:line="240" w:lineRule="auto"/>
        <w:jc w:val="left"/>
      </w:pPr>
      <w:r w:rsidRPr="00DB71E9">
        <w:t>Examples of such units include forecasting divisions in energy regulatory authorities in the EU, the U.S. Energy Information Administration (EIA), and dedicated units within ministries in countries with ambitious energy transition goals, like Germany and Denmark. These units help governments remain proactive, especially as energy systems grow more complex and interdependent with other sectors.</w:t>
      </w:r>
    </w:p>
    <w:p w14:paraId="72496B10" w14:textId="2590AC4E" w:rsidR="007830EB" w:rsidRPr="00DB71E9" w:rsidRDefault="00B130E7" w:rsidP="004411A7">
      <w:pPr>
        <w:pStyle w:val="Hervorhebungen-blau-fett"/>
      </w:pPr>
      <w:r w:rsidRPr="00DB71E9">
        <w:t>Generation capacity planning</w:t>
      </w:r>
    </w:p>
    <w:p w14:paraId="74B4BAD7" w14:textId="64847A02" w:rsidR="00806FDD" w:rsidRPr="00DB71E9" w:rsidRDefault="00350CB2" w:rsidP="00B130E7">
      <w:pPr>
        <w:spacing w:before="260" w:line="260" w:lineRule="atLeast"/>
        <w:jc w:val="left"/>
      </w:pPr>
      <w:r w:rsidRPr="00DB71E9">
        <w:t>Given the projected demand growth outlined in this study</w:t>
      </w:r>
      <w:r w:rsidR="00806FDD" w:rsidRPr="00DB71E9">
        <w:t xml:space="preserve">, a robust generation capacity planning strategy is essential to ensure that electricity supply aligns with forecasted demand. A </w:t>
      </w:r>
      <w:r w:rsidR="00806FDD" w:rsidRPr="00DB71E9">
        <w:rPr>
          <w:b/>
        </w:rPr>
        <w:t>preliminary assessment based on current expansion plans</w:t>
      </w:r>
      <w:r w:rsidR="00806FDD" w:rsidRPr="00DB71E9">
        <w:t xml:space="preserve"> indicates a generation capacity capable of supplying around 13</w:t>
      </w:r>
      <w:r w:rsidR="007A4844" w:rsidRPr="00DB71E9">
        <w:t>8</w:t>
      </w:r>
      <w:r w:rsidR="00806FDD" w:rsidRPr="00DB71E9">
        <w:t xml:space="preserve"> TWh</w:t>
      </w:r>
      <w:r w:rsidR="00615DC4" w:rsidRPr="00DB71E9">
        <w:t xml:space="preserve"> </w:t>
      </w:r>
      <w:r w:rsidR="00806FDD" w:rsidRPr="00DB71E9">
        <w:t>by 2030.</w:t>
      </w:r>
      <w:r w:rsidR="00C27076" w:rsidRPr="00DB71E9">
        <w:rPr>
          <w:rStyle w:val="Funotenzeichen"/>
        </w:rPr>
        <w:footnoteReference w:id="22"/>
      </w:r>
      <w:r w:rsidR="001F390B" w:rsidRPr="00DB71E9">
        <w:t xml:space="preserve"> </w:t>
      </w:r>
      <w:r w:rsidR="00FB0611" w:rsidRPr="00DB71E9">
        <w:t>Due to the preliminary nature of this capacity estimate</w:t>
      </w:r>
      <w:r w:rsidR="00D8511D" w:rsidRPr="00DB71E9">
        <w:rPr>
          <w:rStyle w:val="Funotenzeichen"/>
        </w:rPr>
        <w:footnoteReference w:id="23"/>
      </w:r>
      <w:r w:rsidR="00FB0611" w:rsidRPr="00DB71E9">
        <w:t>, it is advisable to anticipate that</w:t>
      </w:r>
      <w:r w:rsidR="00FB0611" w:rsidRPr="00DB71E9">
        <w:rPr>
          <w:b/>
        </w:rPr>
        <w:t xml:space="preserve"> the planned capacity may fall short of meeting projected demand</w:t>
      </w:r>
      <w:r w:rsidR="00FB0611" w:rsidRPr="00DB71E9">
        <w:t>. This estimate assumes average capacity factors for renewable sources, which do not account for seasonal or daily variability, nor the potential for extended low-generation periods. Additionally, technical degradation from wear and tear on infrastructure, coupled with potential maintenance downtimes, are not factored into this assessment, further tightening the actual supply margins.</w:t>
      </w:r>
      <w:r w:rsidR="00E90468" w:rsidRPr="00DB71E9">
        <w:t xml:space="preserve"> </w:t>
      </w:r>
      <w:r w:rsidR="00996F3C" w:rsidRPr="00DB71E9">
        <w:t>Furthermore, while generation has garnered substantial investor attention</w:t>
      </w:r>
      <w:r w:rsidR="00E90468" w:rsidRPr="00DB71E9">
        <w:t xml:space="preserve">, </w:t>
      </w:r>
      <w:r w:rsidR="007057F0" w:rsidRPr="00DB71E9">
        <w:t xml:space="preserve">transmission </w:t>
      </w:r>
      <w:r w:rsidR="00996F3C" w:rsidRPr="00DB71E9">
        <w:t xml:space="preserve">and distribution infrastructure require significant development to prevent supply </w:t>
      </w:r>
      <w:r w:rsidR="007057F0" w:rsidRPr="00DB71E9">
        <w:t>constraints</w:t>
      </w:r>
      <w:r w:rsidR="00996F3C" w:rsidRPr="00DB71E9">
        <w:t>, especially as</w:t>
      </w:r>
      <w:r w:rsidR="007057F0" w:rsidRPr="00DB71E9">
        <w:t xml:space="preserve"> the </w:t>
      </w:r>
      <w:r w:rsidR="00996F3C" w:rsidRPr="00DB71E9">
        <w:t>share of renewable energy sources (RES) increases. Transmission bottlenecks could</w:t>
      </w:r>
      <w:r w:rsidR="007057F0" w:rsidRPr="00DB71E9">
        <w:t xml:space="preserve"> limit the </w:t>
      </w:r>
      <w:r w:rsidR="00996F3C" w:rsidRPr="00DB71E9">
        <w:t>delivery of</w:t>
      </w:r>
      <w:r w:rsidR="007057F0" w:rsidRPr="00DB71E9">
        <w:t xml:space="preserve"> electricity to high-demand </w:t>
      </w:r>
      <w:r w:rsidR="00996F3C" w:rsidRPr="00DB71E9">
        <w:t>regions</w:t>
      </w:r>
      <w:r w:rsidR="007057F0" w:rsidRPr="00DB71E9">
        <w:t>, reducing effective capacity during peak periods.</w:t>
      </w:r>
    </w:p>
    <w:p w14:paraId="09BE16AE" w14:textId="2C348B0C" w:rsidR="00B10BBC" w:rsidRPr="00DB71E9" w:rsidRDefault="00343A9C" w:rsidP="00B130E7">
      <w:pPr>
        <w:spacing w:before="260" w:line="260" w:lineRule="atLeast"/>
        <w:jc w:val="left"/>
      </w:pPr>
      <w:r w:rsidRPr="00DB71E9">
        <w:t xml:space="preserve">To address these technical uncertainties, incorporating a capacity reserve margin </w:t>
      </w:r>
      <w:r w:rsidR="00BC5F6D" w:rsidRPr="00DB71E9">
        <w:t>(1</w:t>
      </w:r>
      <w:r w:rsidR="000E6EAC" w:rsidRPr="00DB71E9">
        <w:t>5</w:t>
      </w:r>
      <w:r w:rsidR="00BC5F6D" w:rsidRPr="00DB71E9">
        <w:t>% to 20%</w:t>
      </w:r>
      <w:r w:rsidR="000E6EAC" w:rsidRPr="00DB71E9">
        <w:t xml:space="preserve"> given planned share of renewables</w:t>
      </w:r>
      <w:r w:rsidR="00BC5F6D" w:rsidRPr="00DB71E9">
        <w:t>)</w:t>
      </w:r>
      <w:r w:rsidRPr="00DB71E9">
        <w:t xml:space="preserve"> is crucial, especially </w:t>
      </w:r>
      <w:r w:rsidR="00DB70FE" w:rsidRPr="00DB71E9">
        <w:t>since</w:t>
      </w:r>
      <w:r w:rsidRPr="00DB71E9">
        <w:t xml:space="preserve"> Uzbekistan’s current system balancing is heavily dependent on Russia. If Kazakhstan disconnect from the Central Asian power network – a possibility that would isolate Uzbekistan from this </w:t>
      </w:r>
      <w:r w:rsidRPr="00DB71E9">
        <w:lastRenderedPageBreak/>
        <w:t xml:space="preserve">broader balancing system – the need for internal flexibility would become even more urgent. </w:t>
      </w:r>
      <w:r w:rsidR="005E2775" w:rsidRPr="00DB71E9">
        <w:t>Investment</w:t>
      </w:r>
      <w:r w:rsidRPr="00DB71E9">
        <w:t xml:space="preserve"> in </w:t>
      </w:r>
      <w:r w:rsidR="005E2775" w:rsidRPr="00DB71E9">
        <w:t xml:space="preserve">transmission and distribution, alongside </w:t>
      </w:r>
      <w:r w:rsidRPr="00DB71E9">
        <w:t xml:space="preserve">battery storage </w:t>
      </w:r>
      <w:r w:rsidR="005E2775" w:rsidRPr="00DB71E9">
        <w:t>solutions,</w:t>
      </w:r>
      <w:r w:rsidRPr="00DB71E9">
        <w:t xml:space="preserve"> could provide the necessary </w:t>
      </w:r>
      <w:r w:rsidR="005E2775" w:rsidRPr="00DB71E9">
        <w:t>flexibility</w:t>
      </w:r>
      <w:r w:rsidRPr="00DB71E9">
        <w:t xml:space="preserve"> to </w:t>
      </w:r>
      <w:r w:rsidR="005E2775" w:rsidRPr="00DB71E9">
        <w:t xml:space="preserve">balance </w:t>
      </w:r>
      <w:r w:rsidRPr="00DB71E9">
        <w:t xml:space="preserve">peak loads and </w:t>
      </w:r>
      <w:r w:rsidR="005E2775" w:rsidRPr="00DB71E9">
        <w:t xml:space="preserve">manage </w:t>
      </w:r>
      <w:r w:rsidRPr="00DB71E9">
        <w:t xml:space="preserve">renewable intermittency within </w:t>
      </w:r>
      <w:r w:rsidR="005E2775" w:rsidRPr="00DB71E9">
        <w:t>the</w:t>
      </w:r>
      <w:r w:rsidRPr="00DB71E9">
        <w:t xml:space="preserve"> grid. </w:t>
      </w:r>
    </w:p>
    <w:p w14:paraId="3886A40D" w14:textId="01BC338A" w:rsidR="00343A9C" w:rsidRPr="00DB71E9" w:rsidRDefault="00B10BBC" w:rsidP="00B130E7">
      <w:pPr>
        <w:spacing w:before="260" w:line="260" w:lineRule="atLeast"/>
        <w:jc w:val="left"/>
      </w:pPr>
      <w:r w:rsidRPr="00DB71E9">
        <w:t>R</w:t>
      </w:r>
      <w:r w:rsidR="00386518" w:rsidRPr="00DB71E9">
        <w:t>egular reviews and adjustments to capacity projections, guided by real-world operational data and infrastructure assessments, will help the country to</w:t>
      </w:r>
      <w:r w:rsidR="00D66B9B" w:rsidRPr="00DB71E9">
        <w:t xml:space="preserve"> </w:t>
      </w:r>
      <w:r w:rsidR="0019530F" w:rsidRPr="00DB71E9">
        <w:t>build a resilient energy supply that can adapt to evolving demand patterns.</w:t>
      </w:r>
    </w:p>
    <w:p w14:paraId="13A13615" w14:textId="5BB159CD" w:rsidR="004A412D" w:rsidRPr="00DB71E9" w:rsidRDefault="009B5181" w:rsidP="004A412D">
      <w:pPr>
        <w:pStyle w:val="Hervorhebungen-blau-fett"/>
      </w:pPr>
      <w:r w:rsidRPr="00DB71E9">
        <w:t>C</w:t>
      </w:r>
      <w:r w:rsidR="00FA731C" w:rsidRPr="00DB71E9">
        <w:t>ontinue implementing cost-reflective tariffs</w:t>
      </w:r>
    </w:p>
    <w:p w14:paraId="56EB8DFB" w14:textId="107EFB89" w:rsidR="00155891" w:rsidRPr="00DB71E9" w:rsidRDefault="00DC4CD0" w:rsidP="00663920">
      <w:pPr>
        <w:pStyle w:val="Fliesstext"/>
        <w:spacing w:before="200" w:line="240" w:lineRule="auto"/>
        <w:rPr>
          <w:lang w:eastAsia="ru-RU"/>
        </w:rPr>
      </w:pPr>
      <w:r w:rsidRPr="00DB71E9">
        <w:rPr>
          <w:lang w:eastAsia="ru-RU"/>
        </w:rPr>
        <w:t>C</w:t>
      </w:r>
      <w:r w:rsidR="00AC5C3F" w:rsidRPr="00DB71E9">
        <w:rPr>
          <w:lang w:eastAsia="ru-RU"/>
        </w:rPr>
        <w:t>ost-reflective tariffs</w:t>
      </w:r>
      <w:r w:rsidR="00155891" w:rsidRPr="00DB71E9">
        <w:rPr>
          <w:lang w:eastAsia="ru-RU"/>
        </w:rPr>
        <w:t xml:space="preserve"> that fully cover the costs of generation, transmission, and distribution</w:t>
      </w:r>
      <w:r w:rsidR="00AC5C3F" w:rsidRPr="00DB71E9">
        <w:rPr>
          <w:lang w:eastAsia="ru-RU"/>
        </w:rPr>
        <w:t xml:space="preserve"> </w:t>
      </w:r>
      <w:r w:rsidRPr="00DB71E9">
        <w:rPr>
          <w:lang w:eastAsia="ru-RU"/>
        </w:rPr>
        <w:t xml:space="preserve">are recommended </w:t>
      </w:r>
      <w:r w:rsidR="00AC5C3F" w:rsidRPr="00DB71E9">
        <w:rPr>
          <w:lang w:eastAsia="ru-RU"/>
        </w:rPr>
        <w:t>to sustain investment while managing demand</w:t>
      </w:r>
      <w:r w:rsidR="00155891" w:rsidRPr="00DB71E9">
        <w:rPr>
          <w:lang w:eastAsia="ru-RU"/>
        </w:rPr>
        <w:t>. This would ensure financial sustainability for utilities and send accurate price signals that encourage efficient energy use.</w:t>
      </w:r>
      <w:r w:rsidR="00E7295F" w:rsidRPr="00DB71E9">
        <w:rPr>
          <w:lang w:eastAsia="ru-RU"/>
        </w:rPr>
        <w:t xml:space="preserve"> </w:t>
      </w:r>
      <w:r w:rsidR="00E7295F" w:rsidRPr="00DB71E9">
        <w:t>Additionally, market liberali</w:t>
      </w:r>
      <w:r w:rsidR="0073311F" w:rsidRPr="00DB71E9">
        <w:t>s</w:t>
      </w:r>
      <w:r w:rsidR="00E7295F" w:rsidRPr="00DB71E9">
        <w:t xml:space="preserve">ation and a shift toward cost-covering tariffs could relieve the financial burden of take-or-pay Power Purchase Agreements (PPAs), fostering a more sustainable investment climate and encouraging efficiency in supply.  </w:t>
      </w:r>
      <w:r w:rsidR="00155891" w:rsidRPr="00DB71E9">
        <w:rPr>
          <w:lang w:eastAsia="ru-RU"/>
        </w:rPr>
        <w:t>As the market liberali</w:t>
      </w:r>
      <w:r w:rsidR="00C626D8" w:rsidRPr="00DB71E9">
        <w:rPr>
          <w:lang w:eastAsia="ru-RU"/>
        </w:rPr>
        <w:t>s</w:t>
      </w:r>
      <w:r w:rsidR="00155891" w:rsidRPr="00DB71E9">
        <w:rPr>
          <w:lang w:eastAsia="ru-RU"/>
        </w:rPr>
        <w:t xml:space="preserve">es, it is vital to </w:t>
      </w:r>
      <w:r w:rsidR="00155891" w:rsidRPr="00DB71E9">
        <w:rPr>
          <w:b/>
          <w:lang w:eastAsia="ru-RU"/>
        </w:rPr>
        <w:t>strengthen the regulatory role of the Agency for Development and Regulation of the Energy Market to ensure transparent pricing practices, investor protection, and consumer rights</w:t>
      </w:r>
      <w:r w:rsidR="00155891" w:rsidRPr="00DB71E9">
        <w:rPr>
          <w:lang w:eastAsia="ru-RU"/>
        </w:rPr>
        <w:t xml:space="preserve">. </w:t>
      </w:r>
    </w:p>
    <w:p w14:paraId="1D7593A5" w14:textId="617A000A" w:rsidR="00883EA2" w:rsidRPr="00883EA2" w:rsidRDefault="00883EA2" w:rsidP="00663920">
      <w:pPr>
        <w:pStyle w:val="Fliesstext"/>
        <w:spacing w:before="200" w:line="240" w:lineRule="auto"/>
        <w:rPr>
          <w:lang w:eastAsia="ru-RU"/>
        </w:rPr>
      </w:pPr>
      <w:r w:rsidRPr="00DB71E9">
        <w:rPr>
          <w:lang w:eastAsia="ru-RU"/>
        </w:rPr>
        <w:t xml:space="preserve">At the same time, it is crucial to </w:t>
      </w:r>
      <w:r w:rsidRPr="00DB71E9">
        <w:rPr>
          <w:b/>
          <w:lang w:eastAsia="ru-RU"/>
        </w:rPr>
        <w:t>calibrate and monitor existing social support measures</w:t>
      </w:r>
      <w:r w:rsidRPr="00DB71E9">
        <w:rPr>
          <w:lang w:eastAsia="ru-RU"/>
        </w:rPr>
        <w:t xml:space="preserve"> to shield low-income households from the effects of tariff changes</w:t>
      </w:r>
      <w:r w:rsidRPr="00883EA2">
        <w:rPr>
          <w:lang w:eastAsia="ru-RU"/>
        </w:rPr>
        <w:t>. The government’s lifeline tariff and seasonal financial aid for essential energy use are essential for balancing affordability with cost recovery. To maintain effective support, regular evaluations should include data collection on consumption patterns, impact assessments of current measures, and adjustments to eligibility criteria as needed. This approach will ensure targeted support remains responsive to evolving needs while preserving financial sustainability in the sector.</w:t>
      </w:r>
      <w:r w:rsidR="00951568">
        <w:rPr>
          <w:lang w:eastAsia="ru-RU"/>
        </w:rPr>
        <w:t xml:space="preserve"> </w:t>
      </w:r>
      <w:r w:rsidRPr="00883EA2">
        <w:rPr>
          <w:lang w:eastAsia="ru-RU"/>
        </w:rPr>
        <w:t>By implementing these measures, Uzbekistan can create a balanced energy landscape that attracts investment, promotes efficiency, and safeguards vulnerable consumers.</w:t>
      </w:r>
    </w:p>
    <w:p w14:paraId="0C7F2D84" w14:textId="77F0ADDB" w:rsidR="00DC008D" w:rsidRPr="004E789E" w:rsidRDefault="00DC008D" w:rsidP="001A71A3">
      <w:pPr>
        <w:pStyle w:val="Hervorhebungen-blau-fett"/>
        <w:spacing w:line="240" w:lineRule="auto"/>
      </w:pPr>
      <w:r w:rsidRPr="004E789E">
        <w:t>Strengthen demand-side management</w:t>
      </w:r>
      <w:r w:rsidR="004B2B7E" w:rsidRPr="004E789E">
        <w:t xml:space="preserve"> (DSM)</w:t>
      </w:r>
    </w:p>
    <w:p w14:paraId="174FC42D" w14:textId="2B700F70" w:rsidR="00DC008D" w:rsidRPr="004E789E" w:rsidRDefault="00DC008D" w:rsidP="00663920">
      <w:pPr>
        <w:spacing w:before="260" w:line="240" w:lineRule="auto"/>
        <w:jc w:val="left"/>
      </w:pPr>
      <w:r w:rsidRPr="004E789E">
        <w:t>With Uzbekistan’s economic and sector</w:t>
      </w:r>
      <w:r w:rsidR="005377D7" w:rsidRPr="004E789E">
        <w:t>al</w:t>
      </w:r>
      <w:r w:rsidRPr="004E789E">
        <w:t xml:space="preserve"> growth accelerating, </w:t>
      </w:r>
      <w:r w:rsidR="008C1838" w:rsidRPr="004E789E">
        <w:t>such as</w:t>
      </w:r>
      <w:r w:rsidR="00FC3082" w:rsidRPr="004E789E">
        <w:t xml:space="preserve"> </w:t>
      </w:r>
      <w:r w:rsidR="009327CC" w:rsidRPr="004E789E">
        <w:t xml:space="preserve">EV adoption and increase of </w:t>
      </w:r>
      <w:r w:rsidR="008C1838" w:rsidRPr="004E789E">
        <w:t xml:space="preserve">household </w:t>
      </w:r>
      <w:r w:rsidR="009327CC" w:rsidRPr="004E789E">
        <w:t>energy needs</w:t>
      </w:r>
      <w:r w:rsidR="008C1838" w:rsidRPr="004E789E">
        <w:t xml:space="preserve">, </w:t>
      </w:r>
      <w:r w:rsidR="003B1A5E" w:rsidRPr="004E789E">
        <w:rPr>
          <w:b/>
        </w:rPr>
        <w:t>digitali</w:t>
      </w:r>
      <w:r w:rsidR="000B2FE7">
        <w:rPr>
          <w:b/>
        </w:rPr>
        <w:t>s</w:t>
      </w:r>
      <w:r w:rsidR="003B1A5E" w:rsidRPr="004E789E">
        <w:rPr>
          <w:b/>
        </w:rPr>
        <w:t xml:space="preserve">ing </w:t>
      </w:r>
      <w:r w:rsidR="008C1838" w:rsidRPr="004E789E">
        <w:rPr>
          <w:b/>
        </w:rPr>
        <w:t>demand</w:t>
      </w:r>
      <w:r w:rsidR="003B1A5E" w:rsidRPr="004E789E">
        <w:rPr>
          <w:b/>
        </w:rPr>
        <w:t>-side management (DSM) strategies will be essential for balancing grid performance and optimising energy use.</w:t>
      </w:r>
      <w:r w:rsidR="008C1838" w:rsidRPr="004E789E">
        <w:rPr>
          <w:b/>
        </w:rPr>
        <w:t xml:space="preserve"> </w:t>
      </w:r>
      <w:r w:rsidR="008E154E" w:rsidRPr="004E789E">
        <w:t>Digital tools, such as advanced metering infrastructure (AMI), smart home devices, and real-time data analytics, can enable more precise control over demand patterns. By digitali</w:t>
      </w:r>
      <w:r w:rsidR="00DB6DAB">
        <w:t>s</w:t>
      </w:r>
      <w:r w:rsidR="008E154E" w:rsidRPr="004E789E">
        <w:t>ing DSM, Uzbekistan can not only incentivi</w:t>
      </w:r>
      <w:r w:rsidR="00DF6668">
        <w:t>s</w:t>
      </w:r>
      <w:r w:rsidR="008E154E" w:rsidRPr="004E789E">
        <w:t>e off-peak EV charging and introduce time-of-use pricing but also provide consumers with real-time data on their energy consumption, empowering them to make informed decisions and actively participate in demand management.</w:t>
      </w:r>
    </w:p>
    <w:p w14:paraId="23442AE9" w14:textId="4635D945" w:rsidR="001A71A3" w:rsidRDefault="001A71A3" w:rsidP="00663920">
      <w:pPr>
        <w:spacing w:before="260" w:line="240" w:lineRule="auto"/>
        <w:jc w:val="left"/>
      </w:pPr>
      <w:r w:rsidRPr="004E789E">
        <w:t>For grid operators, digitali</w:t>
      </w:r>
      <w:r w:rsidR="00E66F3F">
        <w:t>s</w:t>
      </w:r>
      <w:r w:rsidRPr="004E789E">
        <w:t>ed DSM offers greater visibility into usage patterns across sectors, allowing for efficient load balancing and reducing the need for costly capacity expansions. With the integration of renewable energy sources, digital tools become even more valuable by aligning demand with variable supply from sources like solar and wind. Digitali</w:t>
      </w:r>
      <w:r w:rsidR="00D966DE">
        <w:t>s</w:t>
      </w:r>
      <w:r w:rsidRPr="004E789E">
        <w:t>ing DSM can thus reduce operational costs, enhance grid resilience, and promote energy efficiency while fostering a more competitive and adaptive energy landscape. By investing in digital DSM infrastructure, Uzbekistan positions itself to better manage demand in an increasingly complex energy ecosystem.</w:t>
      </w:r>
    </w:p>
    <w:p w14:paraId="1B47B5D0" w14:textId="77777777" w:rsidR="00175034" w:rsidRDefault="00175034" w:rsidP="00663920">
      <w:pPr>
        <w:pStyle w:val="berschrift1"/>
      </w:pPr>
      <w:bookmarkStart w:id="27" w:name="_Ref181895137"/>
      <w:bookmarkStart w:id="28" w:name="_Toc182575136"/>
      <w:bookmarkEnd w:id="1"/>
      <w:r>
        <w:lastRenderedPageBreak/>
        <w:t>Conclusion</w:t>
      </w:r>
      <w:bookmarkEnd w:id="27"/>
      <w:bookmarkEnd w:id="28"/>
    </w:p>
    <w:p w14:paraId="4DA63DCD" w14:textId="796F8F39" w:rsidR="004E3FD5" w:rsidRDefault="004E3FD5" w:rsidP="00663920">
      <w:pPr>
        <w:spacing w:before="260" w:line="240" w:lineRule="auto"/>
        <w:jc w:val="left"/>
      </w:pPr>
      <w:r w:rsidRPr="002D4A9C">
        <w:rPr>
          <w:b/>
          <w:bCs/>
        </w:rPr>
        <w:t>Uzbekistan’s population and economy are set to grow considerably</w:t>
      </w:r>
      <w:r w:rsidRPr="004E3FD5">
        <w:t xml:space="preserve">, which will likely lead to </w:t>
      </w:r>
      <w:r w:rsidRPr="002D4A9C">
        <w:rPr>
          <w:b/>
          <w:bCs/>
        </w:rPr>
        <w:t>shifts in electricity consumption patterns and levels</w:t>
      </w:r>
      <w:r w:rsidRPr="004E3FD5">
        <w:t>. Key developments, such as the anticipated growth of the industrial sector’s share of GDP and the increasing adoption of electric vehicles, will place upward pressure on electricity demand. Conversely,</w:t>
      </w:r>
      <w:r>
        <w:t xml:space="preserve"> improvements in</w:t>
      </w:r>
      <w:r w:rsidRPr="004E3FD5">
        <w:t xml:space="preserve"> energy efficiency are expected to moderate consumption to some extent. </w:t>
      </w:r>
      <w:r w:rsidR="00221F08" w:rsidRPr="00221F08">
        <w:t>Uzbekistan faces a persistent supply shortage in recent years</w:t>
      </w:r>
      <w:r w:rsidR="00221F08">
        <w:t xml:space="preserve">, </w:t>
      </w:r>
      <w:r w:rsidR="00221F08" w:rsidRPr="00221F08">
        <w:t xml:space="preserve">highlighting the urgent need to </w:t>
      </w:r>
      <w:r w:rsidR="00221F08" w:rsidRPr="002D4A9C">
        <w:rPr>
          <w:b/>
          <w:bCs/>
        </w:rPr>
        <w:t>align supply expansion with projected demand growth</w:t>
      </w:r>
      <w:r w:rsidR="00221F08" w:rsidRPr="00221F08">
        <w:t>.</w:t>
      </w:r>
      <w:r w:rsidR="00221F08">
        <w:t xml:space="preserve"> </w:t>
      </w:r>
      <w:r w:rsidRPr="004E3FD5">
        <w:t>While insufficient supply could stifle economic development, an overestimat</w:t>
      </w:r>
      <w:r w:rsidR="00B30856">
        <w:t>ion</w:t>
      </w:r>
      <w:r w:rsidRPr="004E3FD5">
        <w:t xml:space="preserve"> could lead to excessive investment, potentially straining resources.</w:t>
      </w:r>
      <w:r w:rsidR="00354731">
        <w:t xml:space="preserve"> </w:t>
      </w:r>
      <w:r w:rsidR="00354731" w:rsidRPr="004E3FD5">
        <w:t>Accurately planning for generation and transmission capacity is therefore essential to meet these evolving needs.</w:t>
      </w:r>
    </w:p>
    <w:p w14:paraId="18772DF9" w14:textId="2B3DDEB7" w:rsidR="009D4E91" w:rsidRDefault="009D4E91" w:rsidP="00663920">
      <w:pPr>
        <w:spacing w:before="120" w:line="240" w:lineRule="auto"/>
        <w:jc w:val="left"/>
        <w:rPr>
          <w:rFonts w:cs="Calibri"/>
        </w:rPr>
      </w:pPr>
      <w:r w:rsidRPr="00E72011">
        <w:rPr>
          <w:rFonts w:cs="Calibri"/>
        </w:rPr>
        <w:t xml:space="preserve">The model results show that Uzbekistan’s electricity demand is </w:t>
      </w:r>
      <w:r w:rsidRPr="007F4C35">
        <w:rPr>
          <w:rFonts w:cs="Calibri"/>
          <w:b/>
          <w:bCs/>
        </w:rPr>
        <w:t>expected to increase significantly</w:t>
      </w:r>
      <w:r w:rsidRPr="00E72011">
        <w:rPr>
          <w:rFonts w:cs="Calibri"/>
        </w:rPr>
        <w:t xml:space="preserve"> by 2030 and 2035. The forecasts range from </w:t>
      </w:r>
      <w:r w:rsidRPr="007F4C35">
        <w:rPr>
          <w:rFonts w:cs="Calibri"/>
          <w:b/>
          <w:bCs/>
        </w:rPr>
        <w:t>109 to 123 TWh in 2030</w:t>
      </w:r>
      <w:r w:rsidRPr="00E72011">
        <w:rPr>
          <w:rFonts w:cs="Calibri"/>
        </w:rPr>
        <w:t xml:space="preserve"> and </w:t>
      </w:r>
      <w:r w:rsidRPr="007F4C35">
        <w:rPr>
          <w:rFonts w:cs="Calibri"/>
          <w:b/>
          <w:bCs/>
        </w:rPr>
        <w:t>131 to 151 TWh in 2035</w:t>
      </w:r>
      <w:r w:rsidRPr="00E72011">
        <w:rPr>
          <w:rFonts w:cs="Calibri"/>
        </w:rPr>
        <w:t xml:space="preserve">, representing a 35-52% and 62-87% increase from 2023, respectively. </w:t>
      </w:r>
      <w:r w:rsidRPr="008D7339">
        <w:rPr>
          <w:rFonts w:cs="Calibri"/>
        </w:rPr>
        <w:t>External factors such as GDP growth expectations, sectoral shifts, and tariff changes were found to significantly influence the projections</w:t>
      </w:r>
      <w:r>
        <w:rPr>
          <w:rFonts w:cs="Calibri"/>
        </w:rPr>
        <w:t xml:space="preserve">. </w:t>
      </w:r>
      <w:r w:rsidR="00F028F5" w:rsidRPr="00E43B97">
        <w:t xml:space="preserve">This nuanced perspective underscores the </w:t>
      </w:r>
      <w:r w:rsidR="00F028F5" w:rsidRPr="00F028F5">
        <w:rPr>
          <w:b/>
          <w:bCs/>
        </w:rPr>
        <w:t>importance of a balanced approach in planning Uzbekistan’s energy future</w:t>
      </w:r>
      <w:r w:rsidR="00F028F5" w:rsidRPr="00E43B97">
        <w:t xml:space="preserve">, </w:t>
      </w:r>
      <w:proofErr w:type="gramStart"/>
      <w:r w:rsidR="00F028F5" w:rsidRPr="00E43B97">
        <w:t>taking into account</w:t>
      </w:r>
      <w:proofErr w:type="gramEnd"/>
      <w:r w:rsidR="00F028F5" w:rsidRPr="00E43B97">
        <w:t xml:space="preserve"> multiple growth scenarios to align capacity expansion with realistic demand projections.</w:t>
      </w:r>
    </w:p>
    <w:p w14:paraId="3D40AD65" w14:textId="3FCCBA26" w:rsidR="00A806F3" w:rsidRDefault="002D4A9C" w:rsidP="00B43CA7">
      <w:pPr>
        <w:spacing w:before="260" w:line="240" w:lineRule="auto"/>
        <w:jc w:val="left"/>
      </w:pPr>
      <w:r w:rsidRPr="002D4A9C">
        <w:rPr>
          <w:b/>
          <w:bCs/>
        </w:rPr>
        <w:t>P</w:t>
      </w:r>
      <w:r w:rsidR="003457F2" w:rsidRPr="002D4A9C">
        <w:rPr>
          <w:b/>
          <w:bCs/>
        </w:rPr>
        <w:t>olicy recommendations</w:t>
      </w:r>
      <w:r w:rsidR="003457F2" w:rsidRPr="003457F2">
        <w:t xml:space="preserve"> that can be derived from the findings include several strategic measures: </w:t>
      </w:r>
      <w:r w:rsidR="009823AE">
        <w:t>building in-house forecasting capabilities</w:t>
      </w:r>
      <w:r w:rsidR="008F1BA4">
        <w:t xml:space="preserve"> to </w:t>
      </w:r>
      <w:r w:rsidR="008F1BA4" w:rsidRPr="008F1BA4">
        <w:t xml:space="preserve">improve energy planning </w:t>
      </w:r>
      <w:r w:rsidR="008F1BA4">
        <w:t>and</w:t>
      </w:r>
      <w:r w:rsidR="008F1BA4" w:rsidRPr="008F1BA4">
        <w:t xml:space="preserve"> informed policy-making</w:t>
      </w:r>
      <w:r w:rsidR="008F1BA4">
        <w:t>,</w:t>
      </w:r>
      <w:r w:rsidR="008F1BA4" w:rsidRPr="008F1BA4">
        <w:t xml:space="preserve"> </w:t>
      </w:r>
      <w:r w:rsidR="003457F2" w:rsidRPr="003457F2">
        <w:t>enhancing generation capacity planning to meet projected demand and mitigate supply risks, continuing tariff reform with targeted social protections to balance cost recovery and consumer affordability</w:t>
      </w:r>
      <w:r w:rsidR="002738BC">
        <w:t xml:space="preserve"> and</w:t>
      </w:r>
      <w:r w:rsidR="003457F2" w:rsidRPr="003457F2">
        <w:t xml:space="preserve"> </w:t>
      </w:r>
      <w:r w:rsidR="00404CCC">
        <w:t xml:space="preserve">strengthening demand-side management through digital tools </w:t>
      </w:r>
      <w:r w:rsidR="003457F2" w:rsidRPr="003457F2">
        <w:t>to optimi</w:t>
      </w:r>
      <w:r w:rsidR="00BD4E04">
        <w:t>s</w:t>
      </w:r>
      <w:r w:rsidR="003457F2" w:rsidRPr="003457F2">
        <w:t xml:space="preserve">e usage across sectors as demand grows. These steps collectively aim </w:t>
      </w:r>
      <w:r w:rsidR="003457F2">
        <w:t xml:space="preserve">to </w:t>
      </w:r>
      <w:r w:rsidR="003457F2" w:rsidRPr="002D4A9C">
        <w:rPr>
          <w:b/>
          <w:bCs/>
        </w:rPr>
        <w:t>promote efficient, equitable access to electricity</w:t>
      </w:r>
      <w:r w:rsidR="00404CCC">
        <w:rPr>
          <w:b/>
          <w:bCs/>
        </w:rPr>
        <w:t xml:space="preserve"> and</w:t>
      </w:r>
      <w:r w:rsidR="003457F2" w:rsidRPr="002D4A9C">
        <w:rPr>
          <w:b/>
          <w:bCs/>
        </w:rPr>
        <w:t xml:space="preserve"> strengthen Uzbekistan's energy security, while supporting economic growth</w:t>
      </w:r>
      <w:r w:rsidR="003457F2" w:rsidRPr="003457F2">
        <w:t>.</w:t>
      </w:r>
      <w:r w:rsidR="00A806F3">
        <w:br w:type="page"/>
      </w:r>
    </w:p>
    <w:p w14:paraId="3006436D" w14:textId="5168D1AD" w:rsidR="00387360" w:rsidRDefault="00387360" w:rsidP="00AD4377">
      <w:pPr>
        <w:pStyle w:val="berschrift1"/>
      </w:pPr>
      <w:bookmarkStart w:id="29" w:name="_Toc182575137"/>
      <w:r>
        <w:lastRenderedPageBreak/>
        <w:t>Annex</w:t>
      </w:r>
      <w:bookmarkEnd w:id="29"/>
    </w:p>
    <w:p w14:paraId="53DAE698" w14:textId="62F96CA4" w:rsidR="00D629F3" w:rsidRDefault="00D629F3" w:rsidP="00AD4377">
      <w:pPr>
        <w:pStyle w:val="berschrift2"/>
      </w:pPr>
      <w:bookmarkStart w:id="30" w:name="_Ref181015841"/>
      <w:bookmarkStart w:id="31" w:name="_Toc182575138"/>
      <w:r>
        <w:t>Descriptive statistics of input data</w:t>
      </w:r>
      <w:bookmarkEnd w:id="30"/>
      <w:bookmarkEnd w:id="31"/>
    </w:p>
    <w:p w14:paraId="26C1D0FB" w14:textId="25A00FDB" w:rsidR="00861137" w:rsidRPr="00861137" w:rsidRDefault="00861137" w:rsidP="00861137">
      <w:pPr>
        <w:pStyle w:val="Hervorhebungen-blau-fett"/>
        <w:spacing w:after="120"/>
      </w:pPr>
      <w:r>
        <w:t>Hourly electricity consumption data</w:t>
      </w:r>
    </w:p>
    <w:p w14:paraId="78AD2FE1" w14:textId="1692BD7E" w:rsidR="00F35403" w:rsidRPr="00F35403" w:rsidRDefault="00036255" w:rsidP="00F35403">
      <w:pPr>
        <w:pStyle w:val="Fliesstext"/>
        <w:rPr>
          <w:lang w:val="en-US" w:eastAsia="de-DE"/>
        </w:rPr>
      </w:pPr>
      <w:r>
        <w:rPr>
          <w:lang w:val="en-US" w:eastAsia="de-DE"/>
        </w:rPr>
        <w:t xml:space="preserve">The </w:t>
      </w:r>
      <w:r w:rsidR="00E753EB" w:rsidRPr="00E753EB">
        <w:rPr>
          <w:lang w:val="en-US" w:eastAsia="de-DE"/>
        </w:rPr>
        <w:t xml:space="preserve">unusually low </w:t>
      </w:r>
      <w:r w:rsidR="00546417">
        <w:rPr>
          <w:lang w:val="en-US" w:eastAsia="de-DE"/>
        </w:rPr>
        <w:t xml:space="preserve">load </w:t>
      </w:r>
      <w:r w:rsidR="00E753EB" w:rsidRPr="00E753EB">
        <w:rPr>
          <w:lang w:val="en-US" w:eastAsia="de-DE"/>
        </w:rPr>
        <w:t xml:space="preserve">of </w:t>
      </w:r>
      <w:r>
        <w:rPr>
          <w:lang w:val="en-US" w:eastAsia="de-DE"/>
        </w:rPr>
        <w:t>less than 2</w:t>
      </w:r>
      <w:r w:rsidR="007B5D68">
        <w:rPr>
          <w:lang w:val="en-US" w:eastAsia="de-DE"/>
        </w:rPr>
        <w:t>,</w:t>
      </w:r>
      <w:r>
        <w:rPr>
          <w:lang w:val="en-US" w:eastAsia="de-DE"/>
        </w:rPr>
        <w:t xml:space="preserve">000 MW </w:t>
      </w:r>
      <w:r w:rsidR="00EA4EBE">
        <w:rPr>
          <w:lang w:val="en-US" w:eastAsia="de-DE"/>
        </w:rPr>
        <w:t xml:space="preserve">on </w:t>
      </w:r>
      <w:r w:rsidR="00546417">
        <w:rPr>
          <w:lang w:val="en-US" w:eastAsia="de-DE"/>
        </w:rPr>
        <w:t xml:space="preserve">January </w:t>
      </w:r>
      <w:r w:rsidR="00E753EB" w:rsidRPr="00E753EB">
        <w:rPr>
          <w:lang w:val="en-US" w:eastAsia="de-DE"/>
        </w:rPr>
        <w:t xml:space="preserve">25, </w:t>
      </w:r>
      <w:r w:rsidR="00EA4EBE">
        <w:rPr>
          <w:lang w:val="en-US" w:eastAsia="de-DE"/>
        </w:rPr>
        <w:t>2022</w:t>
      </w:r>
      <w:r w:rsidR="00E753EB" w:rsidRPr="00E753EB">
        <w:rPr>
          <w:lang w:val="en-US" w:eastAsia="de-DE"/>
        </w:rPr>
        <w:t>, resulted from a large-scale</w:t>
      </w:r>
      <w:r w:rsidR="00F164C9">
        <w:rPr>
          <w:lang w:val="en-US" w:eastAsia="de-DE"/>
        </w:rPr>
        <w:t xml:space="preserve"> power outage </w:t>
      </w:r>
      <w:r w:rsidR="00E753EB" w:rsidRPr="00E753EB">
        <w:rPr>
          <w:lang w:val="en-US" w:eastAsia="de-DE"/>
        </w:rPr>
        <w:t>that affected</w:t>
      </w:r>
      <w:r w:rsidR="00F164C9">
        <w:rPr>
          <w:lang w:val="en-US" w:eastAsia="de-DE"/>
        </w:rPr>
        <w:t xml:space="preserve"> </w:t>
      </w:r>
      <w:r w:rsidR="00F164C9" w:rsidRPr="00F35403">
        <w:rPr>
          <w:lang w:val="en-US" w:eastAsia="de-DE"/>
        </w:rPr>
        <w:t>Uzbekistan</w:t>
      </w:r>
      <w:r w:rsidR="00F164C9">
        <w:rPr>
          <w:lang w:val="en-US" w:eastAsia="de-DE"/>
        </w:rPr>
        <w:t>,</w:t>
      </w:r>
      <w:r w:rsidR="00F164C9" w:rsidRPr="00F35403">
        <w:rPr>
          <w:lang w:val="en-US" w:eastAsia="de-DE"/>
        </w:rPr>
        <w:t xml:space="preserve"> </w:t>
      </w:r>
      <w:r w:rsidR="00F35403" w:rsidRPr="00F35403">
        <w:rPr>
          <w:lang w:val="en-US" w:eastAsia="de-DE"/>
        </w:rPr>
        <w:t>Kazakhstan</w:t>
      </w:r>
      <w:r w:rsidR="00E753EB" w:rsidRPr="00E753EB">
        <w:rPr>
          <w:lang w:val="en-US" w:eastAsia="de-DE"/>
        </w:rPr>
        <w:t>,</w:t>
      </w:r>
      <w:r w:rsidR="00F35403" w:rsidRPr="00F35403">
        <w:rPr>
          <w:lang w:val="en-US" w:eastAsia="de-DE"/>
        </w:rPr>
        <w:t xml:space="preserve"> and Kyrgyzstan</w:t>
      </w:r>
      <w:r w:rsidR="00F164C9">
        <w:rPr>
          <w:lang w:val="en-US" w:eastAsia="de-DE"/>
        </w:rPr>
        <w:t>.</w:t>
      </w:r>
      <w:r w:rsidR="00ED2CED">
        <w:rPr>
          <w:lang w:val="en-US" w:eastAsia="de-DE"/>
        </w:rPr>
        <w:t xml:space="preserve"> </w:t>
      </w:r>
      <w:r w:rsidR="00E753EB" w:rsidRPr="00E753EB">
        <w:rPr>
          <w:lang w:val="en-US" w:eastAsia="de-DE"/>
        </w:rPr>
        <w:t>In</w:t>
      </w:r>
      <w:r w:rsidR="00ED2CED" w:rsidRPr="00ED2CED">
        <w:rPr>
          <w:lang w:val="en-US" w:eastAsia="de-DE"/>
        </w:rPr>
        <w:t xml:space="preserve"> Uzbekistan</w:t>
      </w:r>
      <w:r w:rsidR="00E753EB" w:rsidRPr="00E753EB">
        <w:rPr>
          <w:lang w:val="en-US" w:eastAsia="de-DE"/>
        </w:rPr>
        <w:t>, the outage began</w:t>
      </w:r>
      <w:r w:rsidR="00ED2CED" w:rsidRPr="00ED2CED">
        <w:rPr>
          <w:lang w:val="en-US" w:eastAsia="de-DE"/>
        </w:rPr>
        <w:t xml:space="preserve"> around 11:00 </w:t>
      </w:r>
      <w:r w:rsidR="00E753EB" w:rsidRPr="00E753EB">
        <w:rPr>
          <w:lang w:val="en-US" w:eastAsia="de-DE"/>
        </w:rPr>
        <w:t>a.m., leading to widespread power loss across major cities.</w:t>
      </w:r>
      <w:r w:rsidR="00ED2CED" w:rsidRPr="00ED2CED">
        <w:rPr>
          <w:lang w:val="en-US" w:eastAsia="de-DE"/>
        </w:rPr>
        <w:t xml:space="preserve"> According to the Ministry of Energy, </w:t>
      </w:r>
      <w:r w:rsidR="00E753EB" w:rsidRPr="00E753EB">
        <w:rPr>
          <w:lang w:val="en-US" w:eastAsia="de-DE"/>
        </w:rPr>
        <w:t>it took approximately 53 hours to fully restore electricity supply across the country, with typical consumption patterns only resuming on January 28. Consequently, January 25</w:t>
      </w:r>
      <w:r w:rsidR="002C4DBC">
        <w:rPr>
          <w:lang w:val="en-US" w:eastAsia="de-DE"/>
        </w:rPr>
        <w:t xml:space="preserve"> to 27</w:t>
      </w:r>
      <w:r w:rsidR="00E753EB" w:rsidRPr="00E753EB">
        <w:rPr>
          <w:lang w:val="en-US" w:eastAsia="de-DE"/>
        </w:rPr>
        <w:t>,</w:t>
      </w:r>
      <w:r w:rsidR="002C4DBC">
        <w:rPr>
          <w:lang w:val="en-US" w:eastAsia="de-DE"/>
        </w:rPr>
        <w:t xml:space="preserve"> 2022</w:t>
      </w:r>
      <w:r w:rsidR="00E753EB" w:rsidRPr="00E753EB">
        <w:rPr>
          <w:lang w:val="en-US" w:eastAsia="de-DE"/>
        </w:rPr>
        <w:t>,</w:t>
      </w:r>
      <w:r w:rsidR="002C4DBC">
        <w:rPr>
          <w:lang w:val="en-US" w:eastAsia="de-DE"/>
        </w:rPr>
        <w:t xml:space="preserve"> are </w:t>
      </w:r>
      <w:r w:rsidR="00E753EB" w:rsidRPr="00E753EB">
        <w:rPr>
          <w:lang w:val="en-US" w:eastAsia="de-DE"/>
        </w:rPr>
        <w:t>marked</w:t>
      </w:r>
      <w:r w:rsidR="002C4DBC">
        <w:rPr>
          <w:lang w:val="en-US" w:eastAsia="de-DE"/>
        </w:rPr>
        <w:t xml:space="preserve"> as outliers in the Prophet model.</w:t>
      </w:r>
    </w:p>
    <w:p w14:paraId="43E37B0D" w14:textId="5BEC9245" w:rsidR="00F8185C" w:rsidRPr="00F8185C" w:rsidRDefault="00F8185C" w:rsidP="00F8185C">
      <w:pPr>
        <w:pStyle w:val="Beschriftung"/>
        <w:rPr>
          <w:rFonts w:cs="calibri light (Überschriften)"/>
          <w:b w:val="0"/>
          <w:bCs/>
          <w:color w:val="104C91"/>
          <w:sz w:val="22"/>
          <w:lang w:val="en-GB"/>
        </w:rPr>
      </w:pPr>
      <w:r w:rsidRPr="00F8185C">
        <w:rPr>
          <w:rFonts w:cs="calibri light (Überschriften)"/>
          <w:b w:val="0"/>
          <w:bCs/>
          <w:color w:val="104C91"/>
          <w:sz w:val="22"/>
          <w:lang w:val="en-GB"/>
        </w:rPr>
        <w:t xml:space="preserve">Figure </w:t>
      </w:r>
      <w:r w:rsidRPr="00F8185C">
        <w:rPr>
          <w:rFonts w:cs="calibri light (Überschriften)"/>
          <w:b w:val="0"/>
          <w:bCs/>
          <w:color w:val="104C91"/>
          <w:sz w:val="22"/>
          <w:lang w:val="en-GB"/>
        </w:rPr>
        <w:fldChar w:fldCharType="begin"/>
      </w:r>
      <w:r w:rsidRPr="00F8185C">
        <w:rPr>
          <w:rFonts w:cs="calibri light (Überschriften)"/>
          <w:b w:val="0"/>
          <w:bCs/>
          <w:color w:val="104C91"/>
          <w:sz w:val="22"/>
          <w:lang w:val="en-GB"/>
        </w:rPr>
        <w:instrText xml:space="preserve"> SEQ Figure \* ARABIC </w:instrText>
      </w:r>
      <w:r w:rsidRPr="00F8185C">
        <w:rPr>
          <w:rFonts w:cs="calibri light (Überschriften)"/>
          <w:b w:val="0"/>
          <w:bCs/>
          <w:color w:val="104C91"/>
          <w:sz w:val="22"/>
          <w:lang w:val="en-GB"/>
        </w:rPr>
        <w:fldChar w:fldCharType="separate"/>
      </w:r>
      <w:r w:rsidR="002401AF">
        <w:rPr>
          <w:rFonts w:cs="calibri light (Überschriften)"/>
          <w:b w:val="0"/>
          <w:bCs/>
          <w:noProof/>
          <w:color w:val="104C91"/>
          <w:sz w:val="22"/>
          <w:lang w:val="en-GB"/>
        </w:rPr>
        <w:t>8</w:t>
      </w:r>
      <w:r w:rsidRPr="00F8185C">
        <w:rPr>
          <w:rFonts w:cs="calibri light (Überschriften)"/>
          <w:b w:val="0"/>
          <w:bCs/>
          <w:color w:val="104C91"/>
          <w:sz w:val="22"/>
          <w:lang w:val="en-GB"/>
        </w:rPr>
        <w:fldChar w:fldCharType="end"/>
      </w:r>
      <w:r w:rsidRPr="00F8185C">
        <w:rPr>
          <w:rFonts w:cs="calibri light (Überschriften)"/>
          <w:b w:val="0"/>
          <w:bCs/>
          <w:color w:val="104C91"/>
          <w:sz w:val="22"/>
          <w:lang w:val="en-GB"/>
        </w:rPr>
        <w:t>: Electricity demand over time, training and testing data</w:t>
      </w:r>
    </w:p>
    <w:p w14:paraId="373FD869" w14:textId="1BA6D107" w:rsidR="00861137" w:rsidRPr="00623CBF" w:rsidRDefault="00370E63" w:rsidP="00861137">
      <w:pPr>
        <w:spacing w:before="260"/>
        <w:rPr>
          <w:rFonts w:eastAsia="Calibri"/>
          <w:szCs w:val="22"/>
        </w:rPr>
      </w:pPr>
      <w:r>
        <w:rPr>
          <w:rFonts w:eastAsia="Calibri"/>
          <w:noProof/>
          <w:szCs w:val="22"/>
        </w:rPr>
        <w:drawing>
          <wp:inline distT="0" distB="0" distL="0" distR="0" wp14:anchorId="6C2D73A9" wp14:editId="43BBCE84">
            <wp:extent cx="4499465" cy="2514600"/>
            <wp:effectExtent l="0" t="0" r="0" b="0"/>
            <wp:docPr id="1859817816" name="Picture 10" descr="A blue and white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17816" name="Picture 10" descr="A blue and white sound wav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5393" cy="2517913"/>
                    </a:xfrm>
                    <a:prstGeom prst="rect">
                      <a:avLst/>
                    </a:prstGeom>
                  </pic:spPr>
                </pic:pic>
              </a:graphicData>
            </a:graphic>
          </wp:inline>
        </w:drawing>
      </w:r>
    </w:p>
    <w:p w14:paraId="275E03A5" w14:textId="46BABD2B" w:rsidR="00861137" w:rsidRPr="00565E2B" w:rsidRDefault="00861137" w:rsidP="00861137">
      <w:pPr>
        <w:rPr>
          <w:i/>
          <w:color w:val="FF0000"/>
          <w:sz w:val="18"/>
        </w:rPr>
      </w:pPr>
      <w:r w:rsidRPr="009C04E3">
        <w:rPr>
          <w:rFonts w:cs="Calibri"/>
          <w:i/>
          <w:iCs/>
          <w:color w:val="ADADAD"/>
          <w:sz w:val="18"/>
        </w:rPr>
        <w:t xml:space="preserve">Source: </w:t>
      </w:r>
      <w:r w:rsidRPr="00191919">
        <w:rPr>
          <w:rFonts w:cs="Calibri"/>
          <w:i/>
          <w:iCs/>
          <w:color w:val="ADADAD"/>
          <w:sz w:val="18"/>
        </w:rPr>
        <w:t>CDC Energiya</w:t>
      </w:r>
    </w:p>
    <w:p w14:paraId="07E0D483" w14:textId="2F43C336" w:rsidR="00863CF1" w:rsidRDefault="00863CF1" w:rsidP="00863CF1">
      <w:pPr>
        <w:pStyle w:val="Beschriftung"/>
        <w:rPr>
          <w:rFonts w:cs="calibri light (Überschriften)"/>
          <w:b w:val="0"/>
          <w:bCs/>
          <w:color w:val="104C91"/>
          <w:sz w:val="22"/>
          <w:lang w:val="en-GB"/>
        </w:rPr>
      </w:pPr>
      <w:r w:rsidRPr="00863CF1">
        <w:rPr>
          <w:rFonts w:cs="calibri light (Überschriften)"/>
          <w:b w:val="0"/>
          <w:bCs/>
          <w:color w:val="104C91"/>
          <w:sz w:val="22"/>
          <w:lang w:val="en-GB"/>
        </w:rPr>
        <w:t xml:space="preserve">Figure </w:t>
      </w:r>
      <w:r w:rsidRPr="00863CF1">
        <w:rPr>
          <w:rFonts w:cs="calibri light (Überschriften)"/>
          <w:b w:val="0"/>
          <w:bCs/>
          <w:color w:val="104C91"/>
          <w:sz w:val="22"/>
          <w:lang w:val="en-GB"/>
        </w:rPr>
        <w:fldChar w:fldCharType="begin"/>
      </w:r>
      <w:r w:rsidRPr="00863CF1">
        <w:rPr>
          <w:rFonts w:cs="calibri light (Überschriften)"/>
          <w:b w:val="0"/>
          <w:bCs/>
          <w:color w:val="104C91"/>
          <w:sz w:val="22"/>
          <w:lang w:val="en-GB"/>
        </w:rPr>
        <w:instrText xml:space="preserve"> SEQ Figure \* ARABIC </w:instrText>
      </w:r>
      <w:r w:rsidRPr="00863CF1">
        <w:rPr>
          <w:rFonts w:cs="calibri light (Überschriften)"/>
          <w:b w:val="0"/>
          <w:bCs/>
          <w:color w:val="104C91"/>
          <w:sz w:val="22"/>
          <w:lang w:val="en-GB"/>
        </w:rPr>
        <w:fldChar w:fldCharType="separate"/>
      </w:r>
      <w:r w:rsidR="002401AF">
        <w:rPr>
          <w:rFonts w:cs="calibri light (Überschriften)"/>
          <w:b w:val="0"/>
          <w:bCs/>
          <w:noProof/>
          <w:color w:val="104C91"/>
          <w:sz w:val="22"/>
          <w:lang w:val="en-GB"/>
        </w:rPr>
        <w:t>9</w:t>
      </w:r>
      <w:r w:rsidRPr="00863CF1">
        <w:rPr>
          <w:rFonts w:cs="calibri light (Überschriften)"/>
          <w:b w:val="0"/>
          <w:bCs/>
          <w:color w:val="104C91"/>
          <w:sz w:val="22"/>
          <w:lang w:val="en-GB"/>
        </w:rPr>
        <w:fldChar w:fldCharType="end"/>
      </w:r>
      <w:r w:rsidRPr="00863CF1">
        <w:rPr>
          <w:rFonts w:cs="calibri light (Überschriften)"/>
          <w:b w:val="0"/>
          <w:bCs/>
          <w:color w:val="104C91"/>
          <w:sz w:val="22"/>
          <w:lang w:val="en-GB"/>
        </w:rPr>
        <w:t xml:space="preserve">: Boxplot - </w:t>
      </w:r>
      <w:r w:rsidR="001A6A37">
        <w:rPr>
          <w:rFonts w:cs="calibri light (Überschriften)"/>
          <w:b w:val="0"/>
          <w:bCs/>
          <w:color w:val="104C91"/>
          <w:sz w:val="22"/>
          <w:lang w:val="en-GB"/>
        </w:rPr>
        <w:t>Hourly</w:t>
      </w:r>
      <w:r w:rsidRPr="00863CF1">
        <w:rPr>
          <w:rFonts w:cs="calibri light (Überschriften)"/>
          <w:b w:val="0"/>
          <w:bCs/>
          <w:color w:val="104C91"/>
          <w:sz w:val="22"/>
          <w:lang w:val="en-GB"/>
        </w:rPr>
        <w:t xml:space="preserve"> </w:t>
      </w:r>
      <w:r w:rsidR="00926321">
        <w:rPr>
          <w:rFonts w:cs="calibri light (Überschriften)"/>
          <w:b w:val="0"/>
          <w:bCs/>
          <w:color w:val="104C91"/>
          <w:sz w:val="22"/>
          <w:lang w:val="en-GB"/>
        </w:rPr>
        <w:t xml:space="preserve">and monthly </w:t>
      </w:r>
      <w:r w:rsidRPr="00863CF1">
        <w:rPr>
          <w:rFonts w:cs="calibri light (Überschriften)"/>
          <w:b w:val="0"/>
          <w:bCs/>
          <w:color w:val="104C91"/>
          <w:sz w:val="22"/>
          <w:lang w:val="en-GB"/>
        </w:rPr>
        <w:t>electricity consumption</w:t>
      </w:r>
      <w:r w:rsidR="001637DE">
        <w:rPr>
          <w:rFonts w:cs="calibri light (Überschriften)"/>
          <w:b w:val="0"/>
          <w:bCs/>
          <w:color w:val="104C91"/>
          <w:sz w:val="22"/>
          <w:lang w:val="en-GB"/>
        </w:rPr>
        <w:t xml:space="preserve"> patterns, 2014-2023 data</w:t>
      </w:r>
    </w:p>
    <w:tbl>
      <w:tblPr>
        <w:tblStyle w:val="Tabellenraster"/>
        <w:tblW w:w="9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694"/>
      </w:tblGrid>
      <w:tr w:rsidR="00CC4B8C" w14:paraId="6834BA0B" w14:textId="77777777" w:rsidTr="008A3A63">
        <w:trPr>
          <w:trHeight w:val="412"/>
        </w:trPr>
        <w:tc>
          <w:tcPr>
            <w:tcW w:w="4694" w:type="dxa"/>
          </w:tcPr>
          <w:p w14:paraId="65841A98" w14:textId="372BE089" w:rsidR="00CC4B8C" w:rsidRDefault="00CC4B8C" w:rsidP="00CC4B8C">
            <w:pPr>
              <w:rPr>
                <w:lang w:eastAsia="de-DE"/>
              </w:rPr>
            </w:pPr>
            <w:r>
              <w:rPr>
                <w:noProof/>
                <w:lang w:eastAsia="de-DE"/>
              </w:rPr>
              <w:drawing>
                <wp:inline distT="0" distB="0" distL="0" distR="0" wp14:anchorId="2951B060" wp14:editId="6BB89804">
                  <wp:extent cx="2844000" cy="1917441"/>
                  <wp:effectExtent l="0" t="0" r="0" b="6985"/>
                  <wp:docPr id="1445215428" name="Picture 14" descr="A graph of 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15428" name="Picture 14" descr="A graph of a graph showing a number of object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4000" cy="1917441"/>
                          </a:xfrm>
                          <a:prstGeom prst="rect">
                            <a:avLst/>
                          </a:prstGeom>
                        </pic:spPr>
                      </pic:pic>
                    </a:graphicData>
                  </a:graphic>
                </wp:inline>
              </w:drawing>
            </w:r>
          </w:p>
        </w:tc>
        <w:tc>
          <w:tcPr>
            <w:tcW w:w="4694" w:type="dxa"/>
          </w:tcPr>
          <w:p w14:paraId="17FD3707" w14:textId="3154D3E7" w:rsidR="00CC4B8C" w:rsidRDefault="00CC4B8C" w:rsidP="00CC4B8C">
            <w:pPr>
              <w:rPr>
                <w:lang w:eastAsia="de-DE"/>
              </w:rPr>
            </w:pPr>
            <w:r>
              <w:rPr>
                <w:noProof/>
                <w:lang w:eastAsia="de-DE"/>
              </w:rPr>
              <w:drawing>
                <wp:inline distT="0" distB="0" distL="0" distR="0" wp14:anchorId="1E52238E" wp14:editId="7F61F31D">
                  <wp:extent cx="2844000" cy="1917440"/>
                  <wp:effectExtent l="0" t="0" r="0" b="6985"/>
                  <wp:docPr id="293702246" name="Picture 15" descr="A graph of 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2246" name="Picture 15" descr="A graph of a graph with blue square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4000" cy="1917440"/>
                          </a:xfrm>
                          <a:prstGeom prst="rect">
                            <a:avLst/>
                          </a:prstGeom>
                        </pic:spPr>
                      </pic:pic>
                    </a:graphicData>
                  </a:graphic>
                </wp:inline>
              </w:drawing>
            </w:r>
          </w:p>
        </w:tc>
      </w:tr>
    </w:tbl>
    <w:p w14:paraId="0E8B23F6" w14:textId="6ED0953B" w:rsidR="00EE465E" w:rsidRPr="00775C97" w:rsidRDefault="008A3A63" w:rsidP="00775C97">
      <w:pPr>
        <w:rPr>
          <w:i/>
          <w:color w:val="FF0000"/>
          <w:sz w:val="18"/>
        </w:rPr>
      </w:pPr>
      <w:r w:rsidRPr="009C04E3">
        <w:rPr>
          <w:rFonts w:cs="Calibri"/>
          <w:i/>
          <w:iCs/>
          <w:color w:val="ADADAD"/>
          <w:sz w:val="18"/>
        </w:rPr>
        <w:t xml:space="preserve">Source: </w:t>
      </w:r>
      <w:r w:rsidRPr="00191919">
        <w:rPr>
          <w:rFonts w:cs="Calibri"/>
          <w:i/>
          <w:iCs/>
          <w:color w:val="ADADAD"/>
          <w:sz w:val="18"/>
        </w:rPr>
        <w:t>CDC Energiya</w:t>
      </w:r>
      <w:r>
        <w:rPr>
          <w:rFonts w:cs="Calibri"/>
          <w:i/>
          <w:iCs/>
          <w:color w:val="ADADAD"/>
          <w:sz w:val="18"/>
        </w:rPr>
        <w:t>.</w:t>
      </w:r>
      <w:r w:rsidR="00052722">
        <w:rPr>
          <w:rFonts w:cs="Calibri"/>
          <w:i/>
          <w:iCs/>
          <w:color w:val="ADADAD"/>
          <w:sz w:val="18"/>
        </w:rPr>
        <w:t xml:space="preserve"> Note: </w:t>
      </w:r>
      <w:r w:rsidR="00FB6C89">
        <w:rPr>
          <w:rFonts w:cs="Calibri"/>
          <w:i/>
          <w:iCs/>
          <w:color w:val="ADADAD"/>
          <w:sz w:val="18"/>
        </w:rPr>
        <w:t>These</w:t>
      </w:r>
      <w:r w:rsidR="00052722" w:rsidRPr="00052722">
        <w:rPr>
          <w:rFonts w:cs="Calibri"/>
          <w:i/>
          <w:iCs/>
          <w:color w:val="ADADAD"/>
          <w:sz w:val="18"/>
        </w:rPr>
        <w:t xml:space="preserve"> boxplot</w:t>
      </w:r>
      <w:r w:rsidR="00FB6C89">
        <w:rPr>
          <w:rFonts w:cs="Calibri"/>
          <w:i/>
          <w:iCs/>
          <w:color w:val="ADADAD"/>
          <w:sz w:val="18"/>
        </w:rPr>
        <w:t>s</w:t>
      </w:r>
      <w:r w:rsidR="00052722" w:rsidRPr="00052722">
        <w:rPr>
          <w:rFonts w:cs="Calibri"/>
          <w:i/>
          <w:iCs/>
          <w:color w:val="ADADAD"/>
          <w:sz w:val="18"/>
        </w:rPr>
        <w:t xml:space="preserve"> show the distribution of </w:t>
      </w:r>
      <w:r w:rsidR="00196A0E">
        <w:rPr>
          <w:rFonts w:cs="Calibri"/>
          <w:i/>
          <w:iCs/>
          <w:color w:val="ADADAD"/>
          <w:sz w:val="18"/>
        </w:rPr>
        <w:t xml:space="preserve">our electricity consumption </w:t>
      </w:r>
      <w:r w:rsidR="00052722" w:rsidRPr="00052722">
        <w:rPr>
          <w:rFonts w:cs="Calibri"/>
          <w:i/>
          <w:iCs/>
          <w:color w:val="ADADAD"/>
          <w:sz w:val="18"/>
        </w:rPr>
        <w:t xml:space="preserve">data. The blue boxes represent the </w:t>
      </w:r>
      <w:r w:rsidR="00FB6C89">
        <w:rPr>
          <w:rFonts w:cs="Calibri"/>
          <w:i/>
          <w:iCs/>
          <w:color w:val="ADADAD"/>
          <w:sz w:val="18"/>
        </w:rPr>
        <w:t xml:space="preserve">range of hourly consumption </w:t>
      </w:r>
      <w:r w:rsidR="00196A0E">
        <w:rPr>
          <w:rFonts w:cs="Calibri"/>
          <w:i/>
          <w:iCs/>
          <w:color w:val="ADADAD"/>
          <w:sz w:val="18"/>
        </w:rPr>
        <w:t>in which</w:t>
      </w:r>
      <w:r w:rsidR="00FB6C89">
        <w:rPr>
          <w:rFonts w:cs="Calibri"/>
          <w:i/>
          <w:iCs/>
          <w:color w:val="ADADAD"/>
          <w:sz w:val="18"/>
        </w:rPr>
        <w:t xml:space="preserve"> </w:t>
      </w:r>
      <w:r w:rsidR="00052722" w:rsidRPr="00052722">
        <w:rPr>
          <w:rFonts w:cs="Calibri"/>
          <w:i/>
          <w:iCs/>
          <w:color w:val="ADADAD"/>
          <w:sz w:val="18"/>
        </w:rPr>
        <w:t>50% of</w:t>
      </w:r>
      <w:r w:rsidR="00FB6C89">
        <w:rPr>
          <w:rFonts w:cs="Calibri"/>
          <w:i/>
          <w:iCs/>
          <w:color w:val="ADADAD"/>
          <w:sz w:val="18"/>
        </w:rPr>
        <w:t xml:space="preserve"> data points lie </w:t>
      </w:r>
      <w:r w:rsidR="00196A0E">
        <w:rPr>
          <w:rFonts w:cs="Calibri"/>
          <w:i/>
          <w:iCs/>
          <w:color w:val="ADADAD"/>
          <w:sz w:val="18"/>
        </w:rPr>
        <w:t xml:space="preserve">for </w:t>
      </w:r>
      <w:r w:rsidR="00FB6C89">
        <w:rPr>
          <w:rFonts w:cs="Calibri"/>
          <w:i/>
          <w:iCs/>
          <w:color w:val="ADADAD"/>
          <w:sz w:val="18"/>
        </w:rPr>
        <w:t>the given</w:t>
      </w:r>
      <w:r w:rsidR="00052722" w:rsidRPr="00052722">
        <w:rPr>
          <w:rFonts w:cs="Calibri"/>
          <w:i/>
          <w:iCs/>
          <w:color w:val="ADADAD"/>
          <w:sz w:val="18"/>
        </w:rPr>
        <w:t xml:space="preserve"> hour</w:t>
      </w:r>
      <w:r w:rsidR="00052722">
        <w:rPr>
          <w:rFonts w:cs="Calibri"/>
          <w:i/>
          <w:iCs/>
          <w:color w:val="ADADAD"/>
          <w:sz w:val="18"/>
        </w:rPr>
        <w:t>/month</w:t>
      </w:r>
      <w:r w:rsidR="00052722" w:rsidRPr="00052722">
        <w:rPr>
          <w:rFonts w:cs="Calibri"/>
          <w:i/>
          <w:iCs/>
          <w:color w:val="ADADAD"/>
          <w:sz w:val="18"/>
        </w:rPr>
        <w:t xml:space="preserve"> (25th to 75th percentile), with the line inside each box marking the median. The "whiskers" extend to show the range of most data points, while dots indicate outliers (values significantly higher or lower than the rest).</w:t>
      </w:r>
      <w:r w:rsidR="00A26D8A">
        <w:rPr>
          <w:rFonts w:cs="Calibri"/>
          <w:i/>
          <w:iCs/>
          <w:color w:val="ADADAD"/>
          <w:sz w:val="18"/>
        </w:rPr>
        <w:t xml:space="preserve"> These charts therefore show us the typical </w:t>
      </w:r>
      <w:r w:rsidR="001A6A37">
        <w:rPr>
          <w:rFonts w:cs="Calibri"/>
          <w:i/>
          <w:iCs/>
          <w:color w:val="ADADAD"/>
          <w:sz w:val="18"/>
        </w:rPr>
        <w:t xml:space="preserve">daily and yearly </w:t>
      </w:r>
      <w:proofErr w:type="spellStart"/>
      <w:r w:rsidR="001A6A37">
        <w:rPr>
          <w:rFonts w:cs="Calibri"/>
          <w:i/>
          <w:iCs/>
          <w:color w:val="ADADAD"/>
          <w:sz w:val="18"/>
        </w:rPr>
        <w:t>seasonalities</w:t>
      </w:r>
      <w:proofErr w:type="spellEnd"/>
      <w:r w:rsidR="001A6A37">
        <w:rPr>
          <w:rFonts w:cs="Calibri"/>
          <w:i/>
          <w:iCs/>
          <w:color w:val="ADADAD"/>
          <w:sz w:val="18"/>
        </w:rPr>
        <w:t xml:space="preserve"> over the whole dataset.</w:t>
      </w:r>
    </w:p>
    <w:p w14:paraId="3EDF649B" w14:textId="5E18A8FB" w:rsidR="00861137" w:rsidRPr="00103D73" w:rsidRDefault="00103D73" w:rsidP="00103D73">
      <w:pPr>
        <w:pStyle w:val="Beschriftung"/>
        <w:rPr>
          <w:rFonts w:cs="calibri light (Überschriften)"/>
          <w:b w:val="0"/>
          <w:bCs/>
          <w:color w:val="104C91"/>
          <w:sz w:val="22"/>
          <w:lang w:val="en-GB"/>
        </w:rPr>
      </w:pPr>
      <w:r w:rsidRPr="00103D73">
        <w:rPr>
          <w:rFonts w:cs="calibri light (Überschriften)"/>
          <w:b w:val="0"/>
          <w:bCs/>
          <w:color w:val="104C91"/>
          <w:sz w:val="22"/>
          <w:lang w:val="en-GB"/>
        </w:rPr>
        <w:lastRenderedPageBreak/>
        <w:t xml:space="preserve">Figure </w:t>
      </w:r>
      <w:r w:rsidRPr="00103D73">
        <w:rPr>
          <w:rFonts w:cs="calibri light (Überschriften)"/>
          <w:b w:val="0"/>
          <w:bCs/>
          <w:color w:val="104C91"/>
          <w:sz w:val="22"/>
          <w:lang w:val="en-GB"/>
        </w:rPr>
        <w:fldChar w:fldCharType="begin"/>
      </w:r>
      <w:r w:rsidRPr="00103D73">
        <w:rPr>
          <w:rFonts w:cs="calibri light (Überschriften)"/>
          <w:b w:val="0"/>
          <w:bCs/>
          <w:color w:val="104C91"/>
          <w:sz w:val="22"/>
          <w:lang w:val="en-GB"/>
        </w:rPr>
        <w:instrText xml:space="preserve"> SEQ Figure \* ARABIC </w:instrText>
      </w:r>
      <w:r w:rsidRPr="00103D73">
        <w:rPr>
          <w:rFonts w:cs="calibri light (Überschriften)"/>
          <w:b w:val="0"/>
          <w:bCs/>
          <w:color w:val="104C91"/>
          <w:sz w:val="22"/>
          <w:lang w:val="en-GB"/>
        </w:rPr>
        <w:fldChar w:fldCharType="separate"/>
      </w:r>
      <w:r w:rsidR="002401AF">
        <w:rPr>
          <w:rFonts w:cs="calibri light (Überschriften)"/>
          <w:b w:val="0"/>
          <w:bCs/>
          <w:noProof/>
          <w:color w:val="104C91"/>
          <w:sz w:val="22"/>
          <w:lang w:val="en-GB"/>
        </w:rPr>
        <w:t>10</w:t>
      </w:r>
      <w:r w:rsidRPr="00103D73">
        <w:rPr>
          <w:rFonts w:cs="calibri light (Überschriften)"/>
          <w:b w:val="0"/>
          <w:bCs/>
          <w:color w:val="104C91"/>
          <w:sz w:val="22"/>
          <w:lang w:val="en-GB"/>
        </w:rPr>
        <w:fldChar w:fldCharType="end"/>
      </w:r>
      <w:r w:rsidRPr="00103D73">
        <w:rPr>
          <w:rFonts w:cs="calibri light (Überschriften)"/>
          <w:b w:val="0"/>
          <w:bCs/>
          <w:color w:val="104C91"/>
          <w:sz w:val="22"/>
          <w:lang w:val="en-GB"/>
        </w:rPr>
        <w:t xml:space="preserve">: Hourly electricity consumption </w:t>
      </w:r>
      <w:r w:rsidR="001637DE">
        <w:rPr>
          <w:rFonts w:cs="calibri light (Überschriften)"/>
          <w:b w:val="0"/>
          <w:bCs/>
          <w:color w:val="104C91"/>
          <w:sz w:val="22"/>
          <w:lang w:val="en-GB"/>
        </w:rPr>
        <w:t>patterns</w:t>
      </w:r>
      <w:r w:rsidR="001637DE" w:rsidRPr="00103D73">
        <w:rPr>
          <w:rFonts w:cs="calibri light (Überschriften)"/>
          <w:b w:val="0"/>
          <w:bCs/>
          <w:color w:val="104C91"/>
          <w:sz w:val="22"/>
          <w:lang w:val="en-GB"/>
        </w:rPr>
        <w:t xml:space="preserve"> </w:t>
      </w:r>
      <w:r w:rsidRPr="00103D73">
        <w:rPr>
          <w:rFonts w:cs="calibri light (Überschriften)"/>
          <w:b w:val="0"/>
          <w:bCs/>
          <w:color w:val="104C91"/>
          <w:sz w:val="22"/>
          <w:lang w:val="en-GB"/>
        </w:rPr>
        <w:t>by weekday</w:t>
      </w:r>
      <w:r w:rsidR="001637DE">
        <w:rPr>
          <w:rFonts w:cs="calibri light (Überschriften)"/>
          <w:b w:val="0"/>
          <w:bCs/>
          <w:color w:val="104C91"/>
          <w:sz w:val="22"/>
          <w:lang w:val="en-GB"/>
        </w:rPr>
        <w:t>, 2014-2023 data</w:t>
      </w:r>
    </w:p>
    <w:p w14:paraId="161DD353" w14:textId="4E3D345D" w:rsidR="00103D73" w:rsidRDefault="00103D73" w:rsidP="00D629F3">
      <w:pPr>
        <w:pStyle w:val="Fliesstext"/>
        <w:rPr>
          <w:highlight w:val="yellow"/>
          <w:lang w:eastAsia="de-DE"/>
        </w:rPr>
      </w:pPr>
      <w:r>
        <w:rPr>
          <w:noProof/>
          <w:lang w:eastAsia="de-DE"/>
        </w:rPr>
        <w:drawing>
          <wp:inline distT="0" distB="0" distL="0" distR="0" wp14:anchorId="1D0EAF6D" wp14:editId="576CB8B2">
            <wp:extent cx="4500000" cy="2858729"/>
            <wp:effectExtent l="0" t="0" r="0" b="0"/>
            <wp:docPr id="1643324383"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24383" name="Picture 13" descr="A graph with blue and orang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0000" cy="2858729"/>
                    </a:xfrm>
                    <a:prstGeom prst="rect">
                      <a:avLst/>
                    </a:prstGeom>
                  </pic:spPr>
                </pic:pic>
              </a:graphicData>
            </a:graphic>
          </wp:inline>
        </w:drawing>
      </w:r>
    </w:p>
    <w:p w14:paraId="4EC9D06F" w14:textId="45E8A7ED" w:rsidR="00103D73" w:rsidRPr="00565E2B" w:rsidRDefault="00103D73" w:rsidP="00103D73">
      <w:pPr>
        <w:rPr>
          <w:i/>
          <w:color w:val="FF0000"/>
          <w:sz w:val="18"/>
        </w:rPr>
      </w:pPr>
      <w:r w:rsidRPr="009C04E3">
        <w:rPr>
          <w:rFonts w:cs="Calibri"/>
          <w:i/>
          <w:iCs/>
          <w:color w:val="ADADAD"/>
          <w:sz w:val="18"/>
        </w:rPr>
        <w:t xml:space="preserve">Source: </w:t>
      </w:r>
      <w:r w:rsidRPr="00191919">
        <w:rPr>
          <w:rFonts w:cs="Calibri"/>
          <w:i/>
          <w:iCs/>
          <w:color w:val="ADADAD"/>
          <w:sz w:val="18"/>
        </w:rPr>
        <w:t>CDC Energiya</w:t>
      </w:r>
      <w:r>
        <w:rPr>
          <w:rFonts w:cs="Calibri"/>
          <w:i/>
          <w:iCs/>
          <w:color w:val="ADADAD"/>
          <w:sz w:val="18"/>
        </w:rPr>
        <w:t>.</w:t>
      </w:r>
      <w:r w:rsidR="000E6188">
        <w:rPr>
          <w:rFonts w:cs="Calibri"/>
          <w:i/>
          <w:iCs/>
          <w:color w:val="ADADAD"/>
          <w:sz w:val="18"/>
        </w:rPr>
        <w:t xml:space="preserve"> </w:t>
      </w:r>
      <w:r w:rsidR="000E6188" w:rsidRPr="000E6188">
        <w:rPr>
          <w:rFonts w:cs="Calibri"/>
          <w:i/>
          <w:iCs/>
          <w:color w:val="ADADAD"/>
          <w:sz w:val="18"/>
        </w:rPr>
        <w:t>Note: This chart shows the average hourly electricity consumption patterns for each weekday, based on data from 2014 to 2023. Each line represents a different day of the week, highlighting variations in electricity demand throughout the day and across weekdays versus weekends.</w:t>
      </w:r>
    </w:p>
    <w:p w14:paraId="616494E3" w14:textId="422DD4B4" w:rsidR="001876C8" w:rsidRDefault="001876C8" w:rsidP="001876C8">
      <w:pPr>
        <w:pStyle w:val="Hervorhebungen-blau-fett"/>
        <w:spacing w:after="120"/>
      </w:pPr>
      <w:r>
        <w:t>Input data for external regressors</w:t>
      </w:r>
    </w:p>
    <w:p w14:paraId="783CD805" w14:textId="393059EB" w:rsidR="00CC076D" w:rsidRPr="002F7081" w:rsidRDefault="002F7081" w:rsidP="002F7081">
      <w:pPr>
        <w:pStyle w:val="Beschriftung"/>
        <w:rPr>
          <w:rFonts w:cs="calibri light (Überschriften)"/>
          <w:b w:val="0"/>
          <w:bCs/>
          <w:color w:val="104C91"/>
          <w:sz w:val="22"/>
          <w:lang w:val="en-GB"/>
        </w:rPr>
      </w:pPr>
      <w:r w:rsidRPr="002F7081">
        <w:rPr>
          <w:rFonts w:cs="calibri light (Überschriften)"/>
          <w:b w:val="0"/>
          <w:bCs/>
          <w:color w:val="104C91"/>
          <w:sz w:val="22"/>
          <w:lang w:val="en-GB"/>
        </w:rPr>
        <w:t xml:space="preserve">Table </w:t>
      </w:r>
      <w:r w:rsidRPr="002F7081">
        <w:rPr>
          <w:rFonts w:cs="calibri light (Überschriften)"/>
          <w:b w:val="0"/>
          <w:bCs/>
          <w:color w:val="104C91"/>
          <w:sz w:val="22"/>
          <w:lang w:val="en-GB"/>
        </w:rPr>
        <w:fldChar w:fldCharType="begin"/>
      </w:r>
      <w:r w:rsidRPr="002F7081">
        <w:rPr>
          <w:rFonts w:cs="calibri light (Überschriften)"/>
          <w:b w:val="0"/>
          <w:bCs/>
          <w:color w:val="104C91"/>
          <w:sz w:val="22"/>
          <w:lang w:val="en-GB"/>
        </w:rPr>
        <w:instrText xml:space="preserve"> SEQ Table \* ARABIC </w:instrText>
      </w:r>
      <w:r w:rsidRPr="002F7081">
        <w:rPr>
          <w:rFonts w:cs="calibri light (Überschriften)"/>
          <w:b w:val="0"/>
          <w:bCs/>
          <w:color w:val="104C91"/>
          <w:sz w:val="22"/>
          <w:lang w:val="en-GB"/>
        </w:rPr>
        <w:fldChar w:fldCharType="separate"/>
      </w:r>
      <w:r w:rsidR="002401AF">
        <w:rPr>
          <w:rFonts w:cs="calibri light (Überschriften)"/>
          <w:b w:val="0"/>
          <w:bCs/>
          <w:noProof/>
          <w:color w:val="104C91"/>
          <w:sz w:val="22"/>
          <w:lang w:val="en-GB"/>
        </w:rPr>
        <w:t>3</w:t>
      </w:r>
      <w:r w:rsidRPr="002F7081">
        <w:rPr>
          <w:rFonts w:cs="calibri light (Überschriften)"/>
          <w:b w:val="0"/>
          <w:bCs/>
          <w:color w:val="104C91"/>
          <w:sz w:val="22"/>
          <w:lang w:val="en-GB"/>
        </w:rPr>
        <w:fldChar w:fldCharType="end"/>
      </w:r>
      <w:r w:rsidRPr="002F7081">
        <w:rPr>
          <w:rFonts w:cs="calibri light (Überschriften)"/>
          <w:b w:val="0"/>
          <w:bCs/>
          <w:color w:val="104C91"/>
          <w:sz w:val="22"/>
          <w:lang w:val="en-GB"/>
        </w:rPr>
        <w:t>: Descriptive statistics of input data</w:t>
      </w:r>
    </w:p>
    <w:tbl>
      <w:tblPr>
        <w:tblStyle w:val="Tabellenraster2"/>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1162"/>
        <w:gridCol w:w="1843"/>
        <w:gridCol w:w="2976"/>
        <w:gridCol w:w="1701"/>
      </w:tblGrid>
      <w:tr w:rsidR="00AC4EA9" w:rsidRPr="005A18C8" w14:paraId="43A52F49" w14:textId="77777777" w:rsidTr="00237CC7">
        <w:trPr>
          <w:trHeight w:val="218"/>
        </w:trPr>
        <w:tc>
          <w:tcPr>
            <w:tcW w:w="1390" w:type="dxa"/>
            <w:vMerge w:val="restart"/>
            <w:tcBorders>
              <w:top w:val="single" w:sz="6" w:space="0" w:color="104C91"/>
            </w:tcBorders>
            <w:shd w:val="clear" w:color="auto" w:fill="auto"/>
            <w:noWrap/>
            <w:vAlign w:val="center"/>
            <w:hideMark/>
          </w:tcPr>
          <w:p w14:paraId="51382FC7" w14:textId="7892437C" w:rsidR="00AC4EA9" w:rsidRPr="005A18C8" w:rsidRDefault="00AC4EA9">
            <w:pPr>
              <w:spacing w:before="0" w:line="240" w:lineRule="auto"/>
              <w:jc w:val="left"/>
              <w:rPr>
                <w:rFonts w:asciiTheme="minorHAnsi" w:eastAsia="Times New Roman" w:hAnsiTheme="minorHAnsi" w:cstheme="minorHAnsi"/>
                <w:b/>
                <w:bCs/>
                <w:color w:val="104C91"/>
                <w:szCs w:val="22"/>
                <w:lang w:val="de-DE" w:eastAsia="ru-RU"/>
              </w:rPr>
            </w:pPr>
            <w:r>
              <w:rPr>
                <w:rFonts w:asciiTheme="minorHAnsi" w:eastAsia="Times New Roman" w:hAnsiTheme="minorHAnsi" w:cstheme="minorHAnsi"/>
                <w:b/>
                <w:bCs/>
                <w:color w:val="104C91"/>
                <w:szCs w:val="22"/>
                <w:lang w:val="de-DE" w:eastAsia="ru-RU"/>
              </w:rPr>
              <w:t>Variable</w:t>
            </w:r>
          </w:p>
        </w:tc>
        <w:tc>
          <w:tcPr>
            <w:tcW w:w="1162" w:type="dxa"/>
            <w:vMerge w:val="restart"/>
            <w:tcBorders>
              <w:top w:val="single" w:sz="6" w:space="0" w:color="104C91"/>
            </w:tcBorders>
            <w:vAlign w:val="center"/>
          </w:tcPr>
          <w:p w14:paraId="738DB7C9" w14:textId="17ADE0DF" w:rsidR="00AC4EA9" w:rsidRPr="005A18C8" w:rsidRDefault="00AC4EA9">
            <w:pPr>
              <w:spacing w:before="0" w:line="240" w:lineRule="auto"/>
              <w:jc w:val="center"/>
              <w:rPr>
                <w:b/>
                <w:bCs/>
                <w:color w:val="104C91"/>
                <w:lang w:eastAsia="de-DE"/>
              </w:rPr>
            </w:pPr>
            <w:r>
              <w:rPr>
                <w:b/>
                <w:bCs/>
                <w:color w:val="104C91"/>
                <w:lang w:eastAsia="de-DE"/>
              </w:rPr>
              <w:t>Unit</w:t>
            </w:r>
          </w:p>
        </w:tc>
        <w:tc>
          <w:tcPr>
            <w:tcW w:w="4819" w:type="dxa"/>
            <w:gridSpan w:val="2"/>
            <w:tcBorders>
              <w:top w:val="single" w:sz="6" w:space="0" w:color="104C91"/>
            </w:tcBorders>
            <w:shd w:val="clear" w:color="auto" w:fill="auto"/>
            <w:vAlign w:val="center"/>
            <w:hideMark/>
          </w:tcPr>
          <w:p w14:paraId="3B5225D1" w14:textId="46FC8F31" w:rsidR="00AC4EA9" w:rsidRPr="005A18C8" w:rsidRDefault="00AC4EA9">
            <w:pPr>
              <w:spacing w:before="0" w:line="240" w:lineRule="auto"/>
              <w:jc w:val="center"/>
              <w:rPr>
                <w:rFonts w:asciiTheme="minorHAnsi" w:eastAsia="Times New Roman" w:hAnsiTheme="minorHAnsi" w:cstheme="minorHAnsi"/>
                <w:b/>
                <w:bCs/>
                <w:color w:val="104C91"/>
                <w:szCs w:val="22"/>
                <w:lang w:eastAsia="ru-RU"/>
              </w:rPr>
            </w:pPr>
            <w:r>
              <w:rPr>
                <w:rFonts w:asciiTheme="minorHAnsi" w:eastAsia="Times New Roman" w:hAnsiTheme="minorHAnsi" w:cstheme="minorHAnsi"/>
                <w:b/>
                <w:bCs/>
                <w:color w:val="104C91"/>
                <w:szCs w:val="22"/>
                <w:lang w:eastAsia="ru-RU"/>
              </w:rPr>
              <w:t>Historical data</w:t>
            </w:r>
          </w:p>
        </w:tc>
        <w:tc>
          <w:tcPr>
            <w:tcW w:w="1701" w:type="dxa"/>
            <w:vMerge w:val="restart"/>
            <w:tcBorders>
              <w:top w:val="single" w:sz="6" w:space="0" w:color="104C91"/>
            </w:tcBorders>
            <w:shd w:val="clear" w:color="auto" w:fill="auto"/>
            <w:vAlign w:val="center"/>
          </w:tcPr>
          <w:p w14:paraId="1ED099B3" w14:textId="69DE90F9" w:rsidR="00AC4EA9" w:rsidRPr="005A18C8" w:rsidRDefault="00AC4EA9">
            <w:pPr>
              <w:spacing w:before="0" w:line="240" w:lineRule="auto"/>
              <w:jc w:val="center"/>
              <w:rPr>
                <w:rFonts w:asciiTheme="minorHAnsi" w:eastAsia="Times New Roman" w:hAnsiTheme="minorHAnsi" w:cstheme="minorHAnsi"/>
                <w:b/>
                <w:bCs/>
                <w:color w:val="104C91"/>
                <w:szCs w:val="22"/>
                <w:lang w:eastAsia="ru-RU"/>
              </w:rPr>
            </w:pPr>
            <w:r>
              <w:rPr>
                <w:rFonts w:asciiTheme="minorHAnsi" w:eastAsia="Times New Roman" w:hAnsiTheme="minorHAnsi" w:cstheme="minorHAnsi"/>
                <w:b/>
                <w:bCs/>
                <w:color w:val="104C91"/>
                <w:szCs w:val="22"/>
                <w:lang w:eastAsia="ru-RU"/>
              </w:rPr>
              <w:t>Source</w:t>
            </w:r>
          </w:p>
        </w:tc>
      </w:tr>
      <w:tr w:rsidR="00AC4EA9" w:rsidRPr="005A18C8" w14:paraId="56365E1C" w14:textId="77777777" w:rsidTr="00237CC7">
        <w:trPr>
          <w:trHeight w:val="218"/>
        </w:trPr>
        <w:tc>
          <w:tcPr>
            <w:tcW w:w="1390" w:type="dxa"/>
            <w:vMerge/>
            <w:shd w:val="clear" w:color="auto" w:fill="auto"/>
            <w:noWrap/>
            <w:vAlign w:val="center"/>
          </w:tcPr>
          <w:p w14:paraId="6E5EFA7D" w14:textId="77777777" w:rsidR="00AC4EA9" w:rsidRDefault="00AC4EA9" w:rsidP="00AC4EA9">
            <w:pPr>
              <w:spacing w:before="0" w:line="240" w:lineRule="auto"/>
              <w:jc w:val="left"/>
              <w:rPr>
                <w:rFonts w:asciiTheme="minorHAnsi" w:eastAsia="Times New Roman" w:hAnsiTheme="minorHAnsi" w:cstheme="minorHAnsi"/>
                <w:b/>
                <w:bCs/>
                <w:color w:val="104C91"/>
                <w:szCs w:val="22"/>
                <w:lang w:val="de-DE" w:eastAsia="ru-RU"/>
              </w:rPr>
            </w:pPr>
          </w:p>
        </w:tc>
        <w:tc>
          <w:tcPr>
            <w:tcW w:w="1162" w:type="dxa"/>
            <w:vMerge/>
            <w:vAlign w:val="center"/>
          </w:tcPr>
          <w:p w14:paraId="4CBC7D94" w14:textId="77777777" w:rsidR="00AC4EA9" w:rsidRDefault="00AC4EA9" w:rsidP="00AC4EA9">
            <w:pPr>
              <w:spacing w:before="0" w:line="240" w:lineRule="auto"/>
              <w:jc w:val="center"/>
              <w:rPr>
                <w:b/>
                <w:bCs/>
                <w:color w:val="104C91"/>
                <w:lang w:eastAsia="de-DE"/>
              </w:rPr>
            </w:pPr>
          </w:p>
        </w:tc>
        <w:tc>
          <w:tcPr>
            <w:tcW w:w="1843" w:type="dxa"/>
            <w:shd w:val="clear" w:color="auto" w:fill="auto"/>
            <w:vAlign w:val="center"/>
          </w:tcPr>
          <w:p w14:paraId="762A6D74" w14:textId="63E3215A" w:rsidR="00AC4EA9" w:rsidRPr="00127AFF" w:rsidRDefault="00AC4EA9" w:rsidP="00AC4EA9">
            <w:pPr>
              <w:spacing w:before="0" w:line="240" w:lineRule="auto"/>
              <w:jc w:val="center"/>
              <w:rPr>
                <w:rFonts w:asciiTheme="minorHAnsi" w:eastAsia="Times New Roman" w:hAnsiTheme="minorHAnsi" w:cstheme="minorHAnsi"/>
                <w:b/>
                <w:bCs/>
                <w:color w:val="104C91"/>
                <w:szCs w:val="22"/>
                <w:highlight w:val="yellow"/>
                <w:lang w:eastAsia="ru-RU"/>
              </w:rPr>
            </w:pPr>
            <w:r w:rsidRPr="00C2256B">
              <w:rPr>
                <w:rFonts w:asciiTheme="minorHAnsi" w:eastAsia="Times New Roman" w:hAnsiTheme="minorHAnsi" w:cstheme="minorHAnsi"/>
                <w:b/>
                <w:bCs/>
                <w:color w:val="104C91"/>
                <w:szCs w:val="22"/>
                <w:lang w:eastAsia="ru-RU"/>
              </w:rPr>
              <w:t>Coverage</w:t>
            </w:r>
          </w:p>
        </w:tc>
        <w:tc>
          <w:tcPr>
            <w:tcW w:w="2976" w:type="dxa"/>
            <w:shd w:val="clear" w:color="auto" w:fill="auto"/>
            <w:vAlign w:val="center"/>
          </w:tcPr>
          <w:p w14:paraId="54B60169" w14:textId="466E4CEF" w:rsidR="00AC4EA9" w:rsidRDefault="00AC4EA9" w:rsidP="00AC4EA9">
            <w:pPr>
              <w:spacing w:before="0" w:line="240" w:lineRule="auto"/>
              <w:jc w:val="center"/>
              <w:rPr>
                <w:rFonts w:asciiTheme="minorHAnsi" w:eastAsia="Times New Roman" w:hAnsiTheme="minorHAnsi" w:cstheme="minorHAnsi"/>
                <w:b/>
                <w:bCs/>
                <w:color w:val="104C91"/>
                <w:szCs w:val="22"/>
                <w:lang w:eastAsia="ru-RU"/>
              </w:rPr>
            </w:pPr>
            <w:r>
              <w:rPr>
                <w:rFonts w:asciiTheme="minorHAnsi" w:eastAsia="Times New Roman" w:hAnsiTheme="minorHAnsi" w:cstheme="minorHAnsi"/>
                <w:b/>
                <w:bCs/>
                <w:color w:val="104C91"/>
                <w:szCs w:val="22"/>
                <w:lang w:eastAsia="ru-RU"/>
              </w:rPr>
              <w:t>Mean</w:t>
            </w:r>
            <w:r w:rsidR="00237CC7">
              <w:rPr>
                <w:rFonts w:asciiTheme="minorHAnsi" w:eastAsia="Times New Roman" w:hAnsiTheme="minorHAnsi" w:cstheme="minorHAnsi"/>
                <w:b/>
                <w:bCs/>
                <w:color w:val="104C91"/>
                <w:szCs w:val="22"/>
                <w:lang w:eastAsia="ru-RU"/>
              </w:rPr>
              <w:t xml:space="preserve"> –</w:t>
            </w:r>
            <w:r>
              <w:rPr>
                <w:rFonts w:asciiTheme="minorHAnsi" w:eastAsia="Times New Roman" w:hAnsiTheme="minorHAnsi" w:cstheme="minorHAnsi"/>
                <w:b/>
                <w:bCs/>
                <w:color w:val="104C91"/>
                <w:szCs w:val="22"/>
                <w:lang w:eastAsia="ru-RU"/>
              </w:rPr>
              <w:t xml:space="preserve"> Min</w:t>
            </w:r>
            <w:r w:rsidR="00237CC7">
              <w:rPr>
                <w:rFonts w:asciiTheme="minorHAnsi" w:eastAsia="Times New Roman" w:hAnsiTheme="minorHAnsi" w:cstheme="minorHAnsi"/>
                <w:b/>
                <w:bCs/>
                <w:color w:val="104C91"/>
                <w:szCs w:val="22"/>
                <w:lang w:eastAsia="ru-RU"/>
              </w:rPr>
              <w:t xml:space="preserve"> –</w:t>
            </w:r>
            <w:r>
              <w:rPr>
                <w:rFonts w:asciiTheme="minorHAnsi" w:eastAsia="Times New Roman" w:hAnsiTheme="minorHAnsi" w:cstheme="minorHAnsi"/>
                <w:b/>
                <w:bCs/>
                <w:color w:val="104C91"/>
                <w:szCs w:val="22"/>
                <w:lang w:eastAsia="ru-RU"/>
              </w:rPr>
              <w:t xml:space="preserve"> Max</w:t>
            </w:r>
          </w:p>
        </w:tc>
        <w:tc>
          <w:tcPr>
            <w:tcW w:w="1701" w:type="dxa"/>
            <w:vMerge/>
            <w:shd w:val="clear" w:color="auto" w:fill="auto"/>
            <w:vAlign w:val="center"/>
          </w:tcPr>
          <w:p w14:paraId="6561062A" w14:textId="77777777" w:rsidR="00AC4EA9" w:rsidRDefault="00AC4EA9" w:rsidP="00AC4EA9">
            <w:pPr>
              <w:spacing w:before="0" w:line="240" w:lineRule="auto"/>
              <w:jc w:val="center"/>
              <w:rPr>
                <w:rFonts w:asciiTheme="minorHAnsi" w:eastAsia="Times New Roman" w:hAnsiTheme="minorHAnsi" w:cstheme="minorHAnsi"/>
                <w:b/>
                <w:bCs/>
                <w:color w:val="104C91"/>
                <w:szCs w:val="22"/>
                <w:lang w:eastAsia="ru-RU"/>
              </w:rPr>
            </w:pPr>
          </w:p>
        </w:tc>
      </w:tr>
      <w:tr w:rsidR="00801B47" w:rsidRPr="005A18C8" w14:paraId="6FCD6673" w14:textId="77777777" w:rsidTr="002377C0">
        <w:trPr>
          <w:trHeight w:val="836"/>
        </w:trPr>
        <w:tc>
          <w:tcPr>
            <w:tcW w:w="1390" w:type="dxa"/>
            <w:tcBorders>
              <w:top w:val="single" w:sz="6" w:space="0" w:color="104C91"/>
              <w:bottom w:val="single" w:sz="4" w:space="0" w:color="86B3E1"/>
            </w:tcBorders>
            <w:shd w:val="clear" w:color="auto" w:fill="auto"/>
            <w:noWrap/>
            <w:vAlign w:val="center"/>
            <w:hideMark/>
          </w:tcPr>
          <w:p w14:paraId="2BA291B0" w14:textId="53CB4424" w:rsidR="00AC4EA9" w:rsidRPr="005A18C8" w:rsidRDefault="00AC4EA9" w:rsidP="00AC4EA9">
            <w:pPr>
              <w:spacing w:before="0" w:line="240" w:lineRule="auto"/>
              <w:jc w:val="left"/>
              <w:rPr>
                <w:rFonts w:asciiTheme="minorHAnsi" w:eastAsia="Times New Roman" w:hAnsiTheme="minorHAnsi" w:cstheme="minorHAnsi"/>
                <w:color w:val="000000"/>
                <w:szCs w:val="22"/>
                <w:lang w:val="de-DE" w:eastAsia="ru-RU"/>
              </w:rPr>
            </w:pPr>
            <w:r>
              <w:rPr>
                <w:rFonts w:asciiTheme="minorHAnsi" w:eastAsia="Times New Roman" w:hAnsiTheme="minorHAnsi" w:cstheme="minorHAnsi"/>
                <w:color w:val="000000"/>
                <w:szCs w:val="22"/>
                <w:lang w:val="de-DE" w:eastAsia="ru-RU"/>
              </w:rPr>
              <w:t>GDP</w:t>
            </w:r>
          </w:p>
        </w:tc>
        <w:tc>
          <w:tcPr>
            <w:tcW w:w="1162" w:type="dxa"/>
            <w:tcBorders>
              <w:top w:val="single" w:sz="6" w:space="0" w:color="104C91"/>
              <w:bottom w:val="single" w:sz="4" w:space="0" w:color="86B3E1"/>
            </w:tcBorders>
            <w:vAlign w:val="center"/>
          </w:tcPr>
          <w:p w14:paraId="16BBE32F" w14:textId="630F6E0B" w:rsidR="00AC4EA9" w:rsidRPr="005A18C8" w:rsidRDefault="00AC4EA9" w:rsidP="00AC4EA9">
            <w:pPr>
              <w:spacing w:before="0" w:line="240" w:lineRule="auto"/>
              <w:jc w:val="center"/>
            </w:pPr>
            <w:r>
              <w:t>Constant 202</w:t>
            </w:r>
            <w:r w:rsidR="005404C4">
              <w:t xml:space="preserve">0 </w:t>
            </w:r>
            <w:r>
              <w:t>UZS</w:t>
            </w:r>
          </w:p>
        </w:tc>
        <w:tc>
          <w:tcPr>
            <w:tcW w:w="1843" w:type="dxa"/>
            <w:tcBorders>
              <w:top w:val="single" w:sz="6" w:space="0" w:color="104C91"/>
              <w:bottom w:val="single" w:sz="4" w:space="0" w:color="86B3E1"/>
            </w:tcBorders>
            <w:shd w:val="clear" w:color="auto" w:fill="auto"/>
            <w:noWrap/>
            <w:vAlign w:val="center"/>
          </w:tcPr>
          <w:p w14:paraId="4107382C" w14:textId="6E315948" w:rsidR="003F5186" w:rsidRPr="00E25583" w:rsidRDefault="00AC4EA9" w:rsidP="00E25583">
            <w:pPr>
              <w:spacing w:before="0" w:line="240" w:lineRule="auto"/>
              <w:jc w:val="center"/>
            </w:pPr>
            <w:r>
              <w:t>2014-2023</w:t>
            </w:r>
          </w:p>
        </w:tc>
        <w:tc>
          <w:tcPr>
            <w:tcW w:w="2976" w:type="dxa"/>
            <w:tcBorders>
              <w:top w:val="single" w:sz="6" w:space="0" w:color="104C91"/>
              <w:bottom w:val="single" w:sz="4" w:space="0" w:color="86B3E1"/>
            </w:tcBorders>
            <w:shd w:val="clear" w:color="auto" w:fill="auto"/>
            <w:noWrap/>
            <w:vAlign w:val="center"/>
          </w:tcPr>
          <w:p w14:paraId="4D02CF5E" w14:textId="5476E672" w:rsidR="00AC4EA9" w:rsidRPr="00E25583" w:rsidRDefault="00AC4EA9" w:rsidP="00AC4EA9">
            <w:pPr>
              <w:spacing w:before="0" w:line="240" w:lineRule="auto"/>
              <w:jc w:val="center"/>
              <w:rPr>
                <w:rFonts w:asciiTheme="minorHAnsi" w:eastAsia="Times New Roman" w:hAnsiTheme="minorHAnsi" w:cstheme="minorHAnsi"/>
                <w:color w:val="000000"/>
                <w:szCs w:val="22"/>
                <w:lang w:eastAsia="ru-RU"/>
              </w:rPr>
            </w:pPr>
            <w:r w:rsidRPr="00E25583">
              <w:rPr>
                <w:rFonts w:asciiTheme="minorHAnsi" w:eastAsia="Times New Roman" w:hAnsiTheme="minorHAnsi" w:cstheme="minorHAnsi"/>
                <w:color w:val="000000"/>
                <w:szCs w:val="22"/>
                <w:lang w:eastAsia="ru-RU"/>
              </w:rPr>
              <w:t>58</w:t>
            </w:r>
            <w:r w:rsidR="00E236B9" w:rsidRPr="00E25583">
              <w:rPr>
                <w:rFonts w:asciiTheme="minorHAnsi" w:eastAsia="Times New Roman" w:hAnsiTheme="minorHAnsi" w:cstheme="minorHAnsi"/>
                <w:color w:val="000000"/>
                <w:szCs w:val="22"/>
                <w:lang w:eastAsia="ru-RU"/>
              </w:rPr>
              <w:t>4</w:t>
            </w:r>
            <w:r w:rsidR="00237CC7" w:rsidRPr="00E25583">
              <w:rPr>
                <w:rFonts w:asciiTheme="minorHAnsi" w:eastAsia="Times New Roman" w:hAnsiTheme="minorHAnsi" w:cstheme="minorHAnsi"/>
                <w:color w:val="000000"/>
                <w:szCs w:val="22"/>
                <w:lang w:eastAsia="ru-RU"/>
              </w:rPr>
              <w:t xml:space="preserve"> –</w:t>
            </w:r>
            <w:r w:rsidRPr="00E25583">
              <w:rPr>
                <w:rFonts w:asciiTheme="minorHAnsi" w:eastAsia="Times New Roman" w:hAnsiTheme="minorHAnsi" w:cstheme="minorHAnsi"/>
                <w:color w:val="000000"/>
                <w:szCs w:val="22"/>
                <w:lang w:eastAsia="ru-RU"/>
              </w:rPr>
              <w:t xml:space="preserve"> 48</w:t>
            </w:r>
            <w:r w:rsidR="00EC327D" w:rsidRPr="00E25583">
              <w:rPr>
                <w:rFonts w:asciiTheme="minorHAnsi" w:eastAsia="Times New Roman" w:hAnsiTheme="minorHAnsi" w:cstheme="minorHAnsi"/>
                <w:color w:val="000000"/>
                <w:szCs w:val="22"/>
                <w:lang w:eastAsia="ru-RU"/>
              </w:rPr>
              <w:t>2</w:t>
            </w:r>
            <w:r w:rsidR="00237CC7" w:rsidRPr="00E25583">
              <w:rPr>
                <w:rFonts w:asciiTheme="minorHAnsi" w:eastAsia="Times New Roman" w:hAnsiTheme="minorHAnsi" w:cstheme="minorHAnsi"/>
                <w:color w:val="000000"/>
                <w:szCs w:val="22"/>
                <w:lang w:eastAsia="ru-RU"/>
              </w:rPr>
              <w:t xml:space="preserve"> –</w:t>
            </w:r>
            <w:r w:rsidRPr="00E25583">
              <w:rPr>
                <w:rFonts w:asciiTheme="minorHAnsi" w:eastAsia="Times New Roman" w:hAnsiTheme="minorHAnsi" w:cstheme="minorHAnsi"/>
                <w:color w:val="000000"/>
                <w:szCs w:val="22"/>
                <w:lang w:eastAsia="ru-RU"/>
              </w:rPr>
              <w:t xml:space="preserve"> 7</w:t>
            </w:r>
            <w:r w:rsidR="00724474" w:rsidRPr="00E25583">
              <w:rPr>
                <w:rFonts w:asciiTheme="minorHAnsi" w:eastAsia="Times New Roman" w:hAnsiTheme="minorHAnsi" w:cstheme="minorHAnsi"/>
                <w:color w:val="000000"/>
                <w:szCs w:val="22"/>
                <w:lang w:eastAsia="ru-RU"/>
              </w:rPr>
              <w:t>28</w:t>
            </w:r>
            <w:r w:rsidRPr="00E25583">
              <w:rPr>
                <w:rFonts w:asciiTheme="minorHAnsi" w:eastAsia="Times New Roman" w:hAnsiTheme="minorHAnsi" w:cstheme="minorHAnsi"/>
                <w:color w:val="000000"/>
                <w:szCs w:val="22"/>
                <w:lang w:eastAsia="ru-RU"/>
              </w:rPr>
              <w:t xml:space="preserve"> (</w:t>
            </w:r>
            <w:proofErr w:type="spellStart"/>
            <w:r w:rsidRPr="00E25583">
              <w:rPr>
                <w:rFonts w:asciiTheme="minorHAnsi" w:eastAsia="Times New Roman" w:hAnsiTheme="minorHAnsi" w:cstheme="minorHAnsi"/>
                <w:color w:val="000000"/>
                <w:szCs w:val="22"/>
                <w:lang w:eastAsia="ru-RU"/>
              </w:rPr>
              <w:t>tn</w:t>
            </w:r>
            <w:proofErr w:type="spellEnd"/>
            <w:r w:rsidRPr="00E25583">
              <w:rPr>
                <w:rFonts w:asciiTheme="minorHAnsi" w:eastAsia="Times New Roman" w:hAnsiTheme="minorHAnsi" w:cstheme="minorHAnsi"/>
                <w:color w:val="000000"/>
                <w:szCs w:val="22"/>
                <w:lang w:eastAsia="ru-RU"/>
              </w:rPr>
              <w:t>)</w:t>
            </w:r>
            <w:r w:rsidR="00E25583" w:rsidRPr="00E25583">
              <w:rPr>
                <w:rFonts w:asciiTheme="minorHAnsi" w:eastAsia="Times New Roman" w:hAnsiTheme="minorHAnsi" w:cstheme="minorHAnsi"/>
                <w:color w:val="000000"/>
                <w:szCs w:val="22"/>
                <w:lang w:eastAsia="ru-RU"/>
              </w:rPr>
              <w:br/>
            </w:r>
            <w:r w:rsidR="00E25583" w:rsidRPr="003F5186">
              <w:rPr>
                <w:sz w:val="20"/>
                <w:szCs w:val="16"/>
              </w:rPr>
              <w:t>(growth rates prior to 2017 decreased by 4pp)</w:t>
            </w:r>
          </w:p>
        </w:tc>
        <w:tc>
          <w:tcPr>
            <w:tcW w:w="1701" w:type="dxa"/>
            <w:tcBorders>
              <w:top w:val="single" w:sz="6" w:space="0" w:color="104C91"/>
              <w:bottom w:val="single" w:sz="4" w:space="0" w:color="86B3E1"/>
            </w:tcBorders>
            <w:shd w:val="clear" w:color="auto" w:fill="auto"/>
            <w:noWrap/>
            <w:vAlign w:val="center"/>
          </w:tcPr>
          <w:p w14:paraId="7FDA2BC0" w14:textId="0096315E" w:rsidR="00AC4EA9" w:rsidRPr="00D505C7" w:rsidRDefault="00AC4EA9" w:rsidP="00AC4EA9">
            <w:pPr>
              <w:spacing w:before="0" w:line="240" w:lineRule="auto"/>
              <w:jc w:val="center"/>
              <w:rPr>
                <w:rFonts w:asciiTheme="minorHAnsi" w:eastAsia="Times New Roman" w:hAnsiTheme="minorHAnsi" w:cstheme="minorHAnsi"/>
                <w:color w:val="000000"/>
                <w:szCs w:val="22"/>
                <w:lang w:eastAsia="ru-RU"/>
              </w:rPr>
            </w:pPr>
            <w:r w:rsidRPr="00D505C7">
              <w:rPr>
                <w:rFonts w:asciiTheme="minorHAnsi" w:eastAsia="Times New Roman" w:hAnsiTheme="minorHAnsi" w:cstheme="minorHAnsi"/>
                <w:color w:val="000000"/>
                <w:szCs w:val="22"/>
                <w:lang w:eastAsia="ru-RU"/>
              </w:rPr>
              <w:t>IMF, WEO 2024</w:t>
            </w:r>
          </w:p>
        </w:tc>
      </w:tr>
      <w:tr w:rsidR="00687F99" w:rsidRPr="005A18C8" w14:paraId="725FB0A5" w14:textId="77777777" w:rsidTr="002377C0">
        <w:trPr>
          <w:trHeight w:val="839"/>
        </w:trPr>
        <w:tc>
          <w:tcPr>
            <w:tcW w:w="1390" w:type="dxa"/>
            <w:tcBorders>
              <w:top w:val="single" w:sz="4" w:space="0" w:color="86B3E1"/>
              <w:bottom w:val="single" w:sz="4" w:space="0" w:color="86B3E1"/>
            </w:tcBorders>
            <w:shd w:val="clear" w:color="auto" w:fill="auto"/>
            <w:noWrap/>
            <w:vAlign w:val="center"/>
          </w:tcPr>
          <w:p w14:paraId="2DAC572F" w14:textId="2D4C3D33" w:rsidR="00687F99" w:rsidRDefault="00687F99" w:rsidP="00687F99">
            <w:pPr>
              <w:spacing w:before="0" w:line="240" w:lineRule="auto"/>
              <w:jc w:val="left"/>
              <w:rPr>
                <w:rFonts w:asciiTheme="minorHAnsi" w:eastAsia="Times New Roman" w:hAnsiTheme="minorHAnsi" w:cstheme="minorHAnsi"/>
                <w:color w:val="000000"/>
                <w:szCs w:val="22"/>
                <w:lang w:val="de-DE" w:eastAsia="ru-RU"/>
              </w:rPr>
            </w:pPr>
            <w:r>
              <w:rPr>
                <w:rFonts w:asciiTheme="minorHAnsi" w:eastAsia="Times New Roman" w:hAnsiTheme="minorHAnsi" w:cstheme="minorHAnsi"/>
                <w:color w:val="000000"/>
                <w:szCs w:val="22"/>
                <w:lang w:eastAsia="ru-RU"/>
              </w:rPr>
              <w:t>Sectoral final electricity consumption</w:t>
            </w:r>
          </w:p>
        </w:tc>
        <w:tc>
          <w:tcPr>
            <w:tcW w:w="1162" w:type="dxa"/>
            <w:tcBorders>
              <w:top w:val="single" w:sz="4" w:space="0" w:color="86B3E1"/>
              <w:bottom w:val="single" w:sz="4" w:space="0" w:color="86B3E1"/>
            </w:tcBorders>
            <w:vAlign w:val="center"/>
          </w:tcPr>
          <w:p w14:paraId="47996683" w14:textId="60D48A11" w:rsidR="00687F99" w:rsidRDefault="00687F99" w:rsidP="00687F99">
            <w:pPr>
              <w:spacing w:before="0" w:line="240" w:lineRule="auto"/>
              <w:jc w:val="center"/>
            </w:pPr>
            <w:r>
              <w:t>TWh</w:t>
            </w:r>
          </w:p>
        </w:tc>
        <w:tc>
          <w:tcPr>
            <w:tcW w:w="1843" w:type="dxa"/>
            <w:tcBorders>
              <w:top w:val="single" w:sz="4" w:space="0" w:color="86B3E1"/>
              <w:bottom w:val="single" w:sz="4" w:space="0" w:color="86B3E1"/>
            </w:tcBorders>
            <w:shd w:val="clear" w:color="auto" w:fill="auto"/>
            <w:noWrap/>
            <w:vAlign w:val="center"/>
          </w:tcPr>
          <w:p w14:paraId="62FE9185" w14:textId="78C42E0D" w:rsidR="00687F99" w:rsidRDefault="00687F99" w:rsidP="00687F99">
            <w:pPr>
              <w:spacing w:before="0" w:line="240" w:lineRule="auto"/>
              <w:jc w:val="center"/>
              <w:rPr>
                <w:rFonts w:asciiTheme="minorHAnsi" w:eastAsia="Times New Roman" w:hAnsiTheme="minorHAnsi" w:cstheme="minorHAnsi"/>
                <w:color w:val="000000"/>
                <w:szCs w:val="22"/>
                <w:lang w:val="de-DE" w:eastAsia="ru-RU"/>
              </w:rPr>
            </w:pPr>
            <w:r>
              <w:rPr>
                <w:rFonts w:asciiTheme="minorHAnsi" w:eastAsia="Times New Roman" w:hAnsiTheme="minorHAnsi" w:cstheme="minorHAnsi"/>
                <w:color w:val="000000"/>
                <w:szCs w:val="22"/>
                <w:lang w:val="de-DE" w:eastAsia="ru-RU"/>
              </w:rPr>
              <w:t>20</w:t>
            </w:r>
            <w:r w:rsidR="00D92150">
              <w:rPr>
                <w:rFonts w:asciiTheme="minorHAnsi" w:eastAsia="Times New Roman" w:hAnsiTheme="minorHAnsi" w:cstheme="minorHAnsi"/>
                <w:color w:val="000000"/>
                <w:szCs w:val="22"/>
                <w:lang w:val="de-DE" w:eastAsia="ru-RU"/>
              </w:rPr>
              <w:t>00</w:t>
            </w:r>
            <w:r>
              <w:rPr>
                <w:rFonts w:asciiTheme="minorHAnsi" w:eastAsia="Times New Roman" w:hAnsiTheme="minorHAnsi" w:cstheme="minorHAnsi"/>
                <w:color w:val="000000"/>
                <w:szCs w:val="22"/>
                <w:lang w:val="de-DE" w:eastAsia="ru-RU"/>
              </w:rPr>
              <w:t>-2022</w:t>
            </w:r>
          </w:p>
        </w:tc>
        <w:tc>
          <w:tcPr>
            <w:tcW w:w="2976" w:type="dxa"/>
            <w:tcBorders>
              <w:top w:val="single" w:sz="4" w:space="0" w:color="86B3E1"/>
              <w:bottom w:val="single" w:sz="4" w:space="0" w:color="86B3E1"/>
            </w:tcBorders>
            <w:shd w:val="clear" w:color="auto" w:fill="auto"/>
            <w:noWrap/>
            <w:vAlign w:val="center"/>
          </w:tcPr>
          <w:p w14:paraId="5B2184AA" w14:textId="523ED169" w:rsidR="00687F99" w:rsidRDefault="00687F99" w:rsidP="00687F99">
            <w:pPr>
              <w:spacing w:before="0" w:line="240" w:lineRule="auto"/>
              <w:jc w:val="center"/>
              <w:rPr>
                <w:rFonts w:asciiTheme="minorHAnsi" w:eastAsia="Times New Roman" w:hAnsiTheme="minorHAnsi" w:cstheme="minorHAnsi"/>
                <w:color w:val="000000"/>
                <w:szCs w:val="22"/>
                <w:lang w:val="de-DE" w:eastAsia="ru-RU"/>
              </w:rPr>
            </w:pPr>
            <w:r w:rsidRPr="00B10560">
              <w:rPr>
                <w:rFonts w:asciiTheme="minorHAnsi" w:eastAsia="Times New Roman" w:hAnsiTheme="minorHAnsi" w:cstheme="minorHAnsi"/>
                <w:color w:val="000000"/>
                <w:szCs w:val="22"/>
                <w:lang w:eastAsia="ru-RU"/>
              </w:rPr>
              <w:t xml:space="preserve">Industry: </w:t>
            </w:r>
            <w:r>
              <w:rPr>
                <w:rFonts w:asciiTheme="minorHAnsi" w:eastAsia="Times New Roman" w:hAnsiTheme="minorHAnsi" w:cstheme="minorHAnsi"/>
                <w:color w:val="000000"/>
                <w:szCs w:val="22"/>
                <w:lang w:eastAsia="ru-RU"/>
              </w:rPr>
              <w:t xml:space="preserve"> </w:t>
            </w:r>
            <w:r w:rsidRPr="00B10560">
              <w:rPr>
                <w:rFonts w:asciiTheme="minorHAnsi" w:eastAsia="Times New Roman" w:hAnsiTheme="minorHAnsi" w:cstheme="minorHAnsi"/>
                <w:color w:val="000000"/>
                <w:szCs w:val="22"/>
                <w:lang w:eastAsia="ru-RU"/>
              </w:rPr>
              <w:t>1</w:t>
            </w:r>
            <w:r w:rsidR="00B13337">
              <w:rPr>
                <w:rFonts w:asciiTheme="minorHAnsi" w:eastAsia="Times New Roman" w:hAnsiTheme="minorHAnsi" w:cstheme="minorHAnsi"/>
                <w:color w:val="000000"/>
                <w:szCs w:val="22"/>
                <w:lang w:eastAsia="ru-RU"/>
              </w:rPr>
              <w:t>5</w:t>
            </w:r>
            <w:r w:rsidRPr="00B10560">
              <w:rPr>
                <w:rFonts w:asciiTheme="minorHAnsi" w:eastAsia="Times New Roman" w:hAnsiTheme="minorHAnsi" w:cstheme="minorHAnsi"/>
                <w:color w:val="000000"/>
                <w:szCs w:val="22"/>
                <w:lang w:eastAsia="ru-RU"/>
              </w:rPr>
              <w:t>.</w:t>
            </w:r>
            <w:r w:rsidR="00B13337">
              <w:rPr>
                <w:rFonts w:asciiTheme="minorHAnsi" w:eastAsia="Times New Roman" w:hAnsiTheme="minorHAnsi" w:cstheme="minorHAnsi"/>
                <w:color w:val="000000"/>
                <w:szCs w:val="22"/>
                <w:lang w:eastAsia="ru-RU"/>
              </w:rPr>
              <w:t>8</w:t>
            </w:r>
            <w:r w:rsidR="00237CC7">
              <w:rPr>
                <w:rFonts w:asciiTheme="minorHAnsi" w:eastAsia="Times New Roman" w:hAnsiTheme="minorHAnsi" w:cstheme="minorHAnsi"/>
                <w:color w:val="000000"/>
                <w:szCs w:val="22"/>
                <w:lang w:val="de-DE" w:eastAsia="ru-RU"/>
              </w:rPr>
              <w:t xml:space="preserve"> – </w:t>
            </w:r>
            <w:r w:rsidRPr="00B10560">
              <w:rPr>
                <w:rFonts w:asciiTheme="minorHAnsi" w:eastAsia="Times New Roman" w:hAnsiTheme="minorHAnsi" w:cstheme="minorHAnsi"/>
                <w:color w:val="000000"/>
                <w:szCs w:val="22"/>
                <w:lang w:eastAsia="ru-RU"/>
              </w:rPr>
              <w:t>1</w:t>
            </w:r>
            <w:r w:rsidR="0023300B">
              <w:rPr>
                <w:rFonts w:asciiTheme="minorHAnsi" w:eastAsia="Times New Roman" w:hAnsiTheme="minorHAnsi" w:cstheme="minorHAnsi"/>
                <w:color w:val="000000"/>
                <w:szCs w:val="22"/>
                <w:lang w:eastAsia="ru-RU"/>
              </w:rPr>
              <w:t>3.8</w:t>
            </w:r>
            <w:r w:rsidR="00237CC7">
              <w:rPr>
                <w:rFonts w:asciiTheme="minorHAnsi" w:eastAsia="Times New Roman" w:hAnsiTheme="minorHAnsi" w:cstheme="minorHAnsi"/>
                <w:color w:val="000000"/>
                <w:szCs w:val="22"/>
                <w:lang w:val="de-DE" w:eastAsia="ru-RU"/>
              </w:rPr>
              <w:t xml:space="preserve"> – </w:t>
            </w:r>
            <w:r w:rsidRPr="00B10560">
              <w:rPr>
                <w:rFonts w:asciiTheme="minorHAnsi" w:eastAsia="Times New Roman" w:hAnsiTheme="minorHAnsi" w:cstheme="minorHAnsi"/>
                <w:color w:val="000000"/>
                <w:szCs w:val="22"/>
                <w:lang w:eastAsia="ru-RU"/>
              </w:rPr>
              <w:t>22.4;</w:t>
            </w:r>
            <w:r w:rsidRPr="00B10560">
              <w:rPr>
                <w:rFonts w:asciiTheme="minorHAnsi" w:eastAsia="Times New Roman" w:hAnsiTheme="minorHAnsi" w:cstheme="minorHAnsi"/>
                <w:color w:val="000000"/>
                <w:szCs w:val="22"/>
                <w:lang w:eastAsia="ru-RU"/>
              </w:rPr>
              <w:br/>
              <w:t xml:space="preserve">Transport: </w:t>
            </w:r>
            <w:r>
              <w:rPr>
                <w:rFonts w:asciiTheme="minorHAnsi" w:eastAsia="Times New Roman" w:hAnsiTheme="minorHAnsi" w:cstheme="minorHAnsi"/>
                <w:color w:val="000000"/>
                <w:szCs w:val="22"/>
                <w:lang w:eastAsia="ru-RU"/>
              </w:rPr>
              <w:t>1.3</w:t>
            </w:r>
            <w:r w:rsidR="00237CC7">
              <w:rPr>
                <w:rFonts w:asciiTheme="minorHAnsi" w:eastAsia="Times New Roman" w:hAnsiTheme="minorHAnsi" w:cstheme="minorHAnsi"/>
                <w:color w:val="000000"/>
                <w:szCs w:val="22"/>
                <w:lang w:val="de-DE" w:eastAsia="ru-RU"/>
              </w:rPr>
              <w:t xml:space="preserve"> – </w:t>
            </w:r>
            <w:r>
              <w:rPr>
                <w:rFonts w:asciiTheme="minorHAnsi" w:eastAsia="Times New Roman" w:hAnsiTheme="minorHAnsi" w:cstheme="minorHAnsi"/>
                <w:color w:val="000000"/>
                <w:szCs w:val="22"/>
                <w:lang w:eastAsia="ru-RU"/>
              </w:rPr>
              <w:t>1.1</w:t>
            </w:r>
            <w:r w:rsidR="00237CC7">
              <w:rPr>
                <w:rFonts w:asciiTheme="minorHAnsi" w:eastAsia="Times New Roman" w:hAnsiTheme="minorHAnsi" w:cstheme="minorHAnsi"/>
                <w:color w:val="000000"/>
                <w:szCs w:val="22"/>
                <w:lang w:val="de-DE" w:eastAsia="ru-RU"/>
              </w:rPr>
              <w:t xml:space="preserve"> – </w:t>
            </w:r>
            <w:r>
              <w:rPr>
                <w:rFonts w:asciiTheme="minorHAnsi" w:eastAsia="Times New Roman" w:hAnsiTheme="minorHAnsi" w:cstheme="minorHAnsi"/>
                <w:color w:val="000000"/>
                <w:szCs w:val="22"/>
                <w:lang w:eastAsia="ru-RU"/>
              </w:rPr>
              <w:t>2.1</w:t>
            </w:r>
            <w:r w:rsidRPr="00B10560">
              <w:rPr>
                <w:rFonts w:asciiTheme="minorHAnsi" w:eastAsia="Times New Roman" w:hAnsiTheme="minorHAnsi" w:cstheme="minorHAnsi"/>
                <w:color w:val="000000"/>
                <w:szCs w:val="22"/>
                <w:lang w:eastAsia="ru-RU"/>
              </w:rPr>
              <w:t>;</w:t>
            </w:r>
            <w:r w:rsidRPr="00B10560">
              <w:rPr>
                <w:rFonts w:asciiTheme="minorHAnsi" w:eastAsia="Times New Roman" w:hAnsiTheme="minorHAnsi" w:cstheme="minorHAnsi"/>
                <w:color w:val="000000"/>
                <w:szCs w:val="22"/>
                <w:lang w:eastAsia="ru-RU"/>
              </w:rPr>
              <w:br/>
              <w:t>Resident</w:t>
            </w:r>
            <w:r>
              <w:rPr>
                <w:rFonts w:asciiTheme="minorHAnsi" w:eastAsia="Times New Roman" w:hAnsiTheme="minorHAnsi" w:cstheme="minorHAnsi"/>
                <w:color w:val="000000"/>
                <w:szCs w:val="22"/>
                <w:lang w:eastAsia="ru-RU"/>
              </w:rPr>
              <w:t>ial: 1</w:t>
            </w:r>
            <w:r w:rsidR="001243CE">
              <w:rPr>
                <w:rFonts w:asciiTheme="minorHAnsi" w:eastAsia="Times New Roman" w:hAnsiTheme="minorHAnsi" w:cstheme="minorHAnsi"/>
                <w:color w:val="000000"/>
                <w:szCs w:val="22"/>
                <w:lang w:eastAsia="ru-RU"/>
              </w:rPr>
              <w:t>0</w:t>
            </w:r>
            <w:r>
              <w:rPr>
                <w:rFonts w:asciiTheme="minorHAnsi" w:eastAsia="Times New Roman" w:hAnsiTheme="minorHAnsi" w:cstheme="minorHAnsi"/>
                <w:color w:val="000000"/>
                <w:szCs w:val="22"/>
                <w:lang w:eastAsia="ru-RU"/>
              </w:rPr>
              <w:t>.</w:t>
            </w:r>
            <w:r w:rsidR="001243CE">
              <w:rPr>
                <w:rFonts w:asciiTheme="minorHAnsi" w:eastAsia="Times New Roman" w:hAnsiTheme="minorHAnsi" w:cstheme="minorHAnsi"/>
                <w:color w:val="000000"/>
                <w:szCs w:val="22"/>
                <w:lang w:eastAsia="ru-RU"/>
              </w:rPr>
              <w:t>0</w:t>
            </w:r>
            <w:r w:rsidR="00237CC7">
              <w:rPr>
                <w:rFonts w:asciiTheme="minorHAnsi" w:eastAsia="Times New Roman" w:hAnsiTheme="minorHAnsi" w:cstheme="minorHAnsi"/>
                <w:color w:val="000000"/>
                <w:szCs w:val="22"/>
                <w:lang w:val="de-DE" w:eastAsia="ru-RU"/>
              </w:rPr>
              <w:t xml:space="preserve"> – </w:t>
            </w:r>
            <w:r w:rsidR="00EB6E3E">
              <w:rPr>
                <w:rFonts w:asciiTheme="minorHAnsi" w:eastAsia="Times New Roman" w:hAnsiTheme="minorHAnsi" w:cstheme="minorHAnsi"/>
                <w:color w:val="000000"/>
                <w:szCs w:val="22"/>
                <w:lang w:eastAsia="ru-RU"/>
              </w:rPr>
              <w:t>4</w:t>
            </w:r>
            <w:r>
              <w:rPr>
                <w:rFonts w:asciiTheme="minorHAnsi" w:eastAsia="Times New Roman" w:hAnsiTheme="minorHAnsi" w:cstheme="minorHAnsi"/>
                <w:color w:val="000000"/>
                <w:szCs w:val="22"/>
                <w:lang w:eastAsia="ru-RU"/>
              </w:rPr>
              <w:t>.</w:t>
            </w:r>
            <w:r w:rsidR="00EB6E3E">
              <w:rPr>
                <w:rFonts w:asciiTheme="minorHAnsi" w:eastAsia="Times New Roman" w:hAnsiTheme="minorHAnsi" w:cstheme="minorHAnsi"/>
                <w:color w:val="000000"/>
                <w:szCs w:val="22"/>
                <w:lang w:eastAsia="ru-RU"/>
              </w:rPr>
              <w:t>0</w:t>
            </w:r>
            <w:r w:rsidR="00237CC7">
              <w:rPr>
                <w:rFonts w:asciiTheme="minorHAnsi" w:eastAsia="Times New Roman" w:hAnsiTheme="minorHAnsi" w:cstheme="minorHAnsi"/>
                <w:color w:val="000000"/>
                <w:szCs w:val="22"/>
                <w:lang w:val="de-DE" w:eastAsia="ru-RU"/>
              </w:rPr>
              <w:t xml:space="preserve"> – </w:t>
            </w:r>
            <w:r>
              <w:rPr>
                <w:rFonts w:asciiTheme="minorHAnsi" w:eastAsia="Times New Roman" w:hAnsiTheme="minorHAnsi" w:cstheme="minorHAnsi"/>
                <w:color w:val="000000"/>
                <w:szCs w:val="22"/>
                <w:lang w:eastAsia="ru-RU"/>
              </w:rPr>
              <w:t>17.5</w:t>
            </w:r>
          </w:p>
        </w:tc>
        <w:tc>
          <w:tcPr>
            <w:tcW w:w="1701" w:type="dxa"/>
            <w:tcBorders>
              <w:top w:val="single" w:sz="4" w:space="0" w:color="86B3E1"/>
              <w:bottom w:val="single" w:sz="4" w:space="0" w:color="86B3E1"/>
            </w:tcBorders>
            <w:shd w:val="clear" w:color="auto" w:fill="auto"/>
            <w:noWrap/>
            <w:vAlign w:val="center"/>
          </w:tcPr>
          <w:p w14:paraId="2FEB566F" w14:textId="2E017128" w:rsidR="00687F99" w:rsidRDefault="00687F99" w:rsidP="00687F99">
            <w:pPr>
              <w:spacing w:before="0" w:line="240" w:lineRule="auto"/>
              <w:jc w:val="center"/>
              <w:rPr>
                <w:rFonts w:asciiTheme="minorHAnsi" w:eastAsia="Times New Roman" w:hAnsiTheme="minorHAnsi" w:cstheme="minorHAnsi"/>
                <w:color w:val="000000"/>
                <w:szCs w:val="22"/>
                <w:lang w:eastAsia="ru-RU"/>
              </w:rPr>
            </w:pPr>
            <w:r w:rsidRPr="00F76FC4">
              <w:rPr>
                <w:rFonts w:asciiTheme="minorHAnsi" w:eastAsia="Times New Roman" w:hAnsiTheme="minorHAnsi" w:cstheme="minorHAnsi"/>
                <w:color w:val="000000"/>
                <w:szCs w:val="22"/>
                <w:lang w:eastAsia="ru-RU"/>
              </w:rPr>
              <w:t>International Energy Agency (IEA)</w:t>
            </w:r>
          </w:p>
        </w:tc>
      </w:tr>
      <w:tr w:rsidR="00687F99" w:rsidRPr="005A18C8" w14:paraId="24DF155F" w14:textId="77777777" w:rsidTr="00237CC7">
        <w:trPr>
          <w:trHeight w:val="485"/>
        </w:trPr>
        <w:tc>
          <w:tcPr>
            <w:tcW w:w="1390" w:type="dxa"/>
            <w:tcBorders>
              <w:top w:val="single" w:sz="4" w:space="0" w:color="86B3E1"/>
              <w:bottom w:val="single" w:sz="4" w:space="0" w:color="86B3E1"/>
            </w:tcBorders>
            <w:shd w:val="clear" w:color="auto" w:fill="auto"/>
            <w:noWrap/>
            <w:vAlign w:val="center"/>
          </w:tcPr>
          <w:p w14:paraId="35E033CD" w14:textId="30EEAB6B" w:rsidR="00687F99" w:rsidRPr="005A18C8" w:rsidRDefault="00687F99" w:rsidP="00687F99">
            <w:pPr>
              <w:spacing w:before="0" w:line="240" w:lineRule="auto"/>
              <w:jc w:val="left"/>
              <w:rPr>
                <w:rFonts w:asciiTheme="minorHAnsi" w:eastAsia="Times New Roman" w:hAnsiTheme="minorHAnsi" w:cstheme="minorHAnsi"/>
                <w:color w:val="000000"/>
                <w:szCs w:val="22"/>
                <w:lang w:val="de-DE" w:eastAsia="ru-RU"/>
              </w:rPr>
            </w:pPr>
            <w:r>
              <w:rPr>
                <w:rFonts w:asciiTheme="minorHAnsi" w:eastAsia="Times New Roman" w:hAnsiTheme="minorHAnsi" w:cstheme="minorHAnsi"/>
                <w:color w:val="000000"/>
                <w:szCs w:val="22"/>
                <w:lang w:val="de-DE" w:eastAsia="ru-RU"/>
              </w:rPr>
              <w:t>Population</w:t>
            </w:r>
          </w:p>
        </w:tc>
        <w:tc>
          <w:tcPr>
            <w:tcW w:w="1162" w:type="dxa"/>
            <w:tcBorders>
              <w:top w:val="single" w:sz="4" w:space="0" w:color="86B3E1"/>
              <w:bottom w:val="single" w:sz="4" w:space="0" w:color="86B3E1"/>
            </w:tcBorders>
            <w:vAlign w:val="center"/>
          </w:tcPr>
          <w:p w14:paraId="75301A35" w14:textId="4C55FE84" w:rsidR="00687F99" w:rsidRPr="005A18C8" w:rsidRDefault="00687F99" w:rsidP="00687F99">
            <w:pPr>
              <w:spacing w:before="0" w:line="240" w:lineRule="auto"/>
              <w:jc w:val="center"/>
            </w:pPr>
            <w:r>
              <w:t>Units</w:t>
            </w:r>
          </w:p>
        </w:tc>
        <w:tc>
          <w:tcPr>
            <w:tcW w:w="1843" w:type="dxa"/>
            <w:tcBorders>
              <w:top w:val="single" w:sz="4" w:space="0" w:color="86B3E1"/>
              <w:bottom w:val="single" w:sz="4" w:space="0" w:color="86B3E1"/>
            </w:tcBorders>
            <w:shd w:val="clear" w:color="auto" w:fill="auto"/>
            <w:noWrap/>
            <w:vAlign w:val="center"/>
          </w:tcPr>
          <w:p w14:paraId="516A622F" w14:textId="353FBB86" w:rsidR="00687F99" w:rsidRPr="004268FB" w:rsidRDefault="00687F99" w:rsidP="00687F99">
            <w:pPr>
              <w:spacing w:before="0" w:line="240" w:lineRule="auto"/>
              <w:jc w:val="center"/>
              <w:rPr>
                <w:rFonts w:asciiTheme="minorHAnsi" w:eastAsia="Times New Roman" w:hAnsiTheme="minorHAnsi" w:cstheme="minorHAnsi"/>
                <w:color w:val="000000"/>
                <w:szCs w:val="22"/>
                <w:lang w:val="de-DE" w:eastAsia="ru-RU"/>
              </w:rPr>
            </w:pPr>
            <w:r>
              <w:rPr>
                <w:rFonts w:asciiTheme="minorHAnsi" w:eastAsia="Times New Roman" w:hAnsiTheme="minorHAnsi" w:cstheme="minorHAnsi"/>
                <w:color w:val="000000"/>
                <w:szCs w:val="22"/>
                <w:lang w:val="de-DE" w:eastAsia="ru-RU"/>
              </w:rPr>
              <w:t>20</w:t>
            </w:r>
            <w:r w:rsidR="00DA376F">
              <w:rPr>
                <w:rFonts w:asciiTheme="minorHAnsi" w:eastAsia="Times New Roman" w:hAnsiTheme="minorHAnsi" w:cstheme="minorHAnsi"/>
                <w:color w:val="000000"/>
                <w:szCs w:val="22"/>
                <w:lang w:val="de-DE" w:eastAsia="ru-RU"/>
              </w:rPr>
              <w:t>00</w:t>
            </w:r>
            <w:r>
              <w:rPr>
                <w:rFonts w:asciiTheme="minorHAnsi" w:eastAsia="Times New Roman" w:hAnsiTheme="minorHAnsi" w:cstheme="minorHAnsi"/>
                <w:color w:val="000000"/>
                <w:szCs w:val="22"/>
                <w:lang w:val="de-DE" w:eastAsia="ru-RU"/>
              </w:rPr>
              <w:t>-2023</w:t>
            </w:r>
          </w:p>
        </w:tc>
        <w:tc>
          <w:tcPr>
            <w:tcW w:w="2976" w:type="dxa"/>
            <w:tcBorders>
              <w:top w:val="single" w:sz="4" w:space="0" w:color="86B3E1"/>
              <w:bottom w:val="single" w:sz="4" w:space="0" w:color="86B3E1"/>
            </w:tcBorders>
            <w:shd w:val="clear" w:color="auto" w:fill="auto"/>
            <w:noWrap/>
            <w:vAlign w:val="center"/>
          </w:tcPr>
          <w:p w14:paraId="79457385" w14:textId="0BE57EEE" w:rsidR="00687F99" w:rsidRPr="00BA0F36" w:rsidRDefault="00E71778" w:rsidP="00687F99">
            <w:pPr>
              <w:spacing w:before="0" w:line="240" w:lineRule="auto"/>
              <w:jc w:val="center"/>
              <w:rPr>
                <w:rFonts w:asciiTheme="minorHAnsi" w:eastAsia="Times New Roman" w:hAnsiTheme="minorHAnsi" w:cstheme="minorHAnsi"/>
                <w:color w:val="000000"/>
                <w:szCs w:val="22"/>
                <w:lang w:val="de-DE" w:eastAsia="ru-RU"/>
              </w:rPr>
            </w:pPr>
            <w:r>
              <w:rPr>
                <w:rFonts w:asciiTheme="minorHAnsi" w:eastAsia="Times New Roman" w:hAnsiTheme="minorHAnsi" w:cstheme="minorHAnsi"/>
                <w:color w:val="000000"/>
                <w:szCs w:val="22"/>
                <w:lang w:val="de-DE" w:eastAsia="ru-RU"/>
              </w:rPr>
              <w:t>2</w:t>
            </w:r>
            <w:r w:rsidR="005D5353">
              <w:rPr>
                <w:rFonts w:asciiTheme="minorHAnsi" w:eastAsia="Times New Roman" w:hAnsiTheme="minorHAnsi" w:cstheme="minorHAnsi"/>
                <w:color w:val="000000"/>
                <w:szCs w:val="22"/>
                <w:lang w:val="de-DE" w:eastAsia="ru-RU"/>
              </w:rPr>
              <w:t>0</w:t>
            </w:r>
            <w:r w:rsidR="00687F99">
              <w:rPr>
                <w:rFonts w:asciiTheme="minorHAnsi" w:eastAsia="Times New Roman" w:hAnsiTheme="minorHAnsi" w:cstheme="minorHAnsi"/>
                <w:color w:val="000000"/>
                <w:szCs w:val="22"/>
                <w:lang w:val="de-DE" w:eastAsia="ru-RU"/>
              </w:rPr>
              <w:t>.</w:t>
            </w:r>
            <w:r>
              <w:rPr>
                <w:rFonts w:asciiTheme="minorHAnsi" w:eastAsia="Times New Roman" w:hAnsiTheme="minorHAnsi" w:cstheme="minorHAnsi"/>
                <w:color w:val="000000"/>
                <w:szCs w:val="22"/>
                <w:lang w:val="de-DE" w:eastAsia="ru-RU"/>
              </w:rPr>
              <w:t>2</w:t>
            </w:r>
            <w:r w:rsidR="00237CC7">
              <w:rPr>
                <w:rFonts w:asciiTheme="minorHAnsi" w:eastAsia="Times New Roman" w:hAnsiTheme="minorHAnsi" w:cstheme="minorHAnsi"/>
                <w:color w:val="000000"/>
                <w:szCs w:val="22"/>
                <w:lang w:val="de-DE" w:eastAsia="ru-RU"/>
              </w:rPr>
              <w:t xml:space="preserve"> – </w:t>
            </w:r>
            <w:r w:rsidR="00687F99">
              <w:rPr>
                <w:rFonts w:asciiTheme="minorHAnsi" w:eastAsia="Times New Roman" w:hAnsiTheme="minorHAnsi" w:cstheme="minorHAnsi"/>
                <w:color w:val="000000"/>
                <w:szCs w:val="22"/>
                <w:lang w:val="de-DE" w:eastAsia="ru-RU"/>
              </w:rPr>
              <w:t>30</w:t>
            </w:r>
            <w:r w:rsidR="00237CC7">
              <w:rPr>
                <w:rFonts w:asciiTheme="minorHAnsi" w:eastAsia="Times New Roman" w:hAnsiTheme="minorHAnsi" w:cstheme="minorHAnsi"/>
                <w:color w:val="000000"/>
                <w:szCs w:val="22"/>
                <w:lang w:val="de-DE" w:eastAsia="ru-RU"/>
              </w:rPr>
              <w:t xml:space="preserve"> – </w:t>
            </w:r>
            <w:r w:rsidR="00B20603">
              <w:rPr>
                <w:rFonts w:asciiTheme="minorHAnsi" w:eastAsia="Times New Roman" w:hAnsiTheme="minorHAnsi" w:cstheme="minorHAnsi"/>
                <w:color w:val="000000"/>
                <w:szCs w:val="22"/>
                <w:lang w:val="de-DE" w:eastAsia="ru-RU"/>
              </w:rPr>
              <w:t>3</w:t>
            </w:r>
            <w:r w:rsidR="00687F99">
              <w:rPr>
                <w:rFonts w:asciiTheme="minorHAnsi" w:eastAsia="Times New Roman" w:hAnsiTheme="minorHAnsi" w:cstheme="minorHAnsi"/>
                <w:color w:val="000000"/>
                <w:szCs w:val="22"/>
                <w:lang w:val="de-DE" w:eastAsia="ru-RU"/>
              </w:rPr>
              <w:t>5.3 (m)</w:t>
            </w:r>
          </w:p>
        </w:tc>
        <w:tc>
          <w:tcPr>
            <w:tcW w:w="1701" w:type="dxa"/>
            <w:tcBorders>
              <w:top w:val="single" w:sz="4" w:space="0" w:color="86B3E1"/>
              <w:bottom w:val="single" w:sz="4" w:space="0" w:color="86B3E1"/>
            </w:tcBorders>
            <w:shd w:val="clear" w:color="auto" w:fill="auto"/>
            <w:noWrap/>
            <w:vAlign w:val="center"/>
          </w:tcPr>
          <w:p w14:paraId="786DBC56" w14:textId="1CF094FA" w:rsidR="00687F99" w:rsidRPr="005A18C8" w:rsidRDefault="00687F99" w:rsidP="00687F99">
            <w:pPr>
              <w:spacing w:before="0" w:line="240" w:lineRule="auto"/>
              <w:jc w:val="center"/>
              <w:rPr>
                <w:rFonts w:asciiTheme="minorHAnsi" w:eastAsia="Times New Roman" w:hAnsiTheme="minorHAnsi" w:cstheme="minorHAnsi"/>
                <w:color w:val="000000"/>
                <w:szCs w:val="22"/>
                <w:lang w:val="ru-RU" w:eastAsia="ru-RU"/>
              </w:rPr>
            </w:pPr>
            <w:r>
              <w:rPr>
                <w:rFonts w:asciiTheme="minorHAnsi" w:eastAsia="Times New Roman" w:hAnsiTheme="minorHAnsi" w:cstheme="minorHAnsi"/>
                <w:color w:val="000000"/>
                <w:szCs w:val="22"/>
                <w:lang w:eastAsia="ru-RU"/>
              </w:rPr>
              <w:t>UN,</w:t>
            </w:r>
            <w:r>
              <w:t xml:space="preserve"> </w:t>
            </w:r>
            <w:r w:rsidRPr="001C7CDE">
              <w:rPr>
                <w:rFonts w:asciiTheme="minorHAnsi" w:eastAsia="Times New Roman" w:hAnsiTheme="minorHAnsi" w:cstheme="minorHAnsi"/>
                <w:color w:val="000000"/>
                <w:szCs w:val="22"/>
                <w:lang w:eastAsia="ru-RU"/>
              </w:rPr>
              <w:t>World Population Prospects 2024</w:t>
            </w:r>
          </w:p>
        </w:tc>
      </w:tr>
      <w:tr w:rsidR="00687F99" w:rsidRPr="005A18C8" w14:paraId="12965789" w14:textId="77777777" w:rsidTr="00237CC7">
        <w:trPr>
          <w:trHeight w:val="485"/>
        </w:trPr>
        <w:tc>
          <w:tcPr>
            <w:tcW w:w="1390" w:type="dxa"/>
            <w:tcBorders>
              <w:top w:val="single" w:sz="4" w:space="0" w:color="86B3E1"/>
              <w:bottom w:val="single" w:sz="4" w:space="0" w:color="86B3E1"/>
            </w:tcBorders>
            <w:shd w:val="clear" w:color="auto" w:fill="auto"/>
            <w:noWrap/>
            <w:vAlign w:val="center"/>
          </w:tcPr>
          <w:p w14:paraId="1D43A72B" w14:textId="7B8CA18B" w:rsidR="00687F99" w:rsidRPr="00DF273F" w:rsidRDefault="00687F99" w:rsidP="00687F99">
            <w:pPr>
              <w:spacing w:before="0" w:line="240" w:lineRule="auto"/>
              <w:jc w:val="left"/>
              <w:rPr>
                <w:rFonts w:asciiTheme="minorHAnsi" w:eastAsia="Times New Roman" w:hAnsiTheme="minorHAnsi" w:cstheme="minorHAnsi"/>
                <w:color w:val="000000"/>
                <w:szCs w:val="22"/>
                <w:lang w:eastAsia="ru-RU"/>
              </w:rPr>
            </w:pPr>
            <w:r>
              <w:rPr>
                <w:rFonts w:asciiTheme="minorHAnsi" w:eastAsia="Times New Roman" w:hAnsiTheme="minorHAnsi" w:cstheme="minorHAnsi"/>
                <w:color w:val="000000"/>
                <w:szCs w:val="22"/>
                <w:lang w:eastAsia="ru-RU"/>
              </w:rPr>
              <w:t>Industrial Production</w:t>
            </w:r>
          </w:p>
        </w:tc>
        <w:tc>
          <w:tcPr>
            <w:tcW w:w="1162" w:type="dxa"/>
            <w:tcBorders>
              <w:top w:val="single" w:sz="4" w:space="0" w:color="86B3E1"/>
              <w:bottom w:val="single" w:sz="4" w:space="0" w:color="86B3E1"/>
            </w:tcBorders>
            <w:vAlign w:val="center"/>
          </w:tcPr>
          <w:p w14:paraId="4770E54D" w14:textId="00248680" w:rsidR="00687F99" w:rsidRPr="006C207B" w:rsidRDefault="00F86994" w:rsidP="00687F99">
            <w:pPr>
              <w:spacing w:before="0" w:line="240" w:lineRule="auto"/>
              <w:jc w:val="center"/>
            </w:pPr>
            <w:r w:rsidRPr="006C207B">
              <w:t>Constant 20</w:t>
            </w:r>
            <w:r w:rsidR="006C207B" w:rsidRPr="006C207B">
              <w:t>2</w:t>
            </w:r>
            <w:r w:rsidRPr="006C207B">
              <w:t>0 UZS</w:t>
            </w:r>
          </w:p>
        </w:tc>
        <w:tc>
          <w:tcPr>
            <w:tcW w:w="1843" w:type="dxa"/>
            <w:tcBorders>
              <w:top w:val="single" w:sz="4" w:space="0" w:color="86B3E1"/>
              <w:bottom w:val="single" w:sz="4" w:space="0" w:color="86B3E1"/>
            </w:tcBorders>
            <w:shd w:val="clear" w:color="auto" w:fill="auto"/>
            <w:noWrap/>
            <w:vAlign w:val="center"/>
          </w:tcPr>
          <w:p w14:paraId="51199C27" w14:textId="0441FD1B" w:rsidR="00687F99" w:rsidRPr="004B5612" w:rsidRDefault="00F86994" w:rsidP="00687F99">
            <w:pPr>
              <w:spacing w:before="0" w:line="240" w:lineRule="auto"/>
              <w:jc w:val="center"/>
              <w:rPr>
                <w:rFonts w:asciiTheme="minorHAnsi" w:eastAsia="Times New Roman" w:hAnsiTheme="minorHAnsi" w:cstheme="minorHAnsi"/>
                <w:color w:val="000000"/>
                <w:szCs w:val="22"/>
                <w:lang w:val="de-DE" w:eastAsia="ru-RU"/>
              </w:rPr>
            </w:pPr>
            <w:r>
              <w:rPr>
                <w:rFonts w:asciiTheme="minorHAnsi" w:eastAsia="Times New Roman" w:hAnsiTheme="minorHAnsi" w:cstheme="minorHAnsi"/>
                <w:color w:val="000000"/>
                <w:szCs w:val="22"/>
                <w:lang w:val="de-DE" w:eastAsia="ru-RU"/>
              </w:rPr>
              <w:t>201</w:t>
            </w:r>
            <w:r w:rsidR="00E079BE">
              <w:rPr>
                <w:rFonts w:asciiTheme="minorHAnsi" w:eastAsia="Times New Roman" w:hAnsiTheme="minorHAnsi" w:cstheme="minorHAnsi"/>
                <w:color w:val="000000"/>
                <w:szCs w:val="22"/>
                <w:lang w:val="de-DE" w:eastAsia="ru-RU"/>
              </w:rPr>
              <w:t>0</w:t>
            </w:r>
            <w:r w:rsidR="00706C88">
              <w:rPr>
                <w:rFonts w:asciiTheme="minorHAnsi" w:eastAsia="Times New Roman" w:hAnsiTheme="minorHAnsi" w:cstheme="minorHAnsi"/>
                <w:color w:val="000000"/>
                <w:szCs w:val="22"/>
                <w:lang w:val="de-DE" w:eastAsia="ru-RU"/>
              </w:rPr>
              <w:t>-2022</w:t>
            </w:r>
          </w:p>
        </w:tc>
        <w:tc>
          <w:tcPr>
            <w:tcW w:w="2976" w:type="dxa"/>
            <w:tcBorders>
              <w:top w:val="single" w:sz="4" w:space="0" w:color="86B3E1"/>
              <w:bottom w:val="single" w:sz="4" w:space="0" w:color="86B3E1"/>
            </w:tcBorders>
            <w:shd w:val="clear" w:color="auto" w:fill="auto"/>
            <w:noWrap/>
            <w:vAlign w:val="center"/>
          </w:tcPr>
          <w:p w14:paraId="5E88748F" w14:textId="24C08ED1" w:rsidR="00687F99" w:rsidRPr="0032711F" w:rsidRDefault="00705A51" w:rsidP="00687F99">
            <w:pPr>
              <w:spacing w:before="0" w:line="240" w:lineRule="auto"/>
              <w:jc w:val="center"/>
              <w:rPr>
                <w:rFonts w:asciiTheme="minorHAnsi" w:eastAsia="Times New Roman" w:hAnsiTheme="minorHAnsi" w:cstheme="minorHAnsi"/>
                <w:color w:val="000000"/>
                <w:szCs w:val="22"/>
                <w:lang w:eastAsia="ru-RU"/>
              </w:rPr>
            </w:pPr>
            <w:r w:rsidRPr="0032711F">
              <w:rPr>
                <w:rFonts w:asciiTheme="minorHAnsi" w:eastAsia="Times New Roman" w:hAnsiTheme="minorHAnsi" w:cstheme="minorHAnsi"/>
                <w:color w:val="000000"/>
                <w:szCs w:val="22"/>
                <w:lang w:eastAsia="ru-RU"/>
              </w:rPr>
              <w:t>2</w:t>
            </w:r>
            <w:r w:rsidR="00896CC5">
              <w:rPr>
                <w:rFonts w:asciiTheme="minorHAnsi" w:eastAsia="Times New Roman" w:hAnsiTheme="minorHAnsi" w:cstheme="minorHAnsi"/>
                <w:color w:val="000000"/>
                <w:szCs w:val="22"/>
                <w:lang w:eastAsia="ru-RU"/>
              </w:rPr>
              <w:t>48</w:t>
            </w:r>
            <w:r w:rsidR="00237CC7">
              <w:rPr>
                <w:rFonts w:asciiTheme="minorHAnsi" w:eastAsia="Times New Roman" w:hAnsiTheme="minorHAnsi" w:cstheme="minorHAnsi"/>
                <w:color w:val="000000"/>
                <w:szCs w:val="22"/>
                <w:lang w:val="de-DE" w:eastAsia="ru-RU"/>
              </w:rPr>
              <w:t xml:space="preserve"> – </w:t>
            </w:r>
            <w:r w:rsidR="00CF750B" w:rsidRPr="0032711F">
              <w:rPr>
                <w:rFonts w:asciiTheme="minorHAnsi" w:eastAsia="Times New Roman" w:hAnsiTheme="minorHAnsi" w:cstheme="minorHAnsi"/>
                <w:color w:val="000000"/>
                <w:szCs w:val="22"/>
                <w:lang w:eastAsia="ru-RU"/>
              </w:rPr>
              <w:t>1</w:t>
            </w:r>
            <w:r w:rsidR="00133C5A">
              <w:rPr>
                <w:rFonts w:asciiTheme="minorHAnsi" w:eastAsia="Times New Roman" w:hAnsiTheme="minorHAnsi" w:cstheme="minorHAnsi"/>
                <w:color w:val="000000"/>
                <w:szCs w:val="22"/>
                <w:lang w:eastAsia="ru-RU"/>
              </w:rPr>
              <w:t>22</w:t>
            </w:r>
            <w:r w:rsidR="00237CC7">
              <w:rPr>
                <w:rFonts w:asciiTheme="minorHAnsi" w:eastAsia="Times New Roman" w:hAnsiTheme="minorHAnsi" w:cstheme="minorHAnsi"/>
                <w:color w:val="000000"/>
                <w:szCs w:val="22"/>
                <w:lang w:val="de-DE" w:eastAsia="ru-RU"/>
              </w:rPr>
              <w:t xml:space="preserve"> – </w:t>
            </w:r>
            <w:r w:rsidR="0032711F" w:rsidRPr="0032711F">
              <w:rPr>
                <w:rFonts w:asciiTheme="minorHAnsi" w:eastAsia="Times New Roman" w:hAnsiTheme="minorHAnsi" w:cstheme="minorHAnsi"/>
                <w:color w:val="000000"/>
                <w:szCs w:val="22"/>
                <w:lang w:eastAsia="ru-RU"/>
              </w:rPr>
              <w:t>448</w:t>
            </w:r>
            <w:r w:rsidR="00937AB4" w:rsidRPr="0032711F">
              <w:rPr>
                <w:rFonts w:asciiTheme="minorHAnsi" w:eastAsia="Times New Roman" w:hAnsiTheme="minorHAnsi" w:cstheme="minorHAnsi"/>
                <w:color w:val="000000"/>
                <w:szCs w:val="22"/>
                <w:lang w:eastAsia="ru-RU"/>
              </w:rPr>
              <w:t xml:space="preserve"> (</w:t>
            </w:r>
            <w:proofErr w:type="spellStart"/>
            <w:r w:rsidR="00121427" w:rsidRPr="0032711F">
              <w:rPr>
                <w:rFonts w:asciiTheme="minorHAnsi" w:eastAsia="Times New Roman" w:hAnsiTheme="minorHAnsi" w:cstheme="minorHAnsi"/>
                <w:color w:val="000000"/>
                <w:szCs w:val="22"/>
                <w:lang w:eastAsia="ru-RU"/>
              </w:rPr>
              <w:t>t</w:t>
            </w:r>
            <w:r w:rsidR="00C63FD8" w:rsidRPr="0032711F">
              <w:rPr>
                <w:rFonts w:asciiTheme="minorHAnsi" w:eastAsia="Times New Roman" w:hAnsiTheme="minorHAnsi" w:cstheme="minorHAnsi"/>
                <w:color w:val="000000"/>
                <w:szCs w:val="22"/>
                <w:lang w:eastAsia="ru-RU"/>
              </w:rPr>
              <w:t>n</w:t>
            </w:r>
            <w:proofErr w:type="spellEnd"/>
            <w:r w:rsidR="00937AB4" w:rsidRPr="0032711F">
              <w:rPr>
                <w:rFonts w:asciiTheme="minorHAnsi" w:eastAsia="Times New Roman" w:hAnsiTheme="minorHAnsi" w:cstheme="minorHAnsi"/>
                <w:color w:val="000000"/>
                <w:szCs w:val="22"/>
                <w:lang w:eastAsia="ru-RU"/>
              </w:rPr>
              <w:t>)</w:t>
            </w:r>
          </w:p>
        </w:tc>
        <w:tc>
          <w:tcPr>
            <w:tcW w:w="1701" w:type="dxa"/>
            <w:tcBorders>
              <w:top w:val="single" w:sz="4" w:space="0" w:color="86B3E1"/>
              <w:bottom w:val="single" w:sz="4" w:space="0" w:color="86B3E1"/>
            </w:tcBorders>
            <w:shd w:val="clear" w:color="auto" w:fill="auto"/>
            <w:noWrap/>
            <w:vAlign w:val="center"/>
          </w:tcPr>
          <w:p w14:paraId="33EC7D79" w14:textId="4905DE3A" w:rsidR="00687F99" w:rsidRPr="00F76FC4" w:rsidRDefault="0024274C" w:rsidP="00687F99">
            <w:pPr>
              <w:spacing w:before="0" w:line="240" w:lineRule="auto"/>
              <w:jc w:val="center"/>
              <w:rPr>
                <w:rFonts w:asciiTheme="minorHAnsi" w:eastAsia="Times New Roman" w:hAnsiTheme="minorHAnsi" w:cstheme="minorHAnsi"/>
                <w:color w:val="000000"/>
                <w:szCs w:val="22"/>
                <w:lang w:eastAsia="ru-RU"/>
              </w:rPr>
            </w:pPr>
            <w:r>
              <w:rPr>
                <w:rFonts w:asciiTheme="minorHAnsi" w:eastAsia="Times New Roman" w:hAnsiTheme="minorHAnsi" w:cstheme="minorHAnsi"/>
                <w:color w:val="000000"/>
                <w:szCs w:val="22"/>
                <w:lang w:eastAsia="ru-RU"/>
              </w:rPr>
              <w:t>Statistics Agency Uzbekistan</w:t>
            </w:r>
          </w:p>
        </w:tc>
      </w:tr>
      <w:tr w:rsidR="00687F99" w:rsidRPr="005A18C8" w14:paraId="030BC4D5" w14:textId="77777777" w:rsidTr="00237CC7">
        <w:trPr>
          <w:trHeight w:val="485"/>
        </w:trPr>
        <w:tc>
          <w:tcPr>
            <w:tcW w:w="1390" w:type="dxa"/>
            <w:tcBorders>
              <w:top w:val="single" w:sz="4" w:space="0" w:color="86B3E1"/>
              <w:bottom w:val="single" w:sz="4" w:space="0" w:color="86B3E1"/>
            </w:tcBorders>
            <w:shd w:val="clear" w:color="auto" w:fill="auto"/>
            <w:noWrap/>
            <w:vAlign w:val="center"/>
          </w:tcPr>
          <w:p w14:paraId="2CA8EEAC" w14:textId="2FB40A14" w:rsidR="00687F99" w:rsidRPr="00DF273F" w:rsidRDefault="00687F99" w:rsidP="00687F99">
            <w:pPr>
              <w:spacing w:before="0" w:line="240" w:lineRule="auto"/>
              <w:jc w:val="left"/>
              <w:rPr>
                <w:rFonts w:asciiTheme="minorHAnsi" w:eastAsia="Times New Roman" w:hAnsiTheme="minorHAnsi" w:cstheme="minorHAnsi"/>
                <w:color w:val="000000"/>
                <w:szCs w:val="22"/>
                <w:lang w:eastAsia="ru-RU"/>
              </w:rPr>
            </w:pPr>
            <w:r>
              <w:rPr>
                <w:rFonts w:asciiTheme="minorHAnsi" w:eastAsia="Times New Roman" w:hAnsiTheme="minorHAnsi" w:cstheme="minorHAnsi"/>
                <w:color w:val="000000"/>
                <w:szCs w:val="22"/>
                <w:lang w:eastAsia="ru-RU"/>
              </w:rPr>
              <w:t>CPI</w:t>
            </w:r>
          </w:p>
        </w:tc>
        <w:tc>
          <w:tcPr>
            <w:tcW w:w="1162" w:type="dxa"/>
            <w:tcBorders>
              <w:top w:val="single" w:sz="4" w:space="0" w:color="86B3E1"/>
              <w:bottom w:val="single" w:sz="4" w:space="0" w:color="86B3E1"/>
            </w:tcBorders>
            <w:vAlign w:val="center"/>
          </w:tcPr>
          <w:p w14:paraId="67D91665" w14:textId="6C9AAE04" w:rsidR="00687F99" w:rsidRPr="005A18C8" w:rsidRDefault="00445D06" w:rsidP="00687F99">
            <w:pPr>
              <w:spacing w:before="0" w:line="240" w:lineRule="auto"/>
              <w:jc w:val="center"/>
            </w:pPr>
            <w:r>
              <w:t>%-change</w:t>
            </w:r>
          </w:p>
        </w:tc>
        <w:tc>
          <w:tcPr>
            <w:tcW w:w="1843" w:type="dxa"/>
            <w:tcBorders>
              <w:top w:val="single" w:sz="4" w:space="0" w:color="86B3E1"/>
              <w:bottom w:val="single" w:sz="4" w:space="0" w:color="86B3E1"/>
            </w:tcBorders>
            <w:shd w:val="clear" w:color="auto" w:fill="auto"/>
            <w:noWrap/>
            <w:vAlign w:val="center"/>
          </w:tcPr>
          <w:p w14:paraId="0E3D1FB3" w14:textId="7D28901A" w:rsidR="00687F99" w:rsidRPr="00DF273F" w:rsidRDefault="00176321" w:rsidP="00687F99">
            <w:pPr>
              <w:spacing w:before="0" w:line="240" w:lineRule="auto"/>
              <w:jc w:val="center"/>
              <w:rPr>
                <w:rFonts w:asciiTheme="minorHAnsi" w:eastAsia="Times New Roman" w:hAnsiTheme="minorHAnsi" w:cstheme="minorHAnsi"/>
                <w:color w:val="000000"/>
                <w:szCs w:val="22"/>
                <w:lang w:eastAsia="ru-RU"/>
              </w:rPr>
            </w:pPr>
            <w:r>
              <w:rPr>
                <w:rFonts w:asciiTheme="minorHAnsi" w:eastAsia="Times New Roman" w:hAnsiTheme="minorHAnsi" w:cstheme="minorHAnsi"/>
                <w:color w:val="000000"/>
                <w:szCs w:val="22"/>
                <w:lang w:eastAsia="ru-RU"/>
              </w:rPr>
              <w:t>201</w:t>
            </w:r>
            <w:r w:rsidR="00884ED7">
              <w:rPr>
                <w:rFonts w:asciiTheme="minorHAnsi" w:eastAsia="Times New Roman" w:hAnsiTheme="minorHAnsi" w:cstheme="minorHAnsi"/>
                <w:color w:val="000000"/>
                <w:szCs w:val="22"/>
                <w:lang w:eastAsia="ru-RU"/>
              </w:rPr>
              <w:t>0</w:t>
            </w:r>
            <w:r>
              <w:rPr>
                <w:rFonts w:asciiTheme="minorHAnsi" w:eastAsia="Times New Roman" w:hAnsiTheme="minorHAnsi" w:cstheme="minorHAnsi"/>
                <w:color w:val="000000"/>
                <w:szCs w:val="22"/>
                <w:lang w:eastAsia="ru-RU"/>
              </w:rPr>
              <w:t>-2023</w:t>
            </w:r>
          </w:p>
        </w:tc>
        <w:tc>
          <w:tcPr>
            <w:tcW w:w="2976" w:type="dxa"/>
            <w:tcBorders>
              <w:top w:val="single" w:sz="4" w:space="0" w:color="86B3E1"/>
              <w:bottom w:val="single" w:sz="4" w:space="0" w:color="86B3E1"/>
            </w:tcBorders>
            <w:shd w:val="clear" w:color="auto" w:fill="auto"/>
            <w:noWrap/>
            <w:vAlign w:val="center"/>
          </w:tcPr>
          <w:p w14:paraId="59F5C4EE" w14:textId="0396D355" w:rsidR="00687F99" w:rsidRPr="00DF273F" w:rsidRDefault="00223764" w:rsidP="00687F99">
            <w:pPr>
              <w:spacing w:before="0" w:line="240" w:lineRule="auto"/>
              <w:jc w:val="center"/>
              <w:rPr>
                <w:rFonts w:asciiTheme="minorHAnsi" w:eastAsia="Times New Roman" w:hAnsiTheme="minorHAnsi" w:cstheme="minorHAnsi"/>
                <w:color w:val="000000"/>
                <w:szCs w:val="22"/>
                <w:lang w:eastAsia="ru-RU"/>
              </w:rPr>
            </w:pPr>
            <w:r>
              <w:rPr>
                <w:rFonts w:asciiTheme="minorHAnsi" w:eastAsia="Times New Roman" w:hAnsiTheme="minorHAnsi" w:cstheme="minorHAnsi"/>
                <w:color w:val="000000"/>
                <w:szCs w:val="22"/>
                <w:lang w:eastAsia="ru-RU"/>
              </w:rPr>
              <w:t>1</w:t>
            </w:r>
            <w:r w:rsidR="00F101DD">
              <w:rPr>
                <w:rFonts w:asciiTheme="minorHAnsi" w:eastAsia="Times New Roman" w:hAnsiTheme="minorHAnsi" w:cstheme="minorHAnsi"/>
                <w:color w:val="000000"/>
                <w:szCs w:val="22"/>
                <w:lang w:eastAsia="ru-RU"/>
              </w:rPr>
              <w:t>2</w:t>
            </w:r>
            <w:r>
              <w:rPr>
                <w:rFonts w:asciiTheme="minorHAnsi" w:eastAsia="Times New Roman" w:hAnsiTheme="minorHAnsi" w:cstheme="minorHAnsi"/>
                <w:color w:val="000000"/>
                <w:szCs w:val="22"/>
                <w:lang w:eastAsia="ru-RU"/>
              </w:rPr>
              <w:t>.</w:t>
            </w:r>
            <w:r w:rsidR="00F101DD">
              <w:rPr>
                <w:rFonts w:asciiTheme="minorHAnsi" w:eastAsia="Times New Roman" w:hAnsiTheme="minorHAnsi" w:cstheme="minorHAnsi"/>
                <w:color w:val="000000"/>
                <w:szCs w:val="22"/>
                <w:lang w:eastAsia="ru-RU"/>
              </w:rPr>
              <w:t>2</w:t>
            </w:r>
            <w:r w:rsidR="00237CC7">
              <w:rPr>
                <w:rFonts w:asciiTheme="minorHAnsi" w:eastAsia="Times New Roman" w:hAnsiTheme="minorHAnsi" w:cstheme="minorHAnsi"/>
                <w:color w:val="000000"/>
                <w:szCs w:val="22"/>
                <w:lang w:val="de-DE" w:eastAsia="ru-RU"/>
              </w:rPr>
              <w:t xml:space="preserve"> – </w:t>
            </w:r>
            <w:r w:rsidR="002D339A">
              <w:rPr>
                <w:rFonts w:asciiTheme="minorHAnsi" w:eastAsia="Times New Roman" w:hAnsiTheme="minorHAnsi" w:cstheme="minorHAnsi"/>
                <w:color w:val="000000"/>
                <w:szCs w:val="22"/>
                <w:lang w:eastAsia="ru-RU"/>
              </w:rPr>
              <w:t>8.</w:t>
            </w:r>
            <w:r w:rsidR="00143276">
              <w:rPr>
                <w:rFonts w:asciiTheme="minorHAnsi" w:eastAsia="Times New Roman" w:hAnsiTheme="minorHAnsi" w:cstheme="minorHAnsi"/>
                <w:color w:val="000000"/>
                <w:szCs w:val="22"/>
                <w:lang w:eastAsia="ru-RU"/>
              </w:rPr>
              <w:t>1</w:t>
            </w:r>
            <w:r w:rsidR="00237CC7">
              <w:rPr>
                <w:rFonts w:asciiTheme="minorHAnsi" w:eastAsia="Times New Roman" w:hAnsiTheme="minorHAnsi" w:cstheme="minorHAnsi"/>
                <w:color w:val="000000"/>
                <w:szCs w:val="22"/>
                <w:lang w:val="de-DE" w:eastAsia="ru-RU"/>
              </w:rPr>
              <w:t xml:space="preserve"> – </w:t>
            </w:r>
            <w:r w:rsidR="00573B11">
              <w:rPr>
                <w:rFonts w:asciiTheme="minorHAnsi" w:eastAsia="Times New Roman" w:hAnsiTheme="minorHAnsi" w:cstheme="minorHAnsi"/>
                <w:color w:val="000000"/>
                <w:szCs w:val="22"/>
                <w:lang w:eastAsia="ru-RU"/>
              </w:rPr>
              <w:t>17.5</w:t>
            </w:r>
          </w:p>
        </w:tc>
        <w:tc>
          <w:tcPr>
            <w:tcW w:w="1701" w:type="dxa"/>
            <w:tcBorders>
              <w:top w:val="single" w:sz="4" w:space="0" w:color="86B3E1"/>
              <w:bottom w:val="single" w:sz="4" w:space="0" w:color="86B3E1"/>
            </w:tcBorders>
            <w:shd w:val="clear" w:color="auto" w:fill="auto"/>
            <w:noWrap/>
            <w:vAlign w:val="center"/>
          </w:tcPr>
          <w:p w14:paraId="4490D36D" w14:textId="578449B5" w:rsidR="00687F99" w:rsidRPr="00573B11" w:rsidRDefault="00573B11" w:rsidP="00687F99">
            <w:pPr>
              <w:spacing w:before="0" w:line="240" w:lineRule="auto"/>
              <w:jc w:val="center"/>
              <w:rPr>
                <w:rFonts w:asciiTheme="minorHAnsi" w:eastAsia="Times New Roman" w:hAnsiTheme="minorHAnsi" w:cstheme="minorHAnsi"/>
                <w:color w:val="000000"/>
                <w:szCs w:val="22"/>
                <w:lang w:eastAsia="ru-RU"/>
              </w:rPr>
            </w:pPr>
            <w:r w:rsidRPr="00573B11">
              <w:rPr>
                <w:rFonts w:asciiTheme="minorHAnsi" w:eastAsia="Times New Roman" w:hAnsiTheme="minorHAnsi" w:cstheme="minorHAnsi"/>
                <w:color w:val="000000"/>
                <w:szCs w:val="22"/>
                <w:lang w:eastAsia="ru-RU"/>
              </w:rPr>
              <w:t>World Bank, World Development I</w:t>
            </w:r>
            <w:r>
              <w:rPr>
                <w:rFonts w:asciiTheme="minorHAnsi" w:eastAsia="Times New Roman" w:hAnsiTheme="minorHAnsi" w:cstheme="minorHAnsi"/>
                <w:color w:val="000000"/>
                <w:szCs w:val="22"/>
                <w:lang w:eastAsia="ru-RU"/>
              </w:rPr>
              <w:t>ndicators</w:t>
            </w:r>
          </w:p>
        </w:tc>
      </w:tr>
      <w:tr w:rsidR="00687F99" w:rsidRPr="005A18C8" w14:paraId="3A2A1357" w14:textId="77777777" w:rsidTr="00237CC7">
        <w:trPr>
          <w:trHeight w:val="485"/>
        </w:trPr>
        <w:tc>
          <w:tcPr>
            <w:tcW w:w="1390" w:type="dxa"/>
            <w:tcBorders>
              <w:top w:val="single" w:sz="4" w:space="0" w:color="86B3E1"/>
              <w:bottom w:val="single" w:sz="4" w:space="0" w:color="86B3E1"/>
            </w:tcBorders>
            <w:shd w:val="clear" w:color="auto" w:fill="auto"/>
            <w:noWrap/>
            <w:vAlign w:val="center"/>
          </w:tcPr>
          <w:p w14:paraId="758AD6BF" w14:textId="5347BA84" w:rsidR="00687F99" w:rsidRPr="00DF273F" w:rsidRDefault="00445D06" w:rsidP="00687F99">
            <w:pPr>
              <w:spacing w:before="0" w:line="240" w:lineRule="auto"/>
              <w:jc w:val="left"/>
              <w:rPr>
                <w:rFonts w:asciiTheme="minorHAnsi" w:eastAsia="Times New Roman" w:hAnsiTheme="minorHAnsi" w:cstheme="minorHAnsi"/>
                <w:color w:val="000000"/>
                <w:szCs w:val="22"/>
                <w:lang w:eastAsia="ru-RU"/>
              </w:rPr>
            </w:pPr>
            <w:r>
              <w:rPr>
                <w:rFonts w:asciiTheme="minorHAnsi" w:eastAsia="Times New Roman" w:hAnsiTheme="minorHAnsi" w:cstheme="minorHAnsi"/>
                <w:color w:val="000000"/>
                <w:szCs w:val="22"/>
                <w:lang w:eastAsia="ru-RU"/>
              </w:rPr>
              <w:t>Electric vehicles</w:t>
            </w:r>
          </w:p>
        </w:tc>
        <w:tc>
          <w:tcPr>
            <w:tcW w:w="1162" w:type="dxa"/>
            <w:tcBorders>
              <w:top w:val="single" w:sz="4" w:space="0" w:color="86B3E1"/>
              <w:bottom w:val="single" w:sz="4" w:space="0" w:color="86B3E1"/>
            </w:tcBorders>
            <w:vAlign w:val="center"/>
          </w:tcPr>
          <w:p w14:paraId="6A5D6681" w14:textId="56CFFDE3" w:rsidR="00687F99" w:rsidRPr="005A18C8" w:rsidRDefault="00445D06" w:rsidP="00687F99">
            <w:pPr>
              <w:spacing w:before="0" w:line="240" w:lineRule="auto"/>
              <w:jc w:val="center"/>
            </w:pPr>
            <w:r>
              <w:t>Stock share</w:t>
            </w:r>
            <w:r w:rsidR="00162902">
              <w:t xml:space="preserve"> in %</w:t>
            </w:r>
          </w:p>
        </w:tc>
        <w:tc>
          <w:tcPr>
            <w:tcW w:w="1843" w:type="dxa"/>
            <w:tcBorders>
              <w:top w:val="single" w:sz="4" w:space="0" w:color="86B3E1"/>
              <w:bottom w:val="single" w:sz="4" w:space="0" w:color="86B3E1"/>
            </w:tcBorders>
            <w:shd w:val="clear" w:color="auto" w:fill="auto"/>
            <w:noWrap/>
            <w:vAlign w:val="center"/>
          </w:tcPr>
          <w:p w14:paraId="1C326338" w14:textId="362FDE48" w:rsidR="00687F99" w:rsidRPr="005A18C8" w:rsidRDefault="00FA5BFF" w:rsidP="00687F99">
            <w:pPr>
              <w:spacing w:before="0" w:line="240" w:lineRule="auto"/>
              <w:jc w:val="center"/>
              <w:rPr>
                <w:rFonts w:asciiTheme="minorHAnsi" w:eastAsia="Times New Roman" w:hAnsiTheme="minorHAnsi" w:cstheme="minorHAnsi"/>
                <w:color w:val="000000"/>
                <w:szCs w:val="22"/>
                <w:lang w:val="en-US" w:eastAsia="ru-RU"/>
              </w:rPr>
            </w:pPr>
            <w:r>
              <w:rPr>
                <w:rFonts w:asciiTheme="minorHAnsi" w:eastAsia="Times New Roman" w:hAnsiTheme="minorHAnsi" w:cstheme="minorHAnsi"/>
                <w:color w:val="000000"/>
                <w:szCs w:val="22"/>
                <w:lang w:val="en-US" w:eastAsia="ru-RU"/>
              </w:rPr>
              <w:t>2016-2023</w:t>
            </w:r>
          </w:p>
        </w:tc>
        <w:tc>
          <w:tcPr>
            <w:tcW w:w="2976" w:type="dxa"/>
            <w:tcBorders>
              <w:top w:val="single" w:sz="4" w:space="0" w:color="86B3E1"/>
              <w:bottom w:val="single" w:sz="4" w:space="0" w:color="86B3E1"/>
            </w:tcBorders>
            <w:shd w:val="clear" w:color="auto" w:fill="auto"/>
            <w:noWrap/>
            <w:vAlign w:val="center"/>
          </w:tcPr>
          <w:p w14:paraId="54151497" w14:textId="3EA16205" w:rsidR="00687F99" w:rsidRPr="00DF273F" w:rsidRDefault="004A5AFE" w:rsidP="00687F99">
            <w:pPr>
              <w:spacing w:before="0" w:line="240" w:lineRule="auto"/>
              <w:jc w:val="center"/>
              <w:rPr>
                <w:rFonts w:asciiTheme="minorHAnsi" w:eastAsia="Times New Roman" w:hAnsiTheme="minorHAnsi" w:cstheme="minorHAnsi"/>
                <w:color w:val="000000"/>
                <w:szCs w:val="22"/>
                <w:lang w:eastAsia="ru-RU"/>
              </w:rPr>
            </w:pPr>
            <w:r>
              <w:rPr>
                <w:rFonts w:asciiTheme="minorHAnsi" w:eastAsia="Times New Roman" w:hAnsiTheme="minorHAnsi" w:cstheme="minorHAnsi"/>
                <w:color w:val="000000"/>
                <w:szCs w:val="22"/>
                <w:lang w:eastAsia="ru-RU"/>
              </w:rPr>
              <w:t>4.5</w:t>
            </w:r>
            <w:r w:rsidR="00237CC7">
              <w:rPr>
                <w:rFonts w:asciiTheme="minorHAnsi" w:eastAsia="Times New Roman" w:hAnsiTheme="minorHAnsi" w:cstheme="minorHAnsi"/>
                <w:color w:val="000000"/>
                <w:szCs w:val="22"/>
                <w:lang w:val="de-DE" w:eastAsia="ru-RU"/>
              </w:rPr>
              <w:t xml:space="preserve"> – </w:t>
            </w:r>
            <w:r w:rsidR="00FA5BFF">
              <w:rPr>
                <w:rFonts w:asciiTheme="minorHAnsi" w:eastAsia="Times New Roman" w:hAnsiTheme="minorHAnsi" w:cstheme="minorHAnsi"/>
                <w:color w:val="000000"/>
                <w:szCs w:val="22"/>
                <w:lang w:eastAsia="ru-RU"/>
              </w:rPr>
              <w:t>0.</w:t>
            </w:r>
            <w:r w:rsidR="00237CC7">
              <w:rPr>
                <w:rFonts w:asciiTheme="minorHAnsi" w:eastAsia="Times New Roman" w:hAnsiTheme="minorHAnsi" w:cstheme="minorHAnsi"/>
                <w:color w:val="000000"/>
                <w:szCs w:val="22"/>
                <w:lang w:eastAsia="ru-RU"/>
              </w:rPr>
              <w:t>7</w:t>
            </w:r>
            <w:r w:rsidR="00237CC7">
              <w:rPr>
                <w:rFonts w:asciiTheme="minorHAnsi" w:eastAsia="Times New Roman" w:hAnsiTheme="minorHAnsi" w:cstheme="minorHAnsi"/>
                <w:color w:val="000000"/>
                <w:szCs w:val="22"/>
                <w:lang w:val="de-DE" w:eastAsia="ru-RU"/>
              </w:rPr>
              <w:t xml:space="preserve"> – </w:t>
            </w:r>
            <w:r w:rsidR="0090723E">
              <w:rPr>
                <w:rFonts w:asciiTheme="minorHAnsi" w:eastAsia="Times New Roman" w:hAnsiTheme="minorHAnsi" w:cstheme="minorHAnsi"/>
                <w:color w:val="000000"/>
                <w:szCs w:val="22"/>
                <w:lang w:eastAsia="ru-RU"/>
              </w:rPr>
              <w:t>8</w:t>
            </w:r>
          </w:p>
        </w:tc>
        <w:tc>
          <w:tcPr>
            <w:tcW w:w="1701" w:type="dxa"/>
            <w:tcBorders>
              <w:top w:val="single" w:sz="4" w:space="0" w:color="86B3E1"/>
              <w:bottom w:val="single" w:sz="4" w:space="0" w:color="86B3E1"/>
            </w:tcBorders>
            <w:shd w:val="clear" w:color="auto" w:fill="auto"/>
            <w:noWrap/>
            <w:vAlign w:val="center"/>
          </w:tcPr>
          <w:p w14:paraId="47C3B601" w14:textId="2134CBE0" w:rsidR="00687F99" w:rsidRPr="00107465" w:rsidRDefault="00107465" w:rsidP="00687F99">
            <w:pPr>
              <w:spacing w:before="0" w:line="240" w:lineRule="auto"/>
              <w:jc w:val="center"/>
              <w:rPr>
                <w:rFonts w:asciiTheme="minorHAnsi" w:eastAsia="Times New Roman" w:hAnsiTheme="minorHAnsi" w:cstheme="minorHAnsi"/>
                <w:color w:val="000000"/>
                <w:szCs w:val="22"/>
                <w:lang w:val="de-DE" w:eastAsia="ru-RU"/>
              </w:rPr>
            </w:pPr>
            <w:r>
              <w:rPr>
                <w:rFonts w:asciiTheme="minorHAnsi" w:eastAsia="Times New Roman" w:hAnsiTheme="minorHAnsi" w:cstheme="minorHAnsi"/>
                <w:color w:val="000000"/>
                <w:szCs w:val="22"/>
                <w:lang w:val="de-DE" w:eastAsia="ru-RU"/>
              </w:rPr>
              <w:t>Statista</w:t>
            </w:r>
            <w:r w:rsidR="00052589">
              <w:rPr>
                <w:rFonts w:asciiTheme="minorHAnsi" w:eastAsia="Times New Roman" w:hAnsiTheme="minorHAnsi" w:cstheme="minorHAnsi"/>
                <w:color w:val="000000"/>
                <w:szCs w:val="22"/>
                <w:lang w:val="de-DE" w:eastAsia="ru-RU"/>
              </w:rPr>
              <w:t xml:space="preserve"> Market </w:t>
            </w:r>
            <w:proofErr w:type="spellStart"/>
            <w:r w:rsidR="00052589">
              <w:rPr>
                <w:rFonts w:asciiTheme="minorHAnsi" w:eastAsia="Times New Roman" w:hAnsiTheme="minorHAnsi" w:cstheme="minorHAnsi"/>
                <w:color w:val="000000"/>
                <w:szCs w:val="22"/>
                <w:lang w:val="de-DE" w:eastAsia="ru-RU"/>
              </w:rPr>
              <w:t>Insights</w:t>
            </w:r>
            <w:proofErr w:type="spellEnd"/>
          </w:p>
        </w:tc>
      </w:tr>
    </w:tbl>
    <w:p w14:paraId="576F3C2E" w14:textId="619F4D43" w:rsidR="001876C8" w:rsidRPr="00775C97" w:rsidRDefault="000E6188" w:rsidP="00D629F3">
      <w:pPr>
        <w:pStyle w:val="Fliesstext"/>
        <w:rPr>
          <w:lang w:val="en-US" w:eastAsia="de-DE"/>
        </w:rPr>
      </w:pPr>
      <w:r w:rsidRPr="009C04E3">
        <w:rPr>
          <w:rFonts w:cs="Calibri"/>
          <w:i/>
          <w:iCs/>
          <w:color w:val="ADADAD"/>
          <w:sz w:val="18"/>
        </w:rPr>
        <w:t>Source</w:t>
      </w:r>
      <w:r>
        <w:rPr>
          <w:rFonts w:cs="Calibri"/>
          <w:i/>
          <w:iCs/>
          <w:color w:val="ADADAD"/>
          <w:sz w:val="18"/>
        </w:rPr>
        <w:t>s</w:t>
      </w:r>
      <w:r w:rsidRPr="009C04E3">
        <w:rPr>
          <w:rFonts w:cs="Calibri"/>
          <w:i/>
          <w:iCs/>
          <w:color w:val="ADADAD"/>
          <w:sz w:val="18"/>
        </w:rPr>
        <w:t>:</w:t>
      </w:r>
      <w:r>
        <w:rPr>
          <w:rFonts w:cs="Calibri"/>
          <w:i/>
          <w:iCs/>
          <w:color w:val="ADADAD"/>
          <w:sz w:val="18"/>
        </w:rPr>
        <w:t xml:space="preserve"> I</w:t>
      </w:r>
      <w:r w:rsidR="00775C97">
        <w:rPr>
          <w:rFonts w:cs="Calibri"/>
          <w:i/>
          <w:iCs/>
          <w:color w:val="ADADAD"/>
          <w:sz w:val="18"/>
        </w:rPr>
        <w:t>nternational Monetary Fund</w:t>
      </w:r>
      <w:r>
        <w:rPr>
          <w:rFonts w:cs="Calibri"/>
          <w:i/>
          <w:iCs/>
          <w:color w:val="ADADAD"/>
          <w:sz w:val="18"/>
        </w:rPr>
        <w:t xml:space="preserve"> W</w:t>
      </w:r>
      <w:r w:rsidR="00775C97">
        <w:rPr>
          <w:rFonts w:cs="Calibri"/>
          <w:i/>
          <w:iCs/>
          <w:color w:val="ADADAD"/>
          <w:sz w:val="18"/>
        </w:rPr>
        <w:t xml:space="preserve">orld </w:t>
      </w:r>
      <w:r>
        <w:rPr>
          <w:rFonts w:cs="Calibri"/>
          <w:i/>
          <w:iCs/>
          <w:color w:val="ADADAD"/>
          <w:sz w:val="18"/>
        </w:rPr>
        <w:t>E</w:t>
      </w:r>
      <w:r w:rsidR="00775C97">
        <w:rPr>
          <w:rFonts w:cs="Calibri"/>
          <w:i/>
          <w:iCs/>
          <w:color w:val="ADADAD"/>
          <w:sz w:val="18"/>
        </w:rPr>
        <w:t xml:space="preserve">conomic </w:t>
      </w:r>
      <w:r>
        <w:rPr>
          <w:rFonts w:cs="Calibri"/>
          <w:i/>
          <w:iCs/>
          <w:color w:val="ADADAD"/>
          <w:sz w:val="18"/>
        </w:rPr>
        <w:t>O</w:t>
      </w:r>
      <w:r w:rsidR="00775C97">
        <w:rPr>
          <w:rFonts w:cs="Calibri"/>
          <w:i/>
          <w:iCs/>
          <w:color w:val="ADADAD"/>
          <w:sz w:val="18"/>
        </w:rPr>
        <w:t>utlook</w:t>
      </w:r>
      <w:r>
        <w:rPr>
          <w:rFonts w:cs="Calibri"/>
          <w:i/>
          <w:iCs/>
          <w:color w:val="ADADAD"/>
          <w:sz w:val="18"/>
        </w:rPr>
        <w:t xml:space="preserve"> 202</w:t>
      </w:r>
      <w:r w:rsidR="00775C97">
        <w:rPr>
          <w:rFonts w:cs="Calibri"/>
          <w:i/>
          <w:iCs/>
          <w:color w:val="ADADAD"/>
          <w:sz w:val="18"/>
        </w:rPr>
        <w:t>4</w:t>
      </w:r>
      <w:r>
        <w:rPr>
          <w:rFonts w:cs="Calibri"/>
          <w:i/>
          <w:iCs/>
          <w:color w:val="ADADAD"/>
          <w:sz w:val="18"/>
        </w:rPr>
        <w:t>, International Energy Agency, United Nations World Population Prospects 2024, Statistics Agency Uzbekistan, World Bank World Development Indicators</w:t>
      </w:r>
      <w:r w:rsidR="00775C97">
        <w:rPr>
          <w:rFonts w:cs="Calibri"/>
          <w:i/>
          <w:iCs/>
          <w:color w:val="ADADAD"/>
          <w:sz w:val="18"/>
        </w:rPr>
        <w:t>, Statista</w:t>
      </w:r>
      <w:r w:rsidR="00052589">
        <w:rPr>
          <w:rFonts w:cs="Calibri"/>
          <w:i/>
          <w:iCs/>
          <w:color w:val="ADADAD"/>
          <w:sz w:val="18"/>
        </w:rPr>
        <w:t xml:space="preserve"> Market Insights</w:t>
      </w:r>
      <w:r w:rsidR="00775C97">
        <w:rPr>
          <w:rFonts w:cs="Calibri"/>
          <w:i/>
          <w:iCs/>
          <w:color w:val="ADADAD"/>
          <w:sz w:val="18"/>
        </w:rPr>
        <w:t>.</w:t>
      </w:r>
    </w:p>
    <w:p w14:paraId="351EA413" w14:textId="098BD0EE" w:rsidR="00B01C0B" w:rsidRDefault="002E6BBD" w:rsidP="00AD4377">
      <w:pPr>
        <w:pStyle w:val="berschrift2"/>
      </w:pPr>
      <w:bookmarkStart w:id="32" w:name="_Toc182575139"/>
      <w:r>
        <w:lastRenderedPageBreak/>
        <w:t>Prophet model specifications</w:t>
      </w:r>
      <w:bookmarkEnd w:id="32"/>
    </w:p>
    <w:p w14:paraId="237E70B3" w14:textId="1BB68E92" w:rsidR="006D3C60" w:rsidRDefault="006D3C60" w:rsidP="004F05FA">
      <w:pPr>
        <w:pStyle w:val="Hervorhebungen-blau-fett"/>
        <w:spacing w:after="120"/>
        <w:rPr>
          <w:rFonts w:cs="Calibri"/>
          <w:b w:val="0"/>
          <w:bCs w:val="0"/>
          <w:color w:val="333333"/>
          <w:szCs w:val="22"/>
          <w:lang w:val="en-GB" w:eastAsia="en-US"/>
        </w:rPr>
      </w:pPr>
      <w:r w:rsidRPr="006D3C60">
        <w:rPr>
          <w:rFonts w:cs="Calibri"/>
          <w:b w:val="0"/>
          <w:bCs w:val="0"/>
          <w:color w:val="333333"/>
          <w:szCs w:val="22"/>
          <w:lang w:val="en-GB" w:eastAsia="en-US"/>
        </w:rPr>
        <w:t xml:space="preserve">The Prophet model was configured with daily, weekly, and yearly </w:t>
      </w:r>
      <w:proofErr w:type="spellStart"/>
      <w:r w:rsidRPr="006D3C60">
        <w:rPr>
          <w:rFonts w:cs="Calibri"/>
          <w:b w:val="0"/>
          <w:bCs w:val="0"/>
          <w:color w:val="333333"/>
          <w:szCs w:val="22"/>
          <w:lang w:val="en-GB" w:eastAsia="en-US"/>
        </w:rPr>
        <w:t>seasonalities</w:t>
      </w:r>
      <w:proofErr w:type="spellEnd"/>
      <w:r w:rsidRPr="006D3C60">
        <w:rPr>
          <w:rFonts w:cs="Calibri"/>
          <w:b w:val="0"/>
          <w:bCs w:val="0"/>
          <w:color w:val="333333"/>
          <w:szCs w:val="22"/>
          <w:lang w:val="en-GB" w:eastAsia="en-US"/>
        </w:rPr>
        <w:t>, using Uzbekistan-specific holidays and treating January 25–27, 2022, as an outlier due to a major power outage</w:t>
      </w:r>
      <w:r w:rsidR="00563EF8">
        <w:rPr>
          <w:rFonts w:cs="Calibri"/>
          <w:b w:val="0"/>
          <w:bCs w:val="0"/>
          <w:color w:val="333333"/>
          <w:szCs w:val="22"/>
          <w:lang w:val="en-GB" w:eastAsia="en-US"/>
        </w:rPr>
        <w:t xml:space="preserve"> (see also chapter </w:t>
      </w:r>
      <w:r w:rsidR="00563EF8">
        <w:rPr>
          <w:rFonts w:cs="Calibri"/>
          <w:b w:val="0"/>
          <w:bCs w:val="0"/>
          <w:color w:val="333333"/>
          <w:szCs w:val="22"/>
          <w:lang w:val="en-GB" w:eastAsia="en-US"/>
        </w:rPr>
        <w:fldChar w:fldCharType="begin"/>
      </w:r>
      <w:r w:rsidR="00563EF8">
        <w:rPr>
          <w:rFonts w:cs="Calibri"/>
          <w:b w:val="0"/>
          <w:bCs w:val="0"/>
          <w:color w:val="333333"/>
          <w:szCs w:val="22"/>
          <w:lang w:val="en-GB" w:eastAsia="en-US"/>
        </w:rPr>
        <w:instrText xml:space="preserve"> REF _Ref181015841 \r \h </w:instrText>
      </w:r>
      <w:r w:rsidR="00563EF8">
        <w:rPr>
          <w:rFonts w:cs="Calibri"/>
          <w:b w:val="0"/>
          <w:bCs w:val="0"/>
          <w:color w:val="333333"/>
          <w:szCs w:val="22"/>
          <w:lang w:val="en-GB" w:eastAsia="en-US"/>
        </w:rPr>
      </w:r>
      <w:r w:rsidR="00563EF8">
        <w:rPr>
          <w:rFonts w:cs="Calibri"/>
          <w:b w:val="0"/>
          <w:bCs w:val="0"/>
          <w:color w:val="333333"/>
          <w:szCs w:val="22"/>
          <w:lang w:val="en-GB" w:eastAsia="en-US"/>
        </w:rPr>
        <w:fldChar w:fldCharType="separate"/>
      </w:r>
      <w:r w:rsidR="002401AF">
        <w:rPr>
          <w:rFonts w:cs="Calibri"/>
          <w:b w:val="0"/>
          <w:bCs w:val="0"/>
          <w:color w:val="333333"/>
          <w:szCs w:val="22"/>
          <w:lang w:val="en-GB" w:eastAsia="en-US"/>
        </w:rPr>
        <w:t>7.1</w:t>
      </w:r>
      <w:r w:rsidR="00563EF8">
        <w:rPr>
          <w:rFonts w:cs="Calibri"/>
          <w:b w:val="0"/>
          <w:bCs w:val="0"/>
          <w:color w:val="333333"/>
          <w:szCs w:val="22"/>
          <w:lang w:val="en-GB" w:eastAsia="en-US"/>
        </w:rPr>
        <w:fldChar w:fldCharType="end"/>
      </w:r>
      <w:r w:rsidR="00563EF8">
        <w:rPr>
          <w:rFonts w:cs="Calibri"/>
          <w:b w:val="0"/>
          <w:bCs w:val="0"/>
          <w:color w:val="333333"/>
          <w:szCs w:val="22"/>
          <w:lang w:val="en-GB" w:eastAsia="en-US"/>
        </w:rPr>
        <w:t>)</w:t>
      </w:r>
      <w:r w:rsidRPr="006D3C60">
        <w:rPr>
          <w:rFonts w:cs="Calibri"/>
          <w:b w:val="0"/>
          <w:bCs w:val="0"/>
          <w:color w:val="333333"/>
          <w:szCs w:val="22"/>
          <w:lang w:val="en-GB" w:eastAsia="en-US"/>
        </w:rPr>
        <w:t>. To better capture recent trends, the number of changepoints was increased from 25 to 50, allowing the model to respond more effectively to shifts in electricity demand.</w:t>
      </w:r>
    </w:p>
    <w:p w14:paraId="7791E0F1" w14:textId="0894AFC6" w:rsidR="00AD4377" w:rsidRDefault="00AD4377" w:rsidP="00AD4377">
      <w:pPr>
        <w:pStyle w:val="berschrift2"/>
      </w:pPr>
      <w:bookmarkStart w:id="33" w:name="_Toc182575140"/>
      <w:r>
        <w:t>Detailed assumptions of model variants</w:t>
      </w:r>
      <w:bookmarkEnd w:id="33"/>
    </w:p>
    <w:p w14:paraId="3F8820D5" w14:textId="47A0253E" w:rsidR="004711CF" w:rsidRPr="00EC5D8C" w:rsidRDefault="00E015FE" w:rsidP="00EC5D8C">
      <w:pPr>
        <w:pStyle w:val="Beschriftung"/>
        <w:rPr>
          <w:rFonts w:cs="calibri light (Überschriften)"/>
          <w:b w:val="0"/>
          <w:bCs/>
          <w:color w:val="104C91"/>
          <w:sz w:val="22"/>
          <w:lang w:val="en-GB"/>
        </w:rPr>
      </w:pPr>
      <w:bookmarkStart w:id="34" w:name="_Ref182236150"/>
      <w:r w:rsidRPr="00E015FE">
        <w:rPr>
          <w:rFonts w:cs="calibri light (Überschriften)"/>
          <w:b w:val="0"/>
          <w:bCs/>
          <w:color w:val="104C91"/>
          <w:sz w:val="22"/>
          <w:lang w:val="en-GB"/>
        </w:rPr>
        <w:t xml:space="preserve">Figure </w:t>
      </w:r>
      <w:r w:rsidRPr="00E015FE">
        <w:rPr>
          <w:rFonts w:cs="calibri light (Überschriften)"/>
          <w:b w:val="0"/>
          <w:bCs/>
          <w:color w:val="104C91"/>
          <w:sz w:val="22"/>
          <w:lang w:val="en-GB"/>
        </w:rPr>
        <w:fldChar w:fldCharType="begin"/>
      </w:r>
      <w:r w:rsidRPr="00E015FE">
        <w:rPr>
          <w:rFonts w:cs="calibri light (Überschriften)"/>
          <w:b w:val="0"/>
          <w:bCs/>
          <w:color w:val="104C91"/>
          <w:sz w:val="22"/>
          <w:lang w:val="en-GB"/>
        </w:rPr>
        <w:instrText xml:space="preserve"> SEQ Figure \* ARABIC </w:instrText>
      </w:r>
      <w:r w:rsidRPr="00E015FE">
        <w:rPr>
          <w:rFonts w:cs="calibri light (Überschriften)"/>
          <w:b w:val="0"/>
          <w:bCs/>
          <w:color w:val="104C91"/>
          <w:sz w:val="22"/>
          <w:lang w:val="en-GB"/>
        </w:rPr>
        <w:fldChar w:fldCharType="separate"/>
      </w:r>
      <w:r w:rsidR="002401AF">
        <w:rPr>
          <w:rFonts w:cs="calibri light (Überschriften)"/>
          <w:b w:val="0"/>
          <w:bCs/>
          <w:noProof/>
          <w:color w:val="104C91"/>
          <w:sz w:val="22"/>
          <w:lang w:val="en-GB"/>
        </w:rPr>
        <w:t>11</w:t>
      </w:r>
      <w:r w:rsidRPr="00E015FE">
        <w:rPr>
          <w:rFonts w:cs="calibri light (Überschriften)"/>
          <w:b w:val="0"/>
          <w:bCs/>
          <w:color w:val="104C91"/>
          <w:sz w:val="22"/>
          <w:lang w:val="en-GB"/>
        </w:rPr>
        <w:fldChar w:fldCharType="end"/>
      </w:r>
      <w:bookmarkEnd w:id="34"/>
      <w:r w:rsidRPr="00E015FE">
        <w:rPr>
          <w:rFonts w:cs="calibri light (Überschriften)"/>
          <w:b w:val="0"/>
          <w:bCs/>
          <w:color w:val="104C91"/>
          <w:sz w:val="22"/>
          <w:lang w:val="en-GB"/>
        </w:rPr>
        <w:t xml:space="preserve">: </w:t>
      </w:r>
      <w:r w:rsidR="00DC0569">
        <w:rPr>
          <w:rFonts w:cs="calibri light (Überschriften)"/>
          <w:b w:val="0"/>
          <w:bCs/>
          <w:color w:val="104C91"/>
          <w:sz w:val="22"/>
          <w:lang w:val="en-GB"/>
        </w:rPr>
        <w:t xml:space="preserve">Sectoral electricity </w:t>
      </w:r>
      <w:r w:rsidR="006B21BD">
        <w:rPr>
          <w:rFonts w:cs="calibri light (Überschriften)"/>
          <w:b w:val="0"/>
          <w:bCs/>
          <w:color w:val="104C91"/>
          <w:sz w:val="22"/>
          <w:lang w:val="en-GB"/>
        </w:rPr>
        <w:t>consumption</w:t>
      </w:r>
      <w:r w:rsidR="00C77C45">
        <w:rPr>
          <w:rFonts w:cs="calibri light (Überschriften)"/>
          <w:b w:val="0"/>
          <w:bCs/>
          <w:color w:val="104C91"/>
          <w:sz w:val="22"/>
          <w:lang w:val="en-GB"/>
        </w:rPr>
        <w:t xml:space="preserve"> </w:t>
      </w:r>
      <w:r w:rsidR="003F175D">
        <w:rPr>
          <w:rFonts w:cs="calibri light (Überschriften)"/>
          <w:b w:val="0"/>
          <w:bCs/>
          <w:color w:val="104C91"/>
          <w:sz w:val="22"/>
          <w:lang w:val="en-GB"/>
        </w:rPr>
        <w:t>as external variables</w:t>
      </w:r>
    </w:p>
    <w:p w14:paraId="185CE95D" w14:textId="5A5A5062" w:rsidR="00A37C05" w:rsidRDefault="00EC5D8C" w:rsidP="004711CF">
      <w:pPr>
        <w:rPr>
          <w:rFonts w:cs="Calibri"/>
          <w:i/>
          <w:iCs/>
          <w:color w:val="ADADAD"/>
          <w:sz w:val="18"/>
        </w:rPr>
      </w:pPr>
      <w:r>
        <w:rPr>
          <w:noProof/>
        </w:rPr>
        <mc:AlternateContent>
          <mc:Choice Requires="wpg">
            <w:drawing>
              <wp:inline distT="0" distB="0" distL="0" distR="0" wp14:anchorId="1DE4AD05" wp14:editId="1A1307FD">
                <wp:extent cx="5041270" cy="2997343"/>
                <wp:effectExtent l="0" t="0" r="6985" b="0"/>
                <wp:docPr id="196276483" name="Group 19"/>
                <wp:cNvGraphicFramePr/>
                <a:graphic xmlns:a="http://schemas.openxmlformats.org/drawingml/2006/main">
                  <a:graphicData uri="http://schemas.microsoft.com/office/word/2010/wordprocessingGroup">
                    <wpg:wgp>
                      <wpg:cNvGrpSpPr/>
                      <wpg:grpSpPr>
                        <a:xfrm>
                          <a:off x="0" y="0"/>
                          <a:ext cx="5041270" cy="2997343"/>
                          <a:chOff x="0" y="-25260"/>
                          <a:chExt cx="5041270" cy="2997343"/>
                        </a:xfrm>
                      </wpg:grpSpPr>
                      <wpg:grpSp>
                        <wpg:cNvPr id="708711957" name="Group 708711957"/>
                        <wpg:cNvGrpSpPr/>
                        <wpg:grpSpPr>
                          <a:xfrm>
                            <a:off x="0" y="0"/>
                            <a:ext cx="5041270" cy="2972083"/>
                            <a:chOff x="0" y="0"/>
                            <a:chExt cx="5041270" cy="2754631"/>
                          </a:xfrm>
                        </wpg:grpSpPr>
                        <wpg:graphicFrame>
                          <wpg:cNvPr id="724085661" name="Chart 724085661"/>
                          <wpg:cNvFrPr>
                            <a:graphicFrameLocks/>
                          </wpg:cNvFrPr>
                          <wpg:xfrm>
                            <a:off x="0" y="0"/>
                            <a:ext cx="5041270" cy="2752091"/>
                          </wpg:xfrm>
                          <a:graphic>
                            <a:graphicData uri="http://schemas.openxmlformats.org/drawingml/2006/chart">
                              <c:chart xmlns:c="http://schemas.openxmlformats.org/drawingml/2006/chart" xmlns:r="http://schemas.openxmlformats.org/officeDocument/2006/relationships" r:id="rId36"/>
                            </a:graphicData>
                          </a:graphic>
                        </wpg:graphicFrame>
                        <wpg:graphicFrame>
                          <wpg:cNvPr id="1911880413" name="Chart 1911880413"/>
                          <wpg:cNvFrPr>
                            <a:graphicFrameLocks/>
                          </wpg:cNvFrPr>
                          <wpg:xfrm>
                            <a:off x="2532945" y="2540"/>
                            <a:ext cx="2457873" cy="2752091"/>
                          </wpg:xfrm>
                          <a:graphic>
                            <a:graphicData uri="http://schemas.openxmlformats.org/drawingml/2006/chart">
                              <c:chart xmlns:c="http://schemas.openxmlformats.org/drawingml/2006/chart" xmlns:r="http://schemas.openxmlformats.org/officeDocument/2006/relationships" r:id="rId37"/>
                            </a:graphicData>
                          </a:graphic>
                        </wpg:graphicFrame>
                      </wpg:grpSp>
                      <wps:wsp>
                        <wps:cNvPr id="819123794" name="TextBox 17"/>
                        <wps:cNvSpPr txBox="1"/>
                        <wps:spPr>
                          <a:xfrm>
                            <a:off x="648547" y="-25260"/>
                            <a:ext cx="1632373" cy="3302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1AD3E8B7" w14:textId="77777777" w:rsidR="00EC5D8C" w:rsidRDefault="00EC5D8C" w:rsidP="00EC5D8C">
                              <w:pPr>
                                <w:jc w:val="center"/>
                                <w:rPr>
                                  <w:rFonts w:eastAsia="Calibri" w:cs="Calibri"/>
                                  <w:color w:val="7A7A7A"/>
                                  <w:kern w:val="24"/>
                                  <w:sz w:val="20"/>
                                  <w:szCs w:val="20"/>
                                </w:rPr>
                              </w:pPr>
                              <w:r>
                                <w:rPr>
                                  <w:rFonts w:eastAsia="Calibri" w:cs="Calibri"/>
                                  <w:color w:val="7A7A7A"/>
                                  <w:kern w:val="24"/>
                                  <w:sz w:val="20"/>
                                  <w:szCs w:val="20"/>
                                </w:rPr>
                                <w:t>Sectoral expansion variant</w:t>
                              </w:r>
                            </w:p>
                          </w:txbxContent>
                        </wps:txbx>
                        <wps:bodyPr wrap="square" rtlCol="0" anchor="t"/>
                      </wps:wsp>
                      <wps:wsp>
                        <wps:cNvPr id="327994430" name="TextBox 18"/>
                        <wps:cNvSpPr txBox="1"/>
                        <wps:spPr>
                          <a:xfrm>
                            <a:off x="3022313" y="5783"/>
                            <a:ext cx="1631103" cy="311857"/>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9CE1F3F" w14:textId="77777777" w:rsidR="00EC5D8C" w:rsidRDefault="00EC5D8C" w:rsidP="00EC5D8C">
                              <w:pPr>
                                <w:jc w:val="center"/>
                                <w:rPr>
                                  <w:rFonts w:eastAsia="Calibri" w:cs="Calibri"/>
                                  <w:color w:val="7A7A7A"/>
                                  <w:kern w:val="24"/>
                                  <w:sz w:val="20"/>
                                  <w:szCs w:val="20"/>
                                </w:rPr>
                              </w:pPr>
                              <w:r>
                                <w:rPr>
                                  <w:rFonts w:eastAsia="Calibri" w:cs="Calibri"/>
                                  <w:color w:val="7A7A7A"/>
                                  <w:kern w:val="24"/>
                                  <w:sz w:val="20"/>
                                  <w:szCs w:val="20"/>
                                </w:rPr>
                                <w:t>Tariff impact variant</w:t>
                              </w:r>
                            </w:p>
                          </w:txbxContent>
                        </wps:txbx>
                        <wps:bodyPr wrap="square" rtlCol="0" anchor="t"/>
                      </wps:wsp>
                    </wpg:wgp>
                  </a:graphicData>
                </a:graphic>
              </wp:inline>
            </w:drawing>
          </mc:Choice>
          <mc:Fallback>
            <w:pict>
              <v:group w14:anchorId="1DE4AD05" id="Group 19" o:spid="_x0000_s1050" style="width:396.95pt;height:236pt;mso-position-horizontal-relative:char;mso-position-vertical-relative:line" coordorigin=",-252" coordsize="50412,29973"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">
                <v:group id="Group 708711957" o:spid="_x0000_s1051" style="position:absolute;width:50412;height:29720" coordsize="50412,2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">
                  <v:shape id="Chart 724085661" o:spid="_x0000_s1052" type="#_x0000_t75" style="position:absolute;top:-8;width:50413;height:275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">
                    <v:imagedata r:id="rId38" o:title=""/>
                    <o:lock v:ext="edit" aspectratio="f"/>
                  </v:shape>
                  <v:shape id="Chart 1911880413" o:spid="_x0000_s1053" type="#_x0000_t75" style="position:absolute;left:25420;top:1743;width:22738;height:210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">
                    <v:imagedata r:id="rId39" o:title=""/>
                    <o:lock v:ext="edit" aspectratio="f"/>
                  </v:shape>
                </v:group>
                <v:shape id="TextBox 17" o:spid="_x0000_s1054" type="#_x0000_t202" style="position:absolute;left:6485;top:-252;width:16324;height:3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" filled="f" stroked="f">
                  <v:textbox>
                    <w:txbxContent>
                      <w:p w14:paraId="1AD3E8B7" w14:textId="77777777" w:rsidR="00EC5D8C" w:rsidRDefault="00EC5D8C" w:rsidP="00EC5D8C">
                        <w:pPr>
                          <w:jc w:val="center"/>
                          <w:rPr>
                            <w:rFonts w:eastAsia="Calibri" w:cs="Calibri"/>
                            <w:color w:val="7A7A7A"/>
                            <w:kern w:val="24"/>
                            <w:sz w:val="20"/>
                            <w:szCs w:val="20"/>
                          </w:rPr>
                        </w:pPr>
                        <w:r>
                          <w:rPr>
                            <w:rFonts w:eastAsia="Calibri" w:cs="Calibri"/>
                            <w:color w:val="7A7A7A"/>
                            <w:kern w:val="24"/>
                            <w:sz w:val="20"/>
                            <w:szCs w:val="20"/>
                          </w:rPr>
                          <w:t>Sectoral expansion variant</w:t>
                        </w:r>
                      </w:p>
                    </w:txbxContent>
                  </v:textbox>
                </v:shape>
                <v:shape id="TextBox 18" o:spid="_x0000_s1055" type="#_x0000_t202" style="position:absolute;left:30223;top:57;width:1631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" filled="f" stroked="f">
                  <v:textbox>
                    <w:txbxContent>
                      <w:p w14:paraId="09CE1F3F" w14:textId="77777777" w:rsidR="00EC5D8C" w:rsidRDefault="00EC5D8C" w:rsidP="00EC5D8C">
                        <w:pPr>
                          <w:jc w:val="center"/>
                          <w:rPr>
                            <w:rFonts w:eastAsia="Calibri" w:cs="Calibri"/>
                            <w:color w:val="7A7A7A"/>
                            <w:kern w:val="24"/>
                            <w:sz w:val="20"/>
                            <w:szCs w:val="20"/>
                          </w:rPr>
                        </w:pPr>
                        <w:r>
                          <w:rPr>
                            <w:rFonts w:eastAsia="Calibri" w:cs="Calibri"/>
                            <w:color w:val="7A7A7A"/>
                            <w:kern w:val="24"/>
                            <w:sz w:val="20"/>
                            <w:szCs w:val="20"/>
                          </w:rPr>
                          <w:t>Tariff impact variant</w:t>
                        </w:r>
                      </w:p>
                    </w:txbxContent>
                  </v:textbox>
                </v:shape>
                <w10:anchorlock/>
              </v:group>
            </w:pict>
          </mc:Fallback>
        </mc:AlternateContent>
      </w:r>
    </w:p>
    <w:p w14:paraId="4AE1DFC7" w14:textId="3CA8011B" w:rsidR="004711CF" w:rsidRPr="004711CF" w:rsidRDefault="004711CF" w:rsidP="004711CF">
      <w:pPr>
        <w:rPr>
          <w:i/>
          <w:color w:val="FF0000"/>
          <w:sz w:val="18"/>
        </w:rPr>
      </w:pPr>
      <w:r w:rsidRPr="008E6B0B">
        <w:rPr>
          <w:rFonts w:cs="Calibri"/>
          <w:i/>
          <w:iCs/>
          <w:color w:val="ADADAD"/>
          <w:sz w:val="18"/>
        </w:rPr>
        <w:t>Source</w:t>
      </w:r>
      <w:r w:rsidR="00E0387C">
        <w:rPr>
          <w:rFonts w:cs="Calibri"/>
          <w:i/>
          <w:iCs/>
          <w:color w:val="ADADAD"/>
          <w:sz w:val="18"/>
        </w:rPr>
        <w:t>s</w:t>
      </w:r>
      <w:r w:rsidRPr="008E6B0B">
        <w:rPr>
          <w:rFonts w:cs="Calibri"/>
          <w:i/>
          <w:iCs/>
          <w:color w:val="ADADAD"/>
          <w:sz w:val="18"/>
        </w:rPr>
        <w:t xml:space="preserve">: </w:t>
      </w:r>
      <w:r w:rsidR="00587D28" w:rsidRPr="008E6B0B">
        <w:rPr>
          <w:rFonts w:cs="Calibri"/>
          <w:i/>
          <w:iCs/>
          <w:color w:val="ADADAD"/>
          <w:sz w:val="18"/>
        </w:rPr>
        <w:t>International Energy Agency</w:t>
      </w:r>
      <w:r w:rsidR="006F708B" w:rsidRPr="008E6B0B">
        <w:rPr>
          <w:rFonts w:cs="Calibri"/>
          <w:i/>
          <w:iCs/>
          <w:color w:val="ADADAD"/>
          <w:sz w:val="18"/>
        </w:rPr>
        <w:t xml:space="preserve"> </w:t>
      </w:r>
      <w:r w:rsidR="00587D28" w:rsidRPr="008E6B0B">
        <w:rPr>
          <w:rFonts w:cs="Calibri"/>
          <w:i/>
          <w:iCs/>
          <w:color w:val="ADADAD"/>
          <w:sz w:val="18"/>
        </w:rPr>
        <w:t>(historical data</w:t>
      </w:r>
      <w:r w:rsidR="001D1C3B" w:rsidRPr="008E6B0B">
        <w:rPr>
          <w:rFonts w:cs="Calibri"/>
          <w:i/>
          <w:iCs/>
          <w:color w:val="ADADAD"/>
          <w:sz w:val="18"/>
        </w:rPr>
        <w:t>)</w:t>
      </w:r>
      <w:r w:rsidR="00B112E6">
        <w:rPr>
          <w:rFonts w:cs="Calibri"/>
          <w:i/>
          <w:iCs/>
          <w:color w:val="ADADAD"/>
          <w:sz w:val="18"/>
        </w:rPr>
        <w:t>,</w:t>
      </w:r>
      <w:r w:rsidR="008E6B0B">
        <w:rPr>
          <w:rFonts w:cs="Calibri"/>
          <w:i/>
          <w:iCs/>
          <w:color w:val="ADADAD"/>
          <w:sz w:val="18"/>
        </w:rPr>
        <w:t xml:space="preserve"> own calculations</w:t>
      </w:r>
      <w:r w:rsidR="00B112E6">
        <w:rPr>
          <w:rFonts w:cs="Calibri"/>
          <w:i/>
          <w:iCs/>
          <w:color w:val="ADADAD"/>
          <w:sz w:val="18"/>
        </w:rPr>
        <w:t xml:space="preserve"> (projection of </w:t>
      </w:r>
      <w:r w:rsidR="00B112E6" w:rsidRPr="008E6B0B">
        <w:rPr>
          <w:rFonts w:cs="Calibri"/>
          <w:i/>
          <w:iCs/>
          <w:color w:val="ADADAD"/>
          <w:sz w:val="18"/>
        </w:rPr>
        <w:t>final electricity consumption by sector</w:t>
      </w:r>
      <w:r w:rsidR="00B112E6">
        <w:rPr>
          <w:rFonts w:cs="Calibri"/>
          <w:i/>
          <w:iCs/>
          <w:color w:val="ADADAD"/>
          <w:sz w:val="18"/>
        </w:rPr>
        <w:t>; see below for details)</w:t>
      </w:r>
      <w:r w:rsidRPr="008E6B0B">
        <w:rPr>
          <w:rFonts w:cs="Calibri"/>
          <w:i/>
          <w:iCs/>
          <w:color w:val="ADADAD"/>
          <w:sz w:val="18"/>
        </w:rPr>
        <w:t>.</w:t>
      </w:r>
    </w:p>
    <w:p w14:paraId="071CADEC" w14:textId="1F819FF3" w:rsidR="00C05960" w:rsidRDefault="001B4372" w:rsidP="004F05FA">
      <w:pPr>
        <w:pStyle w:val="Hervorhebungen-blau-fett"/>
        <w:spacing w:after="120"/>
      </w:pPr>
      <w:r>
        <w:t>“</w:t>
      </w:r>
      <w:r w:rsidRPr="001B4372">
        <w:t xml:space="preserve">Sectoral </w:t>
      </w:r>
      <w:r>
        <w:t>e</w:t>
      </w:r>
      <w:r w:rsidRPr="001B4372">
        <w:t>xpansion</w:t>
      </w:r>
      <w:r>
        <w:t>”</w:t>
      </w:r>
      <w:r w:rsidRPr="001B4372">
        <w:t xml:space="preserve"> </w:t>
      </w:r>
      <w:r>
        <w:t>m</w:t>
      </w:r>
      <w:r w:rsidRPr="001B4372">
        <w:t>odel</w:t>
      </w:r>
      <w:r>
        <w:t xml:space="preserve"> variant</w:t>
      </w:r>
    </w:p>
    <w:p w14:paraId="4C9E78CA" w14:textId="13481D4D" w:rsidR="001B4372" w:rsidRPr="007A4D03" w:rsidRDefault="001B4372" w:rsidP="007A4D03">
      <w:pPr>
        <w:pStyle w:val="Fliesstext"/>
        <w:rPr>
          <w:lang w:val="en-US" w:eastAsia="de-DE"/>
        </w:rPr>
      </w:pPr>
      <w:r w:rsidRPr="001B4372">
        <w:rPr>
          <w:lang w:val="en-US" w:eastAsia="de-DE"/>
        </w:rPr>
        <w:t>This section outlines the detailed assumptions for industrial, transport, and residential electricity consumption used in the “Sectoral expansion” model variant.</w:t>
      </w:r>
      <w:r w:rsidR="004711CF">
        <w:rPr>
          <w:lang w:val="en-US" w:eastAsia="de-DE"/>
        </w:rPr>
        <w:t xml:space="preserve"> These are depicted by </w:t>
      </w:r>
      <w:r w:rsidR="00E015FE" w:rsidRPr="00E0387C">
        <w:rPr>
          <w:b/>
          <w:bCs/>
          <w:lang w:val="en-US" w:eastAsia="de-DE"/>
        </w:rPr>
        <w:t>long-dashed lines</w:t>
      </w:r>
      <w:r w:rsidR="00B87C29">
        <w:rPr>
          <w:b/>
          <w:bCs/>
          <w:lang w:val="en-US" w:eastAsia="de-DE"/>
        </w:rPr>
        <w:t xml:space="preserve"> </w:t>
      </w:r>
      <w:r w:rsidR="00942ED3" w:rsidRPr="00942ED3">
        <w:rPr>
          <w:b/>
          <w:bCs/>
          <w:lang w:val="en-US" w:eastAsia="de-DE"/>
        </w:rPr>
        <w:t>in</w:t>
      </w:r>
      <w:r w:rsidR="00B87C29" w:rsidRPr="00942ED3">
        <w:rPr>
          <w:b/>
          <w:bCs/>
          <w:lang w:val="en-US" w:eastAsia="de-DE"/>
        </w:rPr>
        <w:t xml:space="preserve"> the </w:t>
      </w:r>
      <w:r w:rsidR="00942ED3" w:rsidRPr="00942ED3">
        <w:rPr>
          <w:b/>
          <w:bCs/>
          <w:lang w:val="en-US" w:eastAsia="de-DE"/>
        </w:rPr>
        <w:t>left</w:t>
      </w:r>
      <w:r w:rsidR="00E015FE" w:rsidRPr="00942ED3">
        <w:rPr>
          <w:b/>
          <w:bCs/>
          <w:lang w:val="en-US" w:eastAsia="de-DE"/>
        </w:rPr>
        <w:t xml:space="preserve"> </w:t>
      </w:r>
      <w:r w:rsidR="00942ED3" w:rsidRPr="00942ED3">
        <w:rPr>
          <w:b/>
          <w:bCs/>
          <w:lang w:val="en-US" w:eastAsia="de-DE"/>
        </w:rPr>
        <w:t>panel</w:t>
      </w:r>
      <w:r w:rsidR="00942ED3">
        <w:rPr>
          <w:lang w:val="en-US" w:eastAsia="de-DE"/>
        </w:rPr>
        <w:t xml:space="preserve"> of</w:t>
      </w:r>
      <w:r w:rsidR="00E015FE">
        <w:rPr>
          <w:lang w:val="en-US" w:eastAsia="de-DE"/>
        </w:rPr>
        <w:t xml:space="preserve"> </w:t>
      </w:r>
      <w:r w:rsidR="00E015FE">
        <w:rPr>
          <w:lang w:val="en-US" w:eastAsia="de-DE"/>
        </w:rPr>
        <w:fldChar w:fldCharType="begin"/>
      </w:r>
      <w:r w:rsidR="00E015FE">
        <w:rPr>
          <w:lang w:val="en-US" w:eastAsia="de-DE"/>
        </w:rPr>
        <w:instrText xml:space="preserve"> REF _Ref182236150 \h </w:instrText>
      </w:r>
      <w:r w:rsidR="00E015FE">
        <w:rPr>
          <w:lang w:val="en-US" w:eastAsia="de-DE"/>
        </w:rPr>
      </w:r>
      <w:r w:rsidR="00E015FE">
        <w:rPr>
          <w:lang w:val="en-US" w:eastAsia="de-DE"/>
        </w:rPr>
        <w:fldChar w:fldCharType="separate"/>
      </w:r>
      <w:r w:rsidR="002401AF" w:rsidRPr="00E015FE">
        <w:rPr>
          <w:bCs/>
          <w:color w:val="104C91"/>
        </w:rPr>
        <w:t xml:space="preserve">Figure </w:t>
      </w:r>
      <w:r w:rsidR="002401AF">
        <w:rPr>
          <w:b/>
          <w:bCs/>
          <w:noProof/>
          <w:color w:val="104C91"/>
        </w:rPr>
        <w:t>11</w:t>
      </w:r>
      <w:r w:rsidR="00E015FE">
        <w:rPr>
          <w:lang w:val="en-US" w:eastAsia="de-DE"/>
        </w:rPr>
        <w:fldChar w:fldCharType="end"/>
      </w:r>
      <w:r w:rsidR="00E015FE">
        <w:rPr>
          <w:lang w:val="en-US" w:eastAsia="de-DE"/>
        </w:rPr>
        <w:t>.</w:t>
      </w:r>
    </w:p>
    <w:p w14:paraId="1916A73A" w14:textId="5E12BBB7" w:rsidR="000871F5" w:rsidRPr="007A4D03" w:rsidRDefault="007A4D03" w:rsidP="000871F5">
      <w:pPr>
        <w:pStyle w:val="Listenabsatz"/>
        <w:numPr>
          <w:ilvl w:val="0"/>
          <w:numId w:val="32"/>
        </w:numPr>
        <w:tabs>
          <w:tab w:val="num" w:pos="720"/>
        </w:tabs>
        <w:spacing w:before="260" w:line="260" w:lineRule="atLeast"/>
        <w:rPr>
          <w:rFonts w:cs="Calibri"/>
        </w:rPr>
      </w:pPr>
      <w:r w:rsidRPr="001B4372">
        <w:rPr>
          <w:rFonts w:cs="Calibri"/>
        </w:rPr>
        <w:t>Industrial electricity consumption</w:t>
      </w:r>
      <w:r>
        <w:rPr>
          <w:rFonts w:cs="Calibri"/>
        </w:rPr>
        <w:t>:</w:t>
      </w:r>
      <w:r w:rsidRPr="001B4372">
        <w:rPr>
          <w:rFonts w:cs="Calibri"/>
        </w:rPr>
        <w:t xml:space="preserve"> </w:t>
      </w:r>
      <w:r w:rsidR="001B4372" w:rsidRPr="001B4372">
        <w:rPr>
          <w:rFonts w:cs="Calibri"/>
        </w:rPr>
        <w:t xml:space="preserve">Assumptions about future industrial electricity demand are tied to industrial production (IP), with a coefficient derived from a linear regression using 2010–2022 data. </w:t>
      </w:r>
      <w:r w:rsidR="000871F5" w:rsidRPr="007A4D03">
        <w:rPr>
          <w:rFonts w:cs="Calibri"/>
        </w:rPr>
        <w:t>The IP growth rate assumption is based on t</w:t>
      </w:r>
      <w:r w:rsidR="001B4372" w:rsidRPr="007A4D03">
        <w:rPr>
          <w:rFonts w:cs="Calibri"/>
        </w:rPr>
        <w:t xml:space="preserve">he </w:t>
      </w:r>
      <w:r w:rsidR="000871F5" w:rsidRPr="007A4D03">
        <w:rPr>
          <w:rFonts w:cs="Calibri"/>
        </w:rPr>
        <w:t xml:space="preserve">Uzbek </w:t>
      </w:r>
      <w:r w:rsidR="001B4372" w:rsidRPr="007A4D03">
        <w:rPr>
          <w:rFonts w:cs="Calibri"/>
        </w:rPr>
        <w:t xml:space="preserve">government’s goal to </w:t>
      </w:r>
      <w:r w:rsidR="000871F5" w:rsidRPr="007A4D03">
        <w:rPr>
          <w:rFonts w:cs="Calibri"/>
        </w:rPr>
        <w:t>increase IP</w:t>
      </w:r>
      <w:r w:rsidR="001B4372" w:rsidRPr="007A4D03">
        <w:rPr>
          <w:rFonts w:cs="Calibri"/>
        </w:rPr>
        <w:t xml:space="preserve"> by 1.4 times between 2022 and 2026</w:t>
      </w:r>
      <w:r w:rsidR="004711CF">
        <w:rPr>
          <w:rFonts w:cs="Calibri"/>
        </w:rPr>
        <w:t>.</w:t>
      </w:r>
      <w:r w:rsidR="005271F9">
        <w:rPr>
          <w:rStyle w:val="Funotenzeichen"/>
          <w:rFonts w:cs="Calibri"/>
        </w:rPr>
        <w:footnoteReference w:id="24"/>
      </w:r>
      <w:r w:rsidR="004711CF">
        <w:rPr>
          <w:rFonts w:cs="Calibri"/>
        </w:rPr>
        <w:t xml:space="preserve"> </w:t>
      </w:r>
      <w:r w:rsidR="000871F5" w:rsidRPr="007A4D03">
        <w:rPr>
          <w:rFonts w:cs="Calibri"/>
        </w:rPr>
        <w:t>G</w:t>
      </w:r>
      <w:r w:rsidR="001B4372" w:rsidRPr="007A4D03">
        <w:rPr>
          <w:rFonts w:cs="Calibri"/>
        </w:rPr>
        <w:t>rowth rates after 2026 are computed using a five-year moving average.</w:t>
      </w:r>
    </w:p>
    <w:p w14:paraId="231DCC16" w14:textId="692C8589" w:rsidR="001B4372" w:rsidRPr="00ED5DB8" w:rsidRDefault="007A4D03" w:rsidP="001B4372">
      <w:pPr>
        <w:numPr>
          <w:ilvl w:val="0"/>
          <w:numId w:val="32"/>
        </w:numPr>
        <w:tabs>
          <w:tab w:val="num" w:pos="720"/>
        </w:tabs>
        <w:spacing w:before="260" w:line="260" w:lineRule="atLeast"/>
        <w:jc w:val="left"/>
        <w:rPr>
          <w:rFonts w:cs="Calibri"/>
          <w:szCs w:val="22"/>
        </w:rPr>
      </w:pPr>
      <w:r w:rsidRPr="000871F5">
        <w:rPr>
          <w:rFonts w:cs="Calibri"/>
          <w:szCs w:val="22"/>
        </w:rPr>
        <w:t>Transport ele</w:t>
      </w:r>
      <w:r w:rsidRPr="00AD6E73">
        <w:rPr>
          <w:rFonts w:cs="Calibri"/>
          <w:szCs w:val="22"/>
        </w:rPr>
        <w:t xml:space="preserve">ctricity consumption: </w:t>
      </w:r>
      <w:r w:rsidR="001B4372" w:rsidRPr="00AD6E73">
        <w:rPr>
          <w:rFonts w:cs="Calibri"/>
          <w:szCs w:val="22"/>
        </w:rPr>
        <w:t xml:space="preserve">Firstly, transport </w:t>
      </w:r>
      <w:r w:rsidR="00681F16" w:rsidRPr="00AD6E73">
        <w:rPr>
          <w:rFonts w:cs="Calibri"/>
          <w:szCs w:val="22"/>
        </w:rPr>
        <w:t xml:space="preserve">electricity </w:t>
      </w:r>
      <w:r w:rsidR="001B4372" w:rsidRPr="00AD6E73">
        <w:rPr>
          <w:rFonts w:cs="Calibri"/>
          <w:szCs w:val="22"/>
        </w:rPr>
        <w:t xml:space="preserve">demand is expected to grow in line with population growth, using a coefficient </w:t>
      </w:r>
      <w:r w:rsidR="00681F16" w:rsidRPr="00AD6E73">
        <w:rPr>
          <w:rFonts w:cs="Calibri"/>
          <w:szCs w:val="22"/>
        </w:rPr>
        <w:t>derived from a linear regression using 2000–2019 data</w:t>
      </w:r>
      <w:r w:rsidR="001B4372" w:rsidRPr="00AD6E73">
        <w:rPr>
          <w:rFonts w:cs="Calibri"/>
          <w:szCs w:val="22"/>
        </w:rPr>
        <w:t xml:space="preserve">. The rising share of electric vehicles (EVs) also plays a role, </w:t>
      </w:r>
      <w:r w:rsidR="00681F16" w:rsidRPr="00AD6E73">
        <w:rPr>
          <w:rFonts w:cs="Calibri"/>
          <w:szCs w:val="22"/>
        </w:rPr>
        <w:t xml:space="preserve">using a coefficient derived from a linear regression using 2016–2019 data. </w:t>
      </w:r>
      <w:r w:rsidR="00AD6E73" w:rsidRPr="00AD6E73">
        <w:rPr>
          <w:rFonts w:cs="Calibri"/>
          <w:szCs w:val="22"/>
        </w:rPr>
        <w:lastRenderedPageBreak/>
        <w:t>Historical d</w:t>
      </w:r>
      <w:r w:rsidR="00681F16" w:rsidRPr="00AD6E73">
        <w:rPr>
          <w:rFonts w:cs="Calibri"/>
          <w:szCs w:val="22"/>
        </w:rPr>
        <w:t>ata</w:t>
      </w:r>
      <w:r w:rsidR="00AD6E73" w:rsidRPr="00AD6E73">
        <w:rPr>
          <w:rFonts w:cs="Calibri"/>
          <w:szCs w:val="22"/>
        </w:rPr>
        <w:t xml:space="preserve"> and projections</w:t>
      </w:r>
      <w:r w:rsidR="00681F16" w:rsidRPr="00AD6E73">
        <w:rPr>
          <w:rFonts w:cs="Calibri"/>
          <w:szCs w:val="22"/>
        </w:rPr>
        <w:t xml:space="preserve"> on the EV</w:t>
      </w:r>
      <w:r w:rsidR="00AD6E73" w:rsidRPr="00AD6E73">
        <w:rPr>
          <w:rFonts w:cs="Calibri"/>
          <w:szCs w:val="22"/>
        </w:rPr>
        <w:t xml:space="preserve"> stock share in Uzbekistan 2016-2029 is</w:t>
      </w:r>
      <w:r w:rsidR="001B4372" w:rsidRPr="00AD6E73">
        <w:rPr>
          <w:rFonts w:cs="Calibri"/>
          <w:szCs w:val="22"/>
        </w:rPr>
        <w:t xml:space="preserve"> sourced from Statista</w:t>
      </w:r>
      <w:r w:rsidR="001007EC">
        <w:rPr>
          <w:rStyle w:val="Funotenzeichen"/>
          <w:rFonts w:cs="Calibri"/>
          <w:szCs w:val="22"/>
        </w:rPr>
        <w:footnoteReference w:id="25"/>
      </w:r>
      <w:r w:rsidR="001B4372" w:rsidRPr="00AD6E73">
        <w:rPr>
          <w:rFonts w:cs="Calibri"/>
          <w:szCs w:val="22"/>
        </w:rPr>
        <w:t xml:space="preserve">. For the years 2030 to 2035, forecasts follow the </w:t>
      </w:r>
      <w:r w:rsidR="00792075">
        <w:rPr>
          <w:rFonts w:cs="Calibri"/>
          <w:szCs w:val="22"/>
        </w:rPr>
        <w:t>IEA</w:t>
      </w:r>
      <w:r w:rsidR="001B4372" w:rsidRPr="00AD6E73">
        <w:rPr>
          <w:rFonts w:cs="Calibri"/>
          <w:szCs w:val="22"/>
        </w:rPr>
        <w:t>’s</w:t>
      </w:r>
      <w:r w:rsidR="00792075">
        <w:rPr>
          <w:rFonts w:cs="Calibri"/>
          <w:szCs w:val="22"/>
        </w:rPr>
        <w:t xml:space="preserve"> </w:t>
      </w:r>
      <w:r w:rsidR="00BF15FD">
        <w:rPr>
          <w:rFonts w:cs="Calibri"/>
          <w:szCs w:val="22"/>
        </w:rPr>
        <w:t xml:space="preserve">projected world </w:t>
      </w:r>
      <w:r w:rsidR="001B4372" w:rsidRPr="00AD6E73">
        <w:rPr>
          <w:rFonts w:cs="Calibri"/>
          <w:szCs w:val="22"/>
        </w:rPr>
        <w:t>growth rates</w:t>
      </w:r>
      <w:r w:rsidR="006107CD">
        <w:rPr>
          <w:rFonts w:cs="Calibri"/>
          <w:szCs w:val="22"/>
        </w:rPr>
        <w:t>.</w:t>
      </w:r>
      <w:r w:rsidR="00BF15FD">
        <w:rPr>
          <w:rStyle w:val="Funotenzeichen"/>
          <w:rFonts w:cs="Calibri"/>
          <w:szCs w:val="22"/>
        </w:rPr>
        <w:footnoteReference w:id="26"/>
      </w:r>
    </w:p>
    <w:p w14:paraId="492B3551" w14:textId="0771441C" w:rsidR="001B4372" w:rsidRPr="00EA63B4" w:rsidRDefault="001B4372" w:rsidP="001B4372">
      <w:pPr>
        <w:numPr>
          <w:ilvl w:val="0"/>
          <w:numId w:val="32"/>
        </w:numPr>
        <w:tabs>
          <w:tab w:val="num" w:pos="720"/>
        </w:tabs>
        <w:spacing w:before="260" w:line="260" w:lineRule="atLeast"/>
        <w:jc w:val="left"/>
        <w:rPr>
          <w:rFonts w:cs="Calibri"/>
          <w:szCs w:val="22"/>
        </w:rPr>
      </w:pPr>
      <w:r w:rsidRPr="00EA63B4">
        <w:rPr>
          <w:rFonts w:cs="Calibri"/>
          <w:szCs w:val="22"/>
        </w:rPr>
        <w:t xml:space="preserve">Residential electricity consumption: </w:t>
      </w:r>
      <w:r w:rsidR="005179D3" w:rsidRPr="00EA63B4">
        <w:rPr>
          <w:rFonts w:cs="Calibri"/>
          <w:szCs w:val="22"/>
        </w:rPr>
        <w:t>Residential electricity demand is modelled based on population growth and GDP per capita, with elasticities of 1 for both drivers. Population data and projections come from the UN</w:t>
      </w:r>
      <w:r w:rsidR="002377C0">
        <w:rPr>
          <w:rFonts w:cs="Calibri"/>
          <w:szCs w:val="22"/>
        </w:rPr>
        <w:t>.</w:t>
      </w:r>
      <w:r w:rsidR="00864555">
        <w:rPr>
          <w:rStyle w:val="Funotenzeichen"/>
          <w:rFonts w:cs="Calibri"/>
          <w:szCs w:val="22"/>
        </w:rPr>
        <w:footnoteReference w:id="27"/>
      </w:r>
    </w:p>
    <w:p w14:paraId="669D7B6B" w14:textId="12A77800" w:rsidR="008D78FD" w:rsidRDefault="008D78FD" w:rsidP="008D78FD">
      <w:pPr>
        <w:pStyle w:val="Hervorhebungen-blau-fett"/>
        <w:spacing w:after="120"/>
      </w:pPr>
      <w:r>
        <w:t>“Tariff impact”</w:t>
      </w:r>
      <w:r w:rsidRPr="001B4372">
        <w:t xml:space="preserve"> </w:t>
      </w:r>
      <w:r>
        <w:t>m</w:t>
      </w:r>
      <w:r w:rsidRPr="001B4372">
        <w:t>odel</w:t>
      </w:r>
      <w:r>
        <w:t xml:space="preserve"> variant</w:t>
      </w:r>
    </w:p>
    <w:p w14:paraId="0DF05DC4" w14:textId="4FF0B08C" w:rsidR="00093C87" w:rsidRDefault="00EA63B4" w:rsidP="00EA63B4">
      <w:pPr>
        <w:pStyle w:val="Hervorhebungen-blau-fett"/>
        <w:spacing w:after="120"/>
        <w:rPr>
          <w:b w:val="0"/>
          <w:bCs w:val="0"/>
          <w:color w:val="333333"/>
        </w:rPr>
      </w:pPr>
      <w:r w:rsidRPr="00EA63B4">
        <w:rPr>
          <w:b w:val="0"/>
          <w:bCs w:val="0"/>
          <w:color w:val="333333"/>
        </w:rPr>
        <w:t xml:space="preserve">This section outlines the specific </w:t>
      </w:r>
      <w:r w:rsidR="00A83B96" w:rsidRPr="00EA63B4">
        <w:rPr>
          <w:b w:val="0"/>
          <w:bCs w:val="0"/>
          <w:color w:val="333333"/>
        </w:rPr>
        <w:t xml:space="preserve">assumptions </w:t>
      </w:r>
      <w:r w:rsidR="00E0387C">
        <w:rPr>
          <w:b w:val="0"/>
          <w:bCs w:val="0"/>
          <w:color w:val="333333"/>
        </w:rPr>
        <w:t>regarding</w:t>
      </w:r>
      <w:r w:rsidRPr="00EA63B4">
        <w:rPr>
          <w:b w:val="0"/>
          <w:bCs w:val="0"/>
          <w:color w:val="333333"/>
        </w:rPr>
        <w:t xml:space="preserve"> tariff changes and price elasticities in the "Tariff impact" model variant</w:t>
      </w:r>
      <w:r w:rsidR="00E015FE">
        <w:rPr>
          <w:b w:val="0"/>
          <w:bCs w:val="0"/>
          <w:color w:val="333333"/>
        </w:rPr>
        <w:t xml:space="preserve">. </w:t>
      </w:r>
      <w:r w:rsidR="00E0387C">
        <w:rPr>
          <w:b w:val="0"/>
          <w:bCs w:val="0"/>
          <w:color w:val="333333"/>
        </w:rPr>
        <w:t xml:space="preserve">The </w:t>
      </w:r>
      <w:r w:rsidR="008F2ABE">
        <w:rPr>
          <w:b w:val="0"/>
          <w:bCs w:val="0"/>
          <w:color w:val="333333"/>
        </w:rPr>
        <w:t xml:space="preserve">resulting </w:t>
      </w:r>
      <w:r w:rsidR="00E0387C">
        <w:rPr>
          <w:b w:val="0"/>
          <w:bCs w:val="0"/>
          <w:color w:val="333333"/>
        </w:rPr>
        <w:t xml:space="preserve">industry and residential electricity consumptions </w:t>
      </w:r>
      <w:r w:rsidR="00A83B96">
        <w:rPr>
          <w:b w:val="0"/>
          <w:bCs w:val="0"/>
          <w:color w:val="333333"/>
        </w:rPr>
        <w:t xml:space="preserve">are depicted as </w:t>
      </w:r>
      <w:r w:rsidR="00A83B96" w:rsidRPr="00E0387C">
        <w:rPr>
          <w:color w:val="333333"/>
        </w:rPr>
        <w:t>dotted lines</w:t>
      </w:r>
      <w:r w:rsidR="00942ED3">
        <w:rPr>
          <w:color w:val="333333"/>
        </w:rPr>
        <w:t xml:space="preserve"> in the right panel </w:t>
      </w:r>
      <w:r w:rsidR="00942ED3">
        <w:rPr>
          <w:b w:val="0"/>
          <w:bCs w:val="0"/>
          <w:color w:val="333333"/>
        </w:rPr>
        <w:t>of</w:t>
      </w:r>
      <w:r w:rsidR="00A83B96">
        <w:rPr>
          <w:b w:val="0"/>
          <w:bCs w:val="0"/>
          <w:color w:val="333333"/>
        </w:rPr>
        <w:t xml:space="preserve"> </w:t>
      </w:r>
      <w:r w:rsidR="00A83B96">
        <w:rPr>
          <w:b w:val="0"/>
          <w:bCs w:val="0"/>
          <w:color w:val="333333"/>
        </w:rPr>
        <w:fldChar w:fldCharType="begin"/>
      </w:r>
      <w:r w:rsidR="00A83B96">
        <w:rPr>
          <w:b w:val="0"/>
          <w:bCs w:val="0"/>
          <w:color w:val="333333"/>
        </w:rPr>
        <w:instrText xml:space="preserve"> REF _Ref182236150 \h </w:instrText>
      </w:r>
      <w:r w:rsidR="00A83B96">
        <w:rPr>
          <w:b w:val="0"/>
          <w:bCs w:val="0"/>
          <w:color w:val="333333"/>
        </w:rPr>
      </w:r>
      <w:r w:rsidR="00A83B96">
        <w:rPr>
          <w:b w:val="0"/>
          <w:bCs w:val="0"/>
          <w:color w:val="333333"/>
        </w:rPr>
        <w:fldChar w:fldCharType="separate"/>
      </w:r>
      <w:r w:rsidR="002401AF" w:rsidRPr="00E015FE">
        <w:rPr>
          <w:b w:val="0"/>
          <w:lang w:val="en-GB"/>
        </w:rPr>
        <w:t xml:space="preserve">Figure </w:t>
      </w:r>
      <w:r w:rsidR="002401AF">
        <w:rPr>
          <w:b w:val="0"/>
          <w:bCs w:val="0"/>
          <w:noProof/>
          <w:lang w:val="en-GB"/>
        </w:rPr>
        <w:t>11</w:t>
      </w:r>
      <w:r w:rsidR="00A83B96">
        <w:rPr>
          <w:b w:val="0"/>
          <w:bCs w:val="0"/>
          <w:color w:val="333333"/>
        </w:rPr>
        <w:fldChar w:fldCharType="end"/>
      </w:r>
      <w:r w:rsidR="00A83B96">
        <w:rPr>
          <w:b w:val="0"/>
          <w:bCs w:val="0"/>
          <w:color w:val="333333"/>
        </w:rPr>
        <w:t>.</w:t>
      </w:r>
    </w:p>
    <w:p w14:paraId="7F57BD8C" w14:textId="55DAC975" w:rsidR="003120C3" w:rsidRPr="004A32D5" w:rsidRDefault="003120C3" w:rsidP="00A675D0">
      <w:pPr>
        <w:pStyle w:val="Fliesstext"/>
        <w:rPr>
          <w:u w:val="single"/>
          <w:lang w:val="en-US" w:eastAsia="de-DE"/>
        </w:rPr>
      </w:pPr>
      <w:r w:rsidRPr="004A32D5">
        <w:rPr>
          <w:u w:val="single"/>
          <w:lang w:val="en-US" w:eastAsia="de-DE"/>
        </w:rPr>
        <w:t>Electricity tariff reforms:</w:t>
      </w:r>
    </w:p>
    <w:p w14:paraId="3AE8836F" w14:textId="3D8122D5" w:rsidR="00962FA8" w:rsidRDefault="00962FA8" w:rsidP="00A675D0">
      <w:pPr>
        <w:pStyle w:val="Fliesstext"/>
        <w:rPr>
          <w:lang w:val="en-US" w:eastAsia="de-DE"/>
        </w:rPr>
      </w:pPr>
      <w:r w:rsidRPr="00962FA8">
        <w:rPr>
          <w:lang w:val="en-US" w:eastAsia="de-DE"/>
        </w:rPr>
        <w:t>Until 2017, electricity tariffs for households and industrial consumers were set at the same level. From 2017 to 2022, tariffs for commercial consumers were approximately 50–60% higher than household tariffs, effectively cross-</w:t>
      </w:r>
      <w:proofErr w:type="spellStart"/>
      <w:r w:rsidRPr="00962FA8">
        <w:rPr>
          <w:lang w:val="en-US" w:eastAsia="de-DE"/>
        </w:rPr>
        <w:t>subsidi</w:t>
      </w:r>
      <w:r w:rsidR="00117F38">
        <w:rPr>
          <w:lang w:val="en-US" w:eastAsia="de-DE"/>
        </w:rPr>
        <w:t>s</w:t>
      </w:r>
      <w:r w:rsidRPr="00962FA8">
        <w:rPr>
          <w:lang w:val="en-US" w:eastAsia="de-DE"/>
        </w:rPr>
        <w:t>ing</w:t>
      </w:r>
      <w:proofErr w:type="spellEnd"/>
      <w:r w:rsidRPr="00962FA8">
        <w:rPr>
          <w:lang w:val="en-US" w:eastAsia="de-DE"/>
        </w:rPr>
        <w:t xml:space="preserve"> households. However, even with these increases, tariffs remained below cost-recovery levels, preventing full financial sustainability in the electricity sector.</w:t>
      </w:r>
    </w:p>
    <w:p w14:paraId="341E868E" w14:textId="444B889E" w:rsidR="00093C87" w:rsidRDefault="00A11004" w:rsidP="004711CF">
      <w:pPr>
        <w:pStyle w:val="Fliesstext"/>
        <w:rPr>
          <w:lang w:val="en-US" w:eastAsia="de-DE"/>
        </w:rPr>
      </w:pPr>
      <w:r w:rsidRPr="00A11004">
        <w:rPr>
          <w:lang w:eastAsia="de-DE"/>
        </w:rPr>
        <w:t>In the primary phase of tariff reforms (2023–2025), industrial tariffs saw a significant rise in 2023, reaching 900 UZS/kWh. In 2024, a block tariff system for households was introduced, with rates varying based on consumption across five blocks. Since detailed data on consumer distribution across blocks is unavailable, we assume that the majority (around 80%) fall into Block I and Block II, which cover households using less than 1,000 kWh per year. For model</w:t>
      </w:r>
      <w:r w:rsidR="002A395F">
        <w:rPr>
          <w:lang w:eastAsia="de-DE"/>
        </w:rPr>
        <w:t>l</w:t>
      </w:r>
      <w:r w:rsidRPr="00A11004">
        <w:rPr>
          <w:lang w:eastAsia="de-DE"/>
        </w:rPr>
        <w:t xml:space="preserve">ing purposes, we use an average of the tariffs from these two blocks. In 2024, Block I and II tariffs are set at 450 UZS/kWh and 900 UZS/kWh, respectively. We further assume that the planned tariff increases for 2025 will take effect, raising tariffs in these blocks to 600 UZS/kWh and 1,000 UZS/kWh. After 2025, we </w:t>
      </w:r>
      <w:r w:rsidR="00414C21">
        <w:rPr>
          <w:lang w:eastAsia="de-DE"/>
        </w:rPr>
        <w:t>assume</w:t>
      </w:r>
      <w:r w:rsidRPr="00A11004">
        <w:rPr>
          <w:lang w:eastAsia="de-DE"/>
        </w:rPr>
        <w:t xml:space="preserve"> tariffs to increase in line with inflation, keeping real tariffs stable over time</w:t>
      </w:r>
      <w:r w:rsidR="003F6439">
        <w:rPr>
          <w:lang w:val="en-US" w:eastAsia="de-DE"/>
        </w:rPr>
        <w:t>.</w:t>
      </w:r>
      <w:r w:rsidR="00ED24F5">
        <w:rPr>
          <w:lang w:val="en-US" w:eastAsia="de-DE"/>
        </w:rPr>
        <w:t xml:space="preserve"> </w:t>
      </w:r>
    </w:p>
    <w:p w14:paraId="221102C5" w14:textId="77777777" w:rsidR="00A83B96" w:rsidRPr="004A32D5" w:rsidRDefault="00A83B96" w:rsidP="00A83B96">
      <w:pPr>
        <w:pStyle w:val="Hervorhebungen-blau-fett"/>
        <w:spacing w:after="120"/>
        <w:rPr>
          <w:rFonts w:eastAsia="Calibri" w:cs="Calibri"/>
          <w:b w:val="0"/>
          <w:bCs w:val="0"/>
          <w:color w:val="auto"/>
          <w:szCs w:val="22"/>
          <w:u w:val="single"/>
          <w:lang w:val="en-GB" w:eastAsia="en-US"/>
        </w:rPr>
      </w:pPr>
      <w:r w:rsidRPr="004A32D5">
        <w:rPr>
          <w:rFonts w:eastAsia="Calibri" w:cs="Calibri"/>
          <w:b w:val="0"/>
          <w:bCs w:val="0"/>
          <w:color w:val="auto"/>
          <w:szCs w:val="22"/>
          <w:u w:val="single"/>
          <w:lang w:val="en-GB" w:eastAsia="en-US"/>
        </w:rPr>
        <w:t xml:space="preserve">Price elasticity assumptions: </w:t>
      </w:r>
    </w:p>
    <w:p w14:paraId="3606FB3F" w14:textId="2D591400" w:rsidR="00A83B96" w:rsidRPr="000120B2" w:rsidRDefault="00A83B96" w:rsidP="000120B2">
      <w:pPr>
        <w:spacing w:before="260" w:line="240" w:lineRule="auto"/>
        <w:jc w:val="left"/>
      </w:pPr>
      <w:r w:rsidRPr="00A15071">
        <w:rPr>
          <w:rFonts w:eastAsia="Calibri" w:cs="Calibri"/>
          <w:szCs w:val="22"/>
        </w:rPr>
        <w:t xml:space="preserve">Both industrial and residential electricity demand are modelled to respond to real tariff changes, rather than nominal ones. Industrial demand has a price elasticity of -0.15, meaning a 10% increase in tariffs results in a 1.5% reduction in demand. Residential demand is slightly less elastic, with an elasticity of -0.1, implying a 1% reduction in consumption for every 10% increase in tariffs. These elasticity values are derived from established studies and reflect </w:t>
      </w:r>
      <w:r w:rsidR="001B3C21">
        <w:rPr>
          <w:rFonts w:eastAsia="Calibri" w:cs="Calibri"/>
          <w:b/>
          <w:bCs/>
          <w:szCs w:val="22"/>
        </w:rPr>
        <w:t xml:space="preserve">the lower end of </w:t>
      </w:r>
      <w:r w:rsidRPr="00A15071">
        <w:rPr>
          <w:rFonts w:eastAsia="Calibri" w:cs="Calibri"/>
          <w:szCs w:val="22"/>
        </w:rPr>
        <w:t>typical consumer behaviour in response to price changes in comparable markets</w:t>
      </w:r>
      <w:r w:rsidRPr="00EA63B4">
        <w:rPr>
          <w:rFonts w:eastAsia="Calibri" w:cs="Calibri"/>
          <w:szCs w:val="22"/>
        </w:rPr>
        <w:t>.</w:t>
      </w:r>
      <w:r w:rsidR="001B3C21" w:rsidRPr="007E3FFB">
        <w:rPr>
          <w:rStyle w:val="Funotenzeichen"/>
          <w:rFonts w:eastAsia="Calibri" w:cs="Calibri"/>
          <w:szCs w:val="22"/>
        </w:rPr>
        <w:footnoteReference w:id="28"/>
      </w:r>
      <w:r w:rsidR="00506E8A">
        <w:rPr>
          <w:rFonts w:eastAsia="Calibri" w:cs="Calibri"/>
          <w:b/>
          <w:bCs/>
          <w:szCs w:val="22"/>
        </w:rPr>
        <w:t xml:space="preserve"> </w:t>
      </w:r>
      <w:r w:rsidR="00763EEA" w:rsidRPr="00763EEA">
        <w:rPr>
          <w:rFonts w:eastAsia="Calibri" w:cs="Calibri"/>
          <w:szCs w:val="22"/>
        </w:rPr>
        <w:t>Future</w:t>
      </w:r>
      <w:r w:rsidR="00763EEA">
        <w:rPr>
          <w:rFonts w:eastAsia="Calibri" w:cs="Calibri"/>
          <w:b/>
          <w:bCs/>
          <w:szCs w:val="22"/>
        </w:rPr>
        <w:t xml:space="preserve"> </w:t>
      </w:r>
      <w:r w:rsidR="000120B2">
        <w:t xml:space="preserve">forecast updates would greatly benefit </w:t>
      </w:r>
      <w:r w:rsidR="000120B2">
        <w:lastRenderedPageBreak/>
        <w:t xml:space="preserve">from a </w:t>
      </w:r>
      <w:r w:rsidR="000120B2" w:rsidRPr="003933AC">
        <w:t>calculation of tariff elasticities using local data, rather than relying on estimates from existing literature</w:t>
      </w:r>
      <w:r w:rsidR="000120B2">
        <w:t>,</w:t>
      </w:r>
      <w:r w:rsidR="000120B2" w:rsidRPr="000120B2">
        <w:rPr>
          <w:lang w:eastAsia="ru-RU"/>
        </w:rPr>
        <w:t xml:space="preserve"> </w:t>
      </w:r>
      <w:r w:rsidR="000120B2">
        <w:rPr>
          <w:lang w:eastAsia="ru-RU"/>
        </w:rPr>
        <w:t xml:space="preserve">as </w:t>
      </w:r>
      <w:r w:rsidR="000120B2" w:rsidRPr="00377EA6">
        <w:rPr>
          <w:lang w:eastAsia="ru-RU"/>
        </w:rPr>
        <w:t>Uzbekistan’s tariff reforms progress.</w:t>
      </w:r>
    </w:p>
    <w:p w14:paraId="0767079B" w14:textId="52DA4372" w:rsidR="00C46488" w:rsidRPr="00C46488" w:rsidRDefault="00C46488" w:rsidP="00C46488">
      <w:pPr>
        <w:pStyle w:val="Beschriftung"/>
        <w:rPr>
          <w:rFonts w:cs="calibri light (Überschriften)"/>
          <w:b w:val="0"/>
          <w:bCs/>
          <w:color w:val="104C91"/>
          <w:sz w:val="22"/>
          <w:lang w:val="en-GB"/>
        </w:rPr>
      </w:pPr>
      <w:bookmarkStart w:id="35" w:name="_Ref180762862"/>
      <w:bookmarkStart w:id="36" w:name="_Ref180762853"/>
      <w:r w:rsidRPr="00C46488">
        <w:rPr>
          <w:rFonts w:cs="calibri light (Überschriften)"/>
          <w:b w:val="0"/>
          <w:bCs/>
          <w:color w:val="104C91"/>
          <w:sz w:val="22"/>
          <w:lang w:val="en-GB"/>
        </w:rPr>
        <w:t xml:space="preserve">Figure </w:t>
      </w:r>
      <w:r w:rsidRPr="00C46488">
        <w:rPr>
          <w:rFonts w:cs="calibri light (Überschriften)"/>
          <w:b w:val="0"/>
          <w:bCs/>
          <w:color w:val="104C91"/>
          <w:sz w:val="22"/>
          <w:lang w:val="en-GB"/>
        </w:rPr>
        <w:fldChar w:fldCharType="begin"/>
      </w:r>
      <w:r w:rsidRPr="00C46488">
        <w:rPr>
          <w:rFonts w:cs="calibri light (Überschriften)"/>
          <w:b w:val="0"/>
          <w:bCs/>
          <w:color w:val="104C91"/>
          <w:sz w:val="22"/>
          <w:lang w:val="en-GB"/>
        </w:rPr>
        <w:instrText xml:space="preserve"> SEQ Figure \* ARABIC </w:instrText>
      </w:r>
      <w:r w:rsidRPr="00C46488">
        <w:rPr>
          <w:rFonts w:cs="calibri light (Überschriften)"/>
          <w:b w:val="0"/>
          <w:bCs/>
          <w:color w:val="104C91"/>
          <w:sz w:val="22"/>
          <w:lang w:val="en-GB"/>
        </w:rPr>
        <w:fldChar w:fldCharType="separate"/>
      </w:r>
      <w:r w:rsidR="002401AF">
        <w:rPr>
          <w:rFonts w:cs="calibri light (Überschriften)"/>
          <w:b w:val="0"/>
          <w:bCs/>
          <w:noProof/>
          <w:color w:val="104C91"/>
          <w:sz w:val="22"/>
          <w:lang w:val="en-GB"/>
        </w:rPr>
        <w:t>12</w:t>
      </w:r>
      <w:r w:rsidRPr="00C46488">
        <w:rPr>
          <w:rFonts w:cs="calibri light (Überschriften)"/>
          <w:b w:val="0"/>
          <w:bCs/>
          <w:color w:val="104C91"/>
          <w:sz w:val="22"/>
          <w:lang w:val="en-GB"/>
        </w:rPr>
        <w:fldChar w:fldCharType="end"/>
      </w:r>
      <w:bookmarkEnd w:id="35"/>
      <w:r w:rsidRPr="00C46488">
        <w:rPr>
          <w:rFonts w:cs="calibri light (Überschriften)"/>
          <w:b w:val="0"/>
          <w:bCs/>
          <w:color w:val="104C91"/>
          <w:sz w:val="22"/>
          <w:lang w:val="en-GB"/>
        </w:rPr>
        <w:t xml:space="preserve">: </w:t>
      </w:r>
      <w:r w:rsidR="004B73E2">
        <w:rPr>
          <w:rFonts w:cs="calibri light (Überschriften)"/>
          <w:b w:val="0"/>
          <w:bCs/>
          <w:color w:val="104C91"/>
          <w:sz w:val="22"/>
          <w:lang w:val="en-GB"/>
        </w:rPr>
        <w:t>E</w:t>
      </w:r>
      <w:r w:rsidRPr="00C46488">
        <w:rPr>
          <w:rFonts w:cs="calibri light (Überschriften)"/>
          <w:b w:val="0"/>
          <w:bCs/>
          <w:color w:val="104C91"/>
          <w:sz w:val="22"/>
          <w:lang w:val="en-GB"/>
        </w:rPr>
        <w:t>lectricity tariffs</w:t>
      </w:r>
      <w:bookmarkEnd w:id="36"/>
      <w:r w:rsidR="00C623D8">
        <w:rPr>
          <w:rFonts w:cs="calibri light (Überschriften)"/>
          <w:b w:val="0"/>
          <w:bCs/>
          <w:color w:val="104C91"/>
          <w:sz w:val="22"/>
          <w:lang w:val="en-GB"/>
        </w:rPr>
        <w:t xml:space="preserve"> </w:t>
      </w:r>
      <w:r w:rsidR="00251C4C">
        <w:rPr>
          <w:rFonts w:cs="calibri light (Überschriften)"/>
          <w:b w:val="0"/>
          <w:bCs/>
          <w:color w:val="104C91"/>
          <w:sz w:val="22"/>
          <w:lang w:val="en-GB"/>
        </w:rPr>
        <w:t>at current prices</w:t>
      </w:r>
      <w:r w:rsidR="004B73E2">
        <w:rPr>
          <w:rFonts w:cs="calibri light (Überschriften)"/>
          <w:b w:val="0"/>
          <w:bCs/>
          <w:color w:val="104C91"/>
          <w:sz w:val="22"/>
          <w:lang w:val="en-GB"/>
        </w:rPr>
        <w:t xml:space="preserve"> as assumed in the model</w:t>
      </w:r>
    </w:p>
    <w:p w14:paraId="1FA3ECF0" w14:textId="7DD2E959" w:rsidR="00F02AE0" w:rsidRPr="00623CBF" w:rsidRDefault="0054639D" w:rsidP="00F02AE0">
      <w:pPr>
        <w:spacing w:before="260"/>
        <w:rPr>
          <w:rFonts w:eastAsia="Calibri"/>
          <w:szCs w:val="22"/>
        </w:rPr>
      </w:pPr>
      <w:r>
        <w:rPr>
          <w:noProof/>
        </w:rPr>
        <w:drawing>
          <wp:inline distT="0" distB="0" distL="0" distR="0" wp14:anchorId="1F4EE86E" wp14:editId="48921522">
            <wp:extent cx="5039995" cy="2260600"/>
            <wp:effectExtent l="0" t="0" r="8255" b="6350"/>
            <wp:docPr id="1561537609" name="Chart 1">
              <a:extLst xmlns:a="http://schemas.openxmlformats.org/drawingml/2006/main">
                <a:ext uri="{FF2B5EF4-FFF2-40B4-BE49-F238E27FC236}">
                  <a16:creationId xmlns:a16="http://schemas.microsoft.com/office/drawing/2014/main" id="{34442249-6D2C-4B5D-8176-661ABDD41B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EC586CE" w14:textId="1781BCFF" w:rsidR="00B43CA7" w:rsidRDefault="00F02AE0" w:rsidP="00F02AE0">
      <w:pPr>
        <w:rPr>
          <w:rFonts w:cs="Calibri"/>
          <w:i/>
          <w:iCs/>
          <w:color w:val="ADADAD"/>
          <w:sz w:val="18"/>
        </w:rPr>
      </w:pPr>
      <w:r w:rsidRPr="002A395F">
        <w:rPr>
          <w:rFonts w:cs="Calibri"/>
          <w:i/>
          <w:iCs/>
          <w:color w:val="ADADAD"/>
          <w:sz w:val="18"/>
        </w:rPr>
        <w:t xml:space="preserve">Source: </w:t>
      </w:r>
      <w:r w:rsidR="000003D4" w:rsidRPr="002A395F">
        <w:rPr>
          <w:rFonts w:cs="Calibri"/>
          <w:i/>
          <w:iCs/>
          <w:color w:val="ADADAD"/>
          <w:sz w:val="18"/>
        </w:rPr>
        <w:t>Cabinet of Ministers of Uzbekistan</w:t>
      </w:r>
      <w:r w:rsidR="002A395F" w:rsidRPr="002A395F">
        <w:rPr>
          <w:rFonts w:cs="Calibri"/>
          <w:i/>
          <w:iCs/>
          <w:color w:val="ADADAD"/>
          <w:sz w:val="18"/>
        </w:rPr>
        <w:t xml:space="preserve"> (2014-2025</w:t>
      </w:r>
      <w:r w:rsidR="00EE477B">
        <w:rPr>
          <w:rFonts w:cs="Calibri"/>
          <w:i/>
          <w:iCs/>
          <w:color w:val="ADADAD"/>
          <w:sz w:val="18"/>
        </w:rPr>
        <w:t xml:space="preserve"> data</w:t>
      </w:r>
      <w:r w:rsidR="002A395F" w:rsidRPr="002A395F">
        <w:rPr>
          <w:rFonts w:cs="Calibri"/>
          <w:i/>
          <w:iCs/>
          <w:color w:val="ADADAD"/>
          <w:sz w:val="18"/>
        </w:rPr>
        <w:t>); own calculations (</w:t>
      </w:r>
      <w:r w:rsidR="00DC1B2C">
        <w:rPr>
          <w:rFonts w:cs="Calibri"/>
          <w:i/>
          <w:iCs/>
          <w:color w:val="ADADAD"/>
          <w:sz w:val="18"/>
        </w:rPr>
        <w:t>projections</w:t>
      </w:r>
      <w:r w:rsidR="002A395F" w:rsidRPr="002A395F">
        <w:rPr>
          <w:rFonts w:cs="Calibri"/>
          <w:i/>
          <w:iCs/>
          <w:color w:val="ADADAD"/>
          <w:sz w:val="18"/>
        </w:rPr>
        <w:t>)</w:t>
      </w:r>
      <w:r w:rsidR="0067428D" w:rsidRPr="002A395F">
        <w:rPr>
          <w:rFonts w:cs="Calibri"/>
          <w:i/>
          <w:iCs/>
          <w:color w:val="ADADAD"/>
          <w:sz w:val="18"/>
        </w:rPr>
        <w:t>.</w:t>
      </w:r>
      <w:r w:rsidR="00DC1B2C">
        <w:rPr>
          <w:rFonts w:cs="Calibri"/>
          <w:i/>
          <w:iCs/>
          <w:color w:val="ADADAD"/>
          <w:sz w:val="18"/>
        </w:rPr>
        <w:t xml:space="preserve"> Notes: </w:t>
      </w:r>
      <w:r w:rsidR="00D670D3">
        <w:rPr>
          <w:rFonts w:cs="Calibri"/>
          <w:i/>
          <w:iCs/>
          <w:color w:val="ADADAD"/>
          <w:sz w:val="18"/>
        </w:rPr>
        <w:t xml:space="preserve">Household tariffs </w:t>
      </w:r>
      <w:r w:rsidR="00AB4F1A">
        <w:rPr>
          <w:rFonts w:cs="Calibri"/>
          <w:i/>
          <w:iCs/>
          <w:color w:val="ADADAD"/>
          <w:sz w:val="18"/>
        </w:rPr>
        <w:t xml:space="preserve">in 2024 and 2025 are an average of the (announced) </w:t>
      </w:r>
      <w:r w:rsidR="006A73CC">
        <w:rPr>
          <w:rFonts w:cs="Calibri"/>
          <w:i/>
          <w:iCs/>
          <w:color w:val="ADADAD"/>
          <w:sz w:val="18"/>
        </w:rPr>
        <w:t xml:space="preserve">nominal </w:t>
      </w:r>
      <w:r w:rsidR="00264CF6">
        <w:rPr>
          <w:rFonts w:cs="Calibri"/>
          <w:i/>
          <w:iCs/>
          <w:color w:val="ADADAD"/>
          <w:sz w:val="18"/>
        </w:rPr>
        <w:t xml:space="preserve">tariffs for </w:t>
      </w:r>
      <w:r w:rsidR="00B667CC">
        <w:rPr>
          <w:rFonts w:cs="Calibri"/>
          <w:i/>
          <w:iCs/>
          <w:color w:val="ADADAD"/>
          <w:sz w:val="18"/>
        </w:rPr>
        <w:t>B</w:t>
      </w:r>
      <w:r w:rsidR="00264CF6">
        <w:rPr>
          <w:rFonts w:cs="Calibri"/>
          <w:i/>
          <w:iCs/>
          <w:color w:val="ADADAD"/>
          <w:sz w:val="18"/>
        </w:rPr>
        <w:t xml:space="preserve">lock I and </w:t>
      </w:r>
      <w:r w:rsidR="00B667CC">
        <w:rPr>
          <w:rFonts w:cs="Calibri"/>
          <w:i/>
          <w:iCs/>
          <w:color w:val="ADADAD"/>
          <w:sz w:val="18"/>
        </w:rPr>
        <w:t>B</w:t>
      </w:r>
      <w:r w:rsidR="00264CF6">
        <w:rPr>
          <w:rFonts w:cs="Calibri"/>
          <w:i/>
          <w:iCs/>
          <w:color w:val="ADADAD"/>
          <w:sz w:val="18"/>
        </w:rPr>
        <w:t xml:space="preserve">lock II users. Nominal tariffs </w:t>
      </w:r>
      <w:r w:rsidR="002A6253">
        <w:rPr>
          <w:rFonts w:cs="Calibri"/>
          <w:i/>
          <w:iCs/>
          <w:color w:val="ADADAD"/>
          <w:sz w:val="18"/>
        </w:rPr>
        <w:t xml:space="preserve">after 2025 are assumed to grow in line with </w:t>
      </w:r>
      <w:r w:rsidR="0095499C">
        <w:rPr>
          <w:rFonts w:cs="Calibri"/>
          <w:i/>
          <w:iCs/>
          <w:color w:val="ADADAD"/>
          <w:sz w:val="18"/>
        </w:rPr>
        <w:t>projected inflation, such that real tariffs remain constant.</w:t>
      </w:r>
    </w:p>
    <w:p w14:paraId="673C3F8D" w14:textId="77777777" w:rsidR="00B43CA7" w:rsidRDefault="00B43CA7">
      <w:pPr>
        <w:spacing w:before="0" w:line="240" w:lineRule="auto"/>
        <w:jc w:val="left"/>
        <w:rPr>
          <w:rFonts w:cs="Calibri"/>
          <w:i/>
          <w:iCs/>
          <w:color w:val="ADADAD"/>
          <w:sz w:val="18"/>
        </w:rPr>
      </w:pPr>
      <w:r>
        <w:rPr>
          <w:rFonts w:cs="Calibri"/>
          <w:i/>
          <w:iCs/>
          <w:color w:val="ADADAD"/>
          <w:sz w:val="18"/>
        </w:rPr>
        <w:br w:type="page"/>
      </w:r>
    </w:p>
    <w:p w14:paraId="4EB606FB" w14:textId="7A27B982" w:rsidR="001B4372" w:rsidRDefault="00957CFA" w:rsidP="00957CFA">
      <w:pPr>
        <w:pStyle w:val="berschrift2"/>
      </w:pPr>
      <w:bookmarkStart w:id="37" w:name="_Toc182575141"/>
      <w:r>
        <w:lastRenderedPageBreak/>
        <w:t xml:space="preserve">Model results – </w:t>
      </w:r>
      <w:r w:rsidR="00A3278A">
        <w:t xml:space="preserve">complete </w:t>
      </w:r>
      <w:r>
        <w:t xml:space="preserve">annual </w:t>
      </w:r>
      <w:r w:rsidR="00A3278A">
        <w:t>figures</w:t>
      </w:r>
      <w:bookmarkEnd w:id="37"/>
    </w:p>
    <w:p w14:paraId="6E50A2C2" w14:textId="5690543F" w:rsidR="00B20603" w:rsidRPr="00B20603" w:rsidRDefault="00B20603" w:rsidP="00B20603">
      <w:pPr>
        <w:pStyle w:val="Beschriftung"/>
        <w:rPr>
          <w:rFonts w:cs="calibri light (Überschriften)"/>
          <w:b w:val="0"/>
          <w:bCs/>
          <w:color w:val="104C91"/>
          <w:sz w:val="22"/>
          <w:lang w:val="en-GB"/>
        </w:rPr>
      </w:pPr>
      <w:r w:rsidRPr="00B20603">
        <w:rPr>
          <w:rFonts w:cs="calibri light (Überschriften)"/>
          <w:b w:val="0"/>
          <w:bCs/>
          <w:color w:val="104C91"/>
          <w:sz w:val="22"/>
          <w:lang w:val="en-GB"/>
        </w:rPr>
        <w:t xml:space="preserve">Table </w:t>
      </w:r>
      <w:r w:rsidRPr="00B20603">
        <w:rPr>
          <w:rFonts w:cs="calibri light (Überschriften)"/>
          <w:b w:val="0"/>
          <w:bCs/>
          <w:color w:val="104C91"/>
          <w:sz w:val="22"/>
          <w:lang w:val="en-GB"/>
        </w:rPr>
        <w:fldChar w:fldCharType="begin"/>
      </w:r>
      <w:r w:rsidRPr="00B20603">
        <w:rPr>
          <w:rFonts w:cs="calibri light (Überschriften)"/>
          <w:b w:val="0"/>
          <w:bCs/>
          <w:color w:val="104C91"/>
          <w:sz w:val="22"/>
          <w:lang w:val="en-GB"/>
        </w:rPr>
        <w:instrText xml:space="preserve"> SEQ Table \* ARABIC </w:instrText>
      </w:r>
      <w:r w:rsidRPr="00B20603">
        <w:rPr>
          <w:rFonts w:cs="calibri light (Überschriften)"/>
          <w:b w:val="0"/>
          <w:bCs/>
          <w:color w:val="104C91"/>
          <w:sz w:val="22"/>
          <w:lang w:val="en-GB"/>
        </w:rPr>
        <w:fldChar w:fldCharType="separate"/>
      </w:r>
      <w:r w:rsidR="002401AF">
        <w:rPr>
          <w:rFonts w:cs="calibri light (Überschriften)"/>
          <w:b w:val="0"/>
          <w:bCs/>
          <w:noProof/>
          <w:color w:val="104C91"/>
          <w:sz w:val="22"/>
          <w:lang w:val="en-GB"/>
        </w:rPr>
        <w:t>4</w:t>
      </w:r>
      <w:r w:rsidRPr="00B20603">
        <w:rPr>
          <w:rFonts w:cs="calibri light (Überschriften)"/>
          <w:b w:val="0"/>
          <w:bCs/>
          <w:color w:val="104C91"/>
          <w:sz w:val="22"/>
          <w:lang w:val="en-GB"/>
        </w:rPr>
        <w:fldChar w:fldCharType="end"/>
      </w:r>
      <w:r w:rsidRPr="00B20603">
        <w:rPr>
          <w:rFonts w:cs="calibri light (Überschriften)"/>
          <w:b w:val="0"/>
          <w:bCs/>
          <w:color w:val="104C91"/>
          <w:sz w:val="22"/>
          <w:lang w:val="en-GB"/>
        </w:rPr>
        <w:t>: Complete electricity demand projection under the four model variants</w:t>
      </w:r>
    </w:p>
    <w:tbl>
      <w:tblPr>
        <w:tblStyle w:val="EinfacheTabelle21"/>
        <w:tblW w:w="8372" w:type="dxa"/>
        <w:tblLayout w:type="fixed"/>
        <w:tblLook w:val="04A0" w:firstRow="1" w:lastRow="0" w:firstColumn="1" w:lastColumn="0" w:noHBand="0" w:noVBand="1"/>
      </w:tblPr>
      <w:tblGrid>
        <w:gridCol w:w="665"/>
        <w:gridCol w:w="2170"/>
        <w:gridCol w:w="3261"/>
        <w:gridCol w:w="141"/>
        <w:gridCol w:w="2127"/>
        <w:gridCol w:w="8"/>
      </w:tblGrid>
      <w:tr w:rsidR="00FD3734" w:rsidRPr="005278BD" w14:paraId="333A9CDE" w14:textId="77777777" w:rsidTr="00F30478">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104C91"/>
              <w:bottom w:val="nil"/>
            </w:tcBorders>
          </w:tcPr>
          <w:p w14:paraId="0D304F6E" w14:textId="77777777" w:rsidR="00FD3734" w:rsidRPr="005278BD" w:rsidRDefault="00FD3734">
            <w:pPr>
              <w:spacing w:line="240" w:lineRule="auto"/>
              <w:rPr>
                <w:color w:val="104C91"/>
                <w:lang w:eastAsia="de-DE"/>
              </w:rPr>
            </w:pPr>
          </w:p>
        </w:tc>
        <w:tc>
          <w:tcPr>
            <w:tcW w:w="7707" w:type="dxa"/>
            <w:gridSpan w:val="5"/>
            <w:tcBorders>
              <w:top w:val="single" w:sz="4" w:space="0" w:color="104C91"/>
              <w:bottom w:val="single" w:sz="4" w:space="0" w:color="104C91"/>
            </w:tcBorders>
          </w:tcPr>
          <w:p w14:paraId="1163F2D9" w14:textId="5AE4C2F4" w:rsidR="00FD3734" w:rsidRDefault="00950AEF">
            <w:pPr>
              <w:spacing w:line="240" w:lineRule="auto"/>
              <w:jc w:val="center"/>
              <w:cnfStyle w:val="100000000000" w:firstRow="1" w:lastRow="0" w:firstColumn="0" w:lastColumn="0" w:oddVBand="0" w:evenVBand="0" w:oddHBand="0" w:evenHBand="0" w:firstRowFirstColumn="0" w:firstRowLastColumn="0" w:lastRowFirstColumn="0" w:lastRowLastColumn="0"/>
              <w:rPr>
                <w:color w:val="104C91"/>
                <w:lang w:eastAsia="de-DE"/>
              </w:rPr>
            </w:pPr>
            <w:r>
              <w:rPr>
                <w:color w:val="104C91"/>
                <w:lang w:eastAsia="de-DE"/>
              </w:rPr>
              <w:t>Annual</w:t>
            </w:r>
            <w:r w:rsidR="00FD3734">
              <w:rPr>
                <w:color w:val="104C91"/>
                <w:lang w:eastAsia="de-DE"/>
              </w:rPr>
              <w:t xml:space="preserve"> consumption (TWh)</w:t>
            </w:r>
          </w:p>
        </w:tc>
      </w:tr>
      <w:tr w:rsidR="00FD3734" w:rsidRPr="005278BD" w14:paraId="357F8703" w14:textId="77777777" w:rsidTr="00F30478">
        <w:trPr>
          <w:trHeight w:val="206"/>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6AA0C431" w14:textId="7084184C" w:rsidR="00FD3734" w:rsidRPr="005278BD" w:rsidRDefault="00FD3734" w:rsidP="008311D0">
            <w:pPr>
              <w:spacing w:line="240" w:lineRule="auto"/>
              <w:rPr>
                <w:color w:val="104C91"/>
                <w:lang w:eastAsia="de-DE"/>
              </w:rPr>
            </w:pPr>
            <w:r>
              <w:rPr>
                <w:rFonts w:cs="Calibri"/>
                <w:color w:val="000000"/>
                <w:szCs w:val="22"/>
              </w:rPr>
              <w:t>2014</w:t>
            </w:r>
          </w:p>
        </w:tc>
        <w:tc>
          <w:tcPr>
            <w:tcW w:w="7707" w:type="dxa"/>
            <w:gridSpan w:val="5"/>
            <w:tcBorders>
              <w:top w:val="single" w:sz="4" w:space="0" w:color="104C91"/>
            </w:tcBorders>
            <w:vAlign w:val="bottom"/>
          </w:tcPr>
          <w:p w14:paraId="349379F2" w14:textId="07D3AF87"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rFonts w:cs="Calibri"/>
                <w:color w:val="000000"/>
                <w:szCs w:val="22"/>
              </w:rPr>
              <w:t>54.9</w:t>
            </w:r>
          </w:p>
        </w:tc>
      </w:tr>
      <w:tr w:rsidR="00FD3734" w:rsidRPr="005278BD" w14:paraId="0C96A353" w14:textId="77777777" w:rsidTr="00F30478">
        <w:trPr>
          <w:trHeight w:val="206"/>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73311566" w14:textId="5F3A9CD8" w:rsidR="00FD3734" w:rsidRDefault="00FD3734" w:rsidP="008311D0">
            <w:pPr>
              <w:spacing w:line="240" w:lineRule="auto"/>
              <w:rPr>
                <w:lang w:eastAsia="de-DE"/>
              </w:rPr>
            </w:pPr>
            <w:r>
              <w:rPr>
                <w:rFonts w:cs="Calibri"/>
                <w:color w:val="000000"/>
                <w:szCs w:val="22"/>
              </w:rPr>
              <w:t>2015</w:t>
            </w:r>
          </w:p>
        </w:tc>
        <w:tc>
          <w:tcPr>
            <w:tcW w:w="7707" w:type="dxa"/>
            <w:gridSpan w:val="5"/>
            <w:vAlign w:val="bottom"/>
          </w:tcPr>
          <w:p w14:paraId="3D0ED128" w14:textId="5F017C0C"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rFonts w:cs="Calibri"/>
                <w:color w:val="000000"/>
                <w:szCs w:val="22"/>
              </w:rPr>
              <w:t>56.3</w:t>
            </w:r>
          </w:p>
        </w:tc>
      </w:tr>
      <w:tr w:rsidR="00FD3734" w:rsidRPr="005278BD" w14:paraId="2BF103AB" w14:textId="77777777" w:rsidTr="00F30478">
        <w:trPr>
          <w:trHeight w:val="206"/>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5075FE85" w14:textId="216DA0B3" w:rsidR="00FD3734" w:rsidRDefault="00FD3734" w:rsidP="008311D0">
            <w:pPr>
              <w:spacing w:line="240" w:lineRule="auto"/>
              <w:rPr>
                <w:lang w:eastAsia="de-DE"/>
              </w:rPr>
            </w:pPr>
            <w:r>
              <w:rPr>
                <w:rFonts w:cs="Calibri"/>
                <w:color w:val="000000"/>
                <w:szCs w:val="22"/>
              </w:rPr>
              <w:t>2016</w:t>
            </w:r>
          </w:p>
        </w:tc>
        <w:tc>
          <w:tcPr>
            <w:tcW w:w="7707" w:type="dxa"/>
            <w:gridSpan w:val="5"/>
            <w:vAlign w:val="bottom"/>
          </w:tcPr>
          <w:p w14:paraId="59B22322" w14:textId="5700C66E"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rFonts w:cs="Calibri"/>
                <w:color w:val="000000"/>
                <w:szCs w:val="22"/>
              </w:rPr>
              <w:t>57.3</w:t>
            </w:r>
          </w:p>
        </w:tc>
      </w:tr>
      <w:tr w:rsidR="00FD3734" w:rsidRPr="005278BD" w14:paraId="55F59C6F" w14:textId="77777777" w:rsidTr="00F30478">
        <w:trPr>
          <w:trHeight w:val="206"/>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3A17E551" w14:textId="64927489" w:rsidR="00FD3734" w:rsidRDefault="00FD3734" w:rsidP="008311D0">
            <w:pPr>
              <w:spacing w:line="240" w:lineRule="auto"/>
              <w:rPr>
                <w:lang w:eastAsia="de-DE"/>
              </w:rPr>
            </w:pPr>
            <w:r>
              <w:rPr>
                <w:rFonts w:cs="Calibri"/>
                <w:color w:val="000000"/>
                <w:szCs w:val="22"/>
              </w:rPr>
              <w:t>2017</w:t>
            </w:r>
          </w:p>
        </w:tc>
        <w:tc>
          <w:tcPr>
            <w:tcW w:w="7707" w:type="dxa"/>
            <w:gridSpan w:val="5"/>
            <w:vAlign w:val="bottom"/>
          </w:tcPr>
          <w:p w14:paraId="41C5274C" w14:textId="53C93D48"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rFonts w:cs="Calibri"/>
                <w:color w:val="000000"/>
                <w:szCs w:val="22"/>
              </w:rPr>
              <w:t>60.0</w:t>
            </w:r>
          </w:p>
        </w:tc>
      </w:tr>
      <w:tr w:rsidR="00FD3734" w:rsidRPr="005278BD" w14:paraId="6EF04731" w14:textId="77777777" w:rsidTr="00F30478">
        <w:trPr>
          <w:trHeight w:val="206"/>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34B0C8E3" w14:textId="0D3A4420" w:rsidR="00FD3734" w:rsidRDefault="00FD3734" w:rsidP="008311D0">
            <w:pPr>
              <w:spacing w:line="240" w:lineRule="auto"/>
              <w:rPr>
                <w:lang w:eastAsia="de-DE"/>
              </w:rPr>
            </w:pPr>
            <w:r>
              <w:rPr>
                <w:rFonts w:cs="Calibri"/>
                <w:color w:val="000000"/>
                <w:szCs w:val="22"/>
              </w:rPr>
              <w:t>2018</w:t>
            </w:r>
          </w:p>
        </w:tc>
        <w:tc>
          <w:tcPr>
            <w:tcW w:w="7707" w:type="dxa"/>
            <w:gridSpan w:val="5"/>
            <w:vAlign w:val="bottom"/>
          </w:tcPr>
          <w:p w14:paraId="7D177538" w14:textId="151B74F7"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rFonts w:cs="Calibri"/>
                <w:color w:val="000000"/>
                <w:szCs w:val="22"/>
              </w:rPr>
              <w:t>62.</w:t>
            </w:r>
            <w:r w:rsidR="00473E76">
              <w:rPr>
                <w:rFonts w:cs="Calibri"/>
                <w:color w:val="000000"/>
                <w:szCs w:val="22"/>
              </w:rPr>
              <w:t>9</w:t>
            </w:r>
          </w:p>
        </w:tc>
      </w:tr>
      <w:tr w:rsidR="00FD3734" w:rsidRPr="005278BD" w14:paraId="3455C88D" w14:textId="77777777" w:rsidTr="00F30478">
        <w:trPr>
          <w:trHeight w:val="206"/>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095719AA" w14:textId="2A1CD66F" w:rsidR="00FD3734" w:rsidRDefault="00FD3734" w:rsidP="008311D0">
            <w:pPr>
              <w:spacing w:line="240" w:lineRule="auto"/>
              <w:rPr>
                <w:lang w:eastAsia="de-DE"/>
              </w:rPr>
            </w:pPr>
            <w:r>
              <w:rPr>
                <w:rFonts w:cs="Calibri"/>
                <w:color w:val="000000"/>
                <w:szCs w:val="22"/>
              </w:rPr>
              <w:t>2019</w:t>
            </w:r>
          </w:p>
        </w:tc>
        <w:tc>
          <w:tcPr>
            <w:tcW w:w="7707" w:type="dxa"/>
            <w:gridSpan w:val="5"/>
            <w:vAlign w:val="bottom"/>
          </w:tcPr>
          <w:p w14:paraId="6D805257" w14:textId="5962F2F5"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rFonts w:cs="Calibri"/>
                <w:color w:val="000000"/>
                <w:szCs w:val="22"/>
              </w:rPr>
              <w:t>65.1</w:t>
            </w:r>
          </w:p>
        </w:tc>
      </w:tr>
      <w:tr w:rsidR="00FD3734" w:rsidRPr="005278BD" w14:paraId="5B6D4684" w14:textId="77777777" w:rsidTr="00F30478">
        <w:trPr>
          <w:trHeight w:val="206"/>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4C7C8A99" w14:textId="5521A4FD" w:rsidR="00FD3734" w:rsidRDefault="00FD3734" w:rsidP="008311D0">
            <w:pPr>
              <w:spacing w:line="240" w:lineRule="auto"/>
              <w:rPr>
                <w:lang w:eastAsia="de-DE"/>
              </w:rPr>
            </w:pPr>
            <w:r>
              <w:rPr>
                <w:rFonts w:cs="Calibri"/>
                <w:color w:val="000000"/>
                <w:szCs w:val="22"/>
              </w:rPr>
              <w:t>2020</w:t>
            </w:r>
          </w:p>
        </w:tc>
        <w:tc>
          <w:tcPr>
            <w:tcW w:w="7707" w:type="dxa"/>
            <w:gridSpan w:val="5"/>
            <w:vAlign w:val="bottom"/>
          </w:tcPr>
          <w:p w14:paraId="60DDEC44" w14:textId="6F4CFC8B"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rFonts w:cs="Calibri"/>
                <w:color w:val="000000"/>
                <w:szCs w:val="22"/>
              </w:rPr>
              <w:t>69.0</w:t>
            </w:r>
          </w:p>
        </w:tc>
      </w:tr>
      <w:tr w:rsidR="00FD3734" w:rsidRPr="005278BD" w14:paraId="4C4A2EE3" w14:textId="77777777" w:rsidTr="00F30478">
        <w:trPr>
          <w:trHeight w:val="206"/>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473152CE" w14:textId="0E6939AB" w:rsidR="00FD3734" w:rsidRDefault="00FD3734" w:rsidP="008311D0">
            <w:pPr>
              <w:spacing w:line="240" w:lineRule="auto"/>
              <w:rPr>
                <w:lang w:eastAsia="de-DE"/>
              </w:rPr>
            </w:pPr>
            <w:r>
              <w:rPr>
                <w:rFonts w:cs="Calibri"/>
                <w:color w:val="000000"/>
                <w:szCs w:val="22"/>
              </w:rPr>
              <w:t>2021</w:t>
            </w:r>
          </w:p>
        </w:tc>
        <w:tc>
          <w:tcPr>
            <w:tcW w:w="7707" w:type="dxa"/>
            <w:gridSpan w:val="5"/>
            <w:vAlign w:val="bottom"/>
          </w:tcPr>
          <w:p w14:paraId="4A4272CA" w14:textId="77814FD6"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rFonts w:cs="Calibri"/>
                <w:color w:val="000000"/>
                <w:szCs w:val="22"/>
              </w:rPr>
              <w:t>74.3</w:t>
            </w:r>
          </w:p>
        </w:tc>
      </w:tr>
      <w:tr w:rsidR="00FD3734" w:rsidRPr="005278BD" w14:paraId="4DB8037E" w14:textId="77777777" w:rsidTr="00F30478">
        <w:trPr>
          <w:trHeight w:val="206"/>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0E6E5BA0" w14:textId="2F1A66FF" w:rsidR="00FD3734" w:rsidRDefault="00FD3734" w:rsidP="008311D0">
            <w:pPr>
              <w:spacing w:line="240" w:lineRule="auto"/>
              <w:rPr>
                <w:lang w:eastAsia="de-DE"/>
              </w:rPr>
            </w:pPr>
            <w:r>
              <w:rPr>
                <w:rFonts w:cs="Calibri"/>
                <w:color w:val="000000"/>
                <w:szCs w:val="22"/>
              </w:rPr>
              <w:t>2022</w:t>
            </w:r>
          </w:p>
        </w:tc>
        <w:tc>
          <w:tcPr>
            <w:tcW w:w="7707" w:type="dxa"/>
            <w:gridSpan w:val="5"/>
            <w:vAlign w:val="bottom"/>
          </w:tcPr>
          <w:p w14:paraId="3ABDBE2D" w14:textId="4D462D20"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Pr>
                <w:rFonts w:cs="Calibri"/>
                <w:color w:val="000000"/>
                <w:szCs w:val="22"/>
              </w:rPr>
              <w:t>77.</w:t>
            </w:r>
            <w:r w:rsidR="001D406A">
              <w:rPr>
                <w:rFonts w:cs="Calibri"/>
                <w:color w:val="000000"/>
                <w:szCs w:val="22"/>
              </w:rPr>
              <w:t>1</w:t>
            </w:r>
          </w:p>
        </w:tc>
      </w:tr>
      <w:tr w:rsidR="00FD3734" w:rsidRPr="005278BD" w14:paraId="1D765665" w14:textId="77777777" w:rsidTr="00F30478">
        <w:trPr>
          <w:trHeight w:val="205"/>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vAlign w:val="bottom"/>
          </w:tcPr>
          <w:p w14:paraId="0C80DCE0" w14:textId="77777777" w:rsidR="00FD3734" w:rsidRDefault="00FD3734" w:rsidP="008311D0">
            <w:pPr>
              <w:spacing w:line="240" w:lineRule="auto"/>
              <w:jc w:val="center"/>
              <w:rPr>
                <w:rFonts w:cs="Calibri"/>
                <w:b w:val="0"/>
                <w:color w:val="000000"/>
                <w:szCs w:val="22"/>
              </w:rPr>
            </w:pPr>
            <w:r>
              <w:rPr>
                <w:rFonts w:cs="Calibri"/>
                <w:color w:val="000000"/>
                <w:szCs w:val="22"/>
              </w:rPr>
              <w:t>2023</w:t>
            </w:r>
          </w:p>
          <w:p w14:paraId="50E9053B" w14:textId="36689159" w:rsidR="00FD3734" w:rsidRPr="00D73E99" w:rsidRDefault="00FD3734" w:rsidP="008311D0">
            <w:pPr>
              <w:spacing w:line="240" w:lineRule="auto"/>
              <w:jc w:val="center"/>
              <w:rPr>
                <w:b w:val="0"/>
                <w:color w:val="auto"/>
                <w:lang w:eastAsia="de-DE"/>
              </w:rPr>
            </w:pPr>
          </w:p>
        </w:tc>
        <w:tc>
          <w:tcPr>
            <w:tcW w:w="7707" w:type="dxa"/>
            <w:gridSpan w:val="5"/>
            <w:tcBorders>
              <w:bottom w:val="single" w:sz="4" w:space="0" w:color="104C91"/>
            </w:tcBorders>
            <w:vAlign w:val="bottom"/>
          </w:tcPr>
          <w:p w14:paraId="0CC08EB7" w14:textId="32C8BE7D" w:rsidR="00FD3734"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8</w:t>
            </w:r>
            <w:r w:rsidR="001D406A">
              <w:rPr>
                <w:rFonts w:cs="Calibri"/>
                <w:color w:val="000000"/>
                <w:szCs w:val="22"/>
              </w:rPr>
              <w:t>1</w:t>
            </w:r>
            <w:r>
              <w:rPr>
                <w:rFonts w:cs="Calibri"/>
                <w:color w:val="000000"/>
                <w:szCs w:val="22"/>
              </w:rPr>
              <w:t>.</w:t>
            </w:r>
            <w:r w:rsidR="001D406A">
              <w:rPr>
                <w:rFonts w:cs="Calibri"/>
                <w:color w:val="000000"/>
                <w:szCs w:val="22"/>
              </w:rPr>
              <w:t>0</w:t>
            </w:r>
          </w:p>
          <w:p w14:paraId="167A9515" w14:textId="6E5CAF7E" w:rsidR="00FD3734" w:rsidRPr="00997E22" w:rsidRDefault="00FD3734" w:rsidP="008311D0">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p>
        </w:tc>
      </w:tr>
      <w:tr w:rsidR="003A6DEE" w:rsidRPr="005278BD" w14:paraId="74204DCF" w14:textId="77777777" w:rsidTr="005319E6">
        <w:trPr>
          <w:trHeight w:val="377"/>
        </w:trPr>
        <w:tc>
          <w:tcPr>
            <w:cnfStyle w:val="001000000000" w:firstRow="0" w:lastRow="0" w:firstColumn="1" w:lastColumn="0" w:oddVBand="0" w:evenVBand="0" w:oddHBand="0" w:evenHBand="0" w:firstRowFirstColumn="0" w:firstRowLastColumn="0" w:lastRowFirstColumn="0" w:lastRowLastColumn="0"/>
            <w:tcW w:w="665" w:type="dxa"/>
            <w:tcBorders>
              <w:top w:val="nil"/>
              <w:left w:val="nil"/>
              <w:bottom w:val="nil"/>
            </w:tcBorders>
          </w:tcPr>
          <w:p w14:paraId="786B3EC0" w14:textId="77777777" w:rsidR="003A6DEE" w:rsidRPr="005278BD" w:rsidRDefault="003A6DEE">
            <w:pPr>
              <w:spacing w:line="240" w:lineRule="auto"/>
              <w:rPr>
                <w:color w:val="104C91"/>
                <w:lang w:eastAsia="de-DE"/>
              </w:rPr>
            </w:pPr>
          </w:p>
        </w:tc>
        <w:tc>
          <w:tcPr>
            <w:tcW w:w="2170" w:type="dxa"/>
            <w:tcBorders>
              <w:top w:val="single" w:sz="4" w:space="0" w:color="104C91"/>
              <w:bottom w:val="single" w:sz="4" w:space="0" w:color="104C91"/>
            </w:tcBorders>
          </w:tcPr>
          <w:p w14:paraId="262E51A1" w14:textId="086852EA" w:rsidR="003A6DEE" w:rsidRPr="00BE1E5A" w:rsidRDefault="003A6DEE" w:rsidP="003A6DEE">
            <w:pPr>
              <w:spacing w:line="240" w:lineRule="auto"/>
              <w:jc w:val="center"/>
              <w:cnfStyle w:val="000000000000" w:firstRow="0" w:lastRow="0" w:firstColumn="0" w:lastColumn="0" w:oddVBand="0" w:evenVBand="0" w:oddHBand="0" w:evenHBand="0" w:firstRowFirstColumn="0" w:firstRowLastColumn="0" w:lastRowFirstColumn="0" w:lastRowLastColumn="0"/>
              <w:rPr>
                <w:color w:val="104C91"/>
                <w:lang w:eastAsia="de-DE"/>
              </w:rPr>
            </w:pPr>
            <w:r w:rsidRPr="00BE1E5A">
              <w:rPr>
                <w:color w:val="104C91"/>
                <w:lang w:eastAsia="de-DE"/>
              </w:rPr>
              <w:t>Steady growth</w:t>
            </w:r>
          </w:p>
        </w:tc>
        <w:tc>
          <w:tcPr>
            <w:tcW w:w="3261" w:type="dxa"/>
            <w:tcBorders>
              <w:top w:val="single" w:sz="4" w:space="0" w:color="104C91"/>
              <w:bottom w:val="single" w:sz="4" w:space="0" w:color="104C91"/>
            </w:tcBorders>
          </w:tcPr>
          <w:p w14:paraId="59FE5EDC" w14:textId="5C8E790A" w:rsidR="003A6DEE" w:rsidRPr="005319E6" w:rsidRDefault="003A6DEE">
            <w:pPr>
              <w:spacing w:line="240" w:lineRule="auto"/>
              <w:jc w:val="center"/>
              <w:cnfStyle w:val="000000000000" w:firstRow="0" w:lastRow="0" w:firstColumn="0" w:lastColumn="0" w:oddVBand="0" w:evenVBand="0" w:oddHBand="0" w:evenHBand="0" w:firstRowFirstColumn="0" w:firstRowLastColumn="0" w:lastRowFirstColumn="0" w:lastRowLastColumn="0"/>
              <w:rPr>
                <w:color w:val="104C91"/>
                <w:lang w:eastAsia="de-DE"/>
              </w:rPr>
            </w:pPr>
            <w:r w:rsidRPr="005319E6">
              <w:rPr>
                <w:color w:val="104C91"/>
                <w:lang w:eastAsia="de-DE"/>
              </w:rPr>
              <w:t>Sectoral expansion</w:t>
            </w:r>
          </w:p>
        </w:tc>
        <w:tc>
          <w:tcPr>
            <w:tcW w:w="2276" w:type="dxa"/>
            <w:gridSpan w:val="3"/>
            <w:tcBorders>
              <w:top w:val="single" w:sz="4" w:space="0" w:color="104C91"/>
              <w:bottom w:val="single" w:sz="4" w:space="0" w:color="104C91"/>
            </w:tcBorders>
          </w:tcPr>
          <w:p w14:paraId="0E8A01CE" w14:textId="77777777" w:rsidR="003A6DEE" w:rsidRPr="005319E6" w:rsidRDefault="003A6DEE">
            <w:pPr>
              <w:spacing w:line="240" w:lineRule="auto"/>
              <w:jc w:val="center"/>
              <w:cnfStyle w:val="000000000000" w:firstRow="0" w:lastRow="0" w:firstColumn="0" w:lastColumn="0" w:oddVBand="0" w:evenVBand="0" w:oddHBand="0" w:evenHBand="0" w:firstRowFirstColumn="0" w:firstRowLastColumn="0" w:lastRowFirstColumn="0" w:lastRowLastColumn="0"/>
              <w:rPr>
                <w:color w:val="104C91"/>
                <w:lang w:eastAsia="de-DE"/>
              </w:rPr>
            </w:pPr>
            <w:r w:rsidRPr="005319E6">
              <w:rPr>
                <w:color w:val="104C91"/>
                <w:lang w:eastAsia="de-DE"/>
              </w:rPr>
              <w:t>Tariff impact</w:t>
            </w:r>
          </w:p>
        </w:tc>
      </w:tr>
      <w:tr w:rsidR="003A6DEE" w:rsidRPr="005278BD" w14:paraId="78EC9A3B" w14:textId="77777777" w:rsidTr="005319E6">
        <w:trPr>
          <w:gridAfter w:val="1"/>
          <w:wAfter w:w="8" w:type="dxa"/>
          <w:trHeight w:val="312"/>
        </w:trPr>
        <w:tc>
          <w:tcPr>
            <w:cnfStyle w:val="001000000000" w:firstRow="0" w:lastRow="0" w:firstColumn="1" w:lastColumn="0" w:oddVBand="0" w:evenVBand="0" w:oddHBand="0" w:evenHBand="0" w:firstRowFirstColumn="0" w:firstRowLastColumn="0" w:lastRowFirstColumn="0" w:lastRowLastColumn="0"/>
            <w:tcW w:w="665" w:type="dxa"/>
            <w:tcBorders>
              <w:top w:val="nil"/>
            </w:tcBorders>
          </w:tcPr>
          <w:p w14:paraId="1655F2A4" w14:textId="2C0B4DBB" w:rsidR="003A6DEE" w:rsidRPr="0073017A" w:rsidRDefault="003A6DEE" w:rsidP="00440A72">
            <w:pPr>
              <w:spacing w:line="240" w:lineRule="auto"/>
              <w:jc w:val="center"/>
              <w:rPr>
                <w:b w:val="0"/>
                <w:lang w:eastAsia="de-DE"/>
              </w:rPr>
            </w:pPr>
            <w:r>
              <w:rPr>
                <w:lang w:eastAsia="de-DE"/>
              </w:rPr>
              <w:t>2024</w:t>
            </w:r>
          </w:p>
        </w:tc>
        <w:tc>
          <w:tcPr>
            <w:tcW w:w="2170" w:type="dxa"/>
            <w:vAlign w:val="bottom"/>
          </w:tcPr>
          <w:p w14:paraId="0CDB25A8" w14:textId="6A84F154" w:rsidR="003A6DEE" w:rsidRPr="00BE1E5A" w:rsidRDefault="003A6DEE" w:rsidP="002656B8">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E1E5A">
              <w:rPr>
                <w:rFonts w:cs="Calibri"/>
                <w:color w:val="000000"/>
                <w:szCs w:val="22"/>
              </w:rPr>
              <w:t>8</w:t>
            </w:r>
            <w:r w:rsidR="002656B8" w:rsidRPr="00BE1E5A">
              <w:rPr>
                <w:rFonts w:cs="Calibri"/>
                <w:color w:val="000000"/>
                <w:szCs w:val="22"/>
              </w:rPr>
              <w:t>6.2</w:t>
            </w:r>
          </w:p>
        </w:tc>
        <w:tc>
          <w:tcPr>
            <w:tcW w:w="3402" w:type="dxa"/>
            <w:gridSpan w:val="2"/>
            <w:tcBorders>
              <w:top w:val="nil"/>
            </w:tcBorders>
            <w:vAlign w:val="bottom"/>
          </w:tcPr>
          <w:p w14:paraId="4E404FB5" w14:textId="2DB43218"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86.3</w:t>
            </w:r>
          </w:p>
        </w:tc>
        <w:tc>
          <w:tcPr>
            <w:tcW w:w="2127" w:type="dxa"/>
            <w:tcBorders>
              <w:top w:val="nil"/>
            </w:tcBorders>
            <w:vAlign w:val="bottom"/>
          </w:tcPr>
          <w:p w14:paraId="143EBD01" w14:textId="188A015A"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81.7</w:t>
            </w:r>
          </w:p>
        </w:tc>
      </w:tr>
      <w:tr w:rsidR="003A6DEE" w:rsidRPr="005278BD" w14:paraId="2891FCD7" w14:textId="77777777" w:rsidTr="005319E6">
        <w:trPr>
          <w:gridAfter w:val="1"/>
          <w:wAfter w:w="8" w:type="dxa"/>
          <w:trHeight w:val="182"/>
        </w:trPr>
        <w:tc>
          <w:tcPr>
            <w:cnfStyle w:val="001000000000" w:firstRow="0" w:lastRow="0" w:firstColumn="1" w:lastColumn="0" w:oddVBand="0" w:evenVBand="0" w:oddHBand="0" w:evenHBand="0" w:firstRowFirstColumn="0" w:firstRowLastColumn="0" w:lastRowFirstColumn="0" w:lastRowLastColumn="0"/>
            <w:tcW w:w="665" w:type="dxa"/>
          </w:tcPr>
          <w:p w14:paraId="7543BB72" w14:textId="000B0D84" w:rsidR="003A6DEE" w:rsidRDefault="003A6DEE" w:rsidP="00440A72">
            <w:pPr>
              <w:spacing w:line="240" w:lineRule="auto"/>
              <w:jc w:val="center"/>
              <w:rPr>
                <w:bCs/>
                <w:lang w:eastAsia="de-DE"/>
              </w:rPr>
            </w:pPr>
            <w:r>
              <w:rPr>
                <w:bCs/>
                <w:lang w:eastAsia="de-DE"/>
              </w:rPr>
              <w:t>2025</w:t>
            </w:r>
          </w:p>
        </w:tc>
        <w:tc>
          <w:tcPr>
            <w:tcW w:w="2170" w:type="dxa"/>
            <w:vAlign w:val="bottom"/>
          </w:tcPr>
          <w:p w14:paraId="0444B4F6" w14:textId="0F1DFFE0" w:rsidR="003A6DEE" w:rsidRPr="00BE1E5A" w:rsidRDefault="003810A1" w:rsidP="003810A1">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E1E5A">
              <w:rPr>
                <w:rFonts w:cs="Calibri"/>
                <w:color w:val="000000"/>
                <w:szCs w:val="22"/>
              </w:rPr>
              <w:t>91.0</w:t>
            </w:r>
          </w:p>
        </w:tc>
        <w:tc>
          <w:tcPr>
            <w:tcW w:w="3402" w:type="dxa"/>
            <w:gridSpan w:val="2"/>
            <w:vAlign w:val="bottom"/>
          </w:tcPr>
          <w:p w14:paraId="5ADEE854" w14:textId="35425A03"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91.4</w:t>
            </w:r>
          </w:p>
        </w:tc>
        <w:tc>
          <w:tcPr>
            <w:tcW w:w="2127" w:type="dxa"/>
            <w:vAlign w:val="bottom"/>
          </w:tcPr>
          <w:p w14:paraId="3483C9BD" w14:textId="593CE023"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85.3</w:t>
            </w:r>
          </w:p>
        </w:tc>
      </w:tr>
      <w:tr w:rsidR="003A6DEE" w:rsidRPr="005278BD" w14:paraId="29154EF7" w14:textId="77777777" w:rsidTr="005319E6">
        <w:trPr>
          <w:gridAfter w:val="1"/>
          <w:wAfter w:w="8" w:type="dxa"/>
          <w:trHeight w:val="58"/>
        </w:trPr>
        <w:tc>
          <w:tcPr>
            <w:cnfStyle w:val="001000000000" w:firstRow="0" w:lastRow="0" w:firstColumn="1" w:lastColumn="0" w:oddVBand="0" w:evenVBand="0" w:oddHBand="0" w:evenHBand="0" w:firstRowFirstColumn="0" w:firstRowLastColumn="0" w:lastRowFirstColumn="0" w:lastRowLastColumn="0"/>
            <w:tcW w:w="665" w:type="dxa"/>
          </w:tcPr>
          <w:p w14:paraId="008DCEE6" w14:textId="45A0C1F4" w:rsidR="003A6DEE" w:rsidRDefault="003A6DEE" w:rsidP="00440A72">
            <w:pPr>
              <w:spacing w:line="240" w:lineRule="auto"/>
              <w:jc w:val="center"/>
              <w:rPr>
                <w:bCs/>
                <w:lang w:eastAsia="de-DE"/>
              </w:rPr>
            </w:pPr>
            <w:r>
              <w:rPr>
                <w:bCs/>
                <w:lang w:eastAsia="de-DE"/>
              </w:rPr>
              <w:t>2026</w:t>
            </w:r>
          </w:p>
        </w:tc>
        <w:tc>
          <w:tcPr>
            <w:tcW w:w="2170" w:type="dxa"/>
            <w:vAlign w:val="bottom"/>
          </w:tcPr>
          <w:p w14:paraId="4FFC2AB0" w14:textId="09BBB2C1" w:rsidR="003A6DEE" w:rsidRPr="00BE1E5A" w:rsidRDefault="003A6DEE" w:rsidP="0030683A">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E1E5A">
              <w:rPr>
                <w:rFonts w:cs="Calibri"/>
                <w:color w:val="000000"/>
                <w:szCs w:val="22"/>
              </w:rPr>
              <w:t>9</w:t>
            </w:r>
            <w:r w:rsidR="0030683A" w:rsidRPr="00BE1E5A">
              <w:rPr>
                <w:rFonts w:cs="Calibri"/>
                <w:color w:val="000000"/>
                <w:szCs w:val="22"/>
              </w:rPr>
              <w:t>6.2</w:t>
            </w:r>
          </w:p>
        </w:tc>
        <w:tc>
          <w:tcPr>
            <w:tcW w:w="3402" w:type="dxa"/>
            <w:gridSpan w:val="2"/>
            <w:vAlign w:val="bottom"/>
          </w:tcPr>
          <w:p w14:paraId="17FE8645" w14:textId="003AD2C6"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97.1</w:t>
            </w:r>
          </w:p>
        </w:tc>
        <w:tc>
          <w:tcPr>
            <w:tcW w:w="2127" w:type="dxa"/>
            <w:vAlign w:val="bottom"/>
          </w:tcPr>
          <w:p w14:paraId="1A71C0DD" w14:textId="0C77D099"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89.6</w:t>
            </w:r>
          </w:p>
        </w:tc>
      </w:tr>
      <w:tr w:rsidR="003A6DEE" w:rsidRPr="005278BD" w14:paraId="363DB137" w14:textId="77777777" w:rsidTr="005319E6">
        <w:trPr>
          <w:gridAfter w:val="1"/>
          <w:wAfter w:w="8" w:type="dxa"/>
          <w:trHeight w:val="106"/>
        </w:trPr>
        <w:tc>
          <w:tcPr>
            <w:cnfStyle w:val="001000000000" w:firstRow="0" w:lastRow="0" w:firstColumn="1" w:lastColumn="0" w:oddVBand="0" w:evenVBand="0" w:oddHBand="0" w:evenHBand="0" w:firstRowFirstColumn="0" w:firstRowLastColumn="0" w:lastRowFirstColumn="0" w:lastRowLastColumn="0"/>
            <w:tcW w:w="665" w:type="dxa"/>
          </w:tcPr>
          <w:p w14:paraId="1AAA2997" w14:textId="3E506255" w:rsidR="003A6DEE" w:rsidRDefault="003A6DEE" w:rsidP="00440A72">
            <w:pPr>
              <w:spacing w:line="240" w:lineRule="auto"/>
              <w:jc w:val="center"/>
              <w:rPr>
                <w:bCs/>
                <w:lang w:eastAsia="de-DE"/>
              </w:rPr>
            </w:pPr>
            <w:r>
              <w:rPr>
                <w:bCs/>
                <w:lang w:eastAsia="de-DE"/>
              </w:rPr>
              <w:t>2027</w:t>
            </w:r>
          </w:p>
        </w:tc>
        <w:tc>
          <w:tcPr>
            <w:tcW w:w="2170" w:type="dxa"/>
            <w:vAlign w:val="bottom"/>
          </w:tcPr>
          <w:p w14:paraId="5D2C3934" w14:textId="709F2D49" w:rsidR="003A6DEE" w:rsidRPr="00BE1E5A" w:rsidRDefault="0030683A" w:rsidP="0030683A">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E1E5A">
              <w:rPr>
                <w:rFonts w:cs="Calibri"/>
                <w:color w:val="000000"/>
                <w:szCs w:val="22"/>
              </w:rPr>
              <w:t>101.4</w:t>
            </w:r>
          </w:p>
        </w:tc>
        <w:tc>
          <w:tcPr>
            <w:tcW w:w="3402" w:type="dxa"/>
            <w:gridSpan w:val="2"/>
            <w:vAlign w:val="bottom"/>
          </w:tcPr>
          <w:p w14:paraId="049B68DE" w14:textId="36C5BB6F"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103.1</w:t>
            </w:r>
          </w:p>
        </w:tc>
        <w:tc>
          <w:tcPr>
            <w:tcW w:w="2127" w:type="dxa"/>
            <w:vAlign w:val="bottom"/>
          </w:tcPr>
          <w:p w14:paraId="5912D27B" w14:textId="57AAEE7B"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94.2</w:t>
            </w:r>
          </w:p>
        </w:tc>
      </w:tr>
      <w:tr w:rsidR="003A6DEE" w:rsidRPr="005278BD" w14:paraId="4C437D83" w14:textId="77777777" w:rsidTr="005319E6">
        <w:trPr>
          <w:gridAfter w:val="1"/>
          <w:wAfter w:w="8" w:type="dxa"/>
          <w:trHeight w:val="58"/>
        </w:trPr>
        <w:tc>
          <w:tcPr>
            <w:cnfStyle w:val="001000000000" w:firstRow="0" w:lastRow="0" w:firstColumn="1" w:lastColumn="0" w:oddVBand="0" w:evenVBand="0" w:oddHBand="0" w:evenHBand="0" w:firstRowFirstColumn="0" w:firstRowLastColumn="0" w:lastRowFirstColumn="0" w:lastRowLastColumn="0"/>
            <w:tcW w:w="665" w:type="dxa"/>
          </w:tcPr>
          <w:p w14:paraId="7CA82596" w14:textId="212DDBDA" w:rsidR="003A6DEE" w:rsidRDefault="003A6DEE" w:rsidP="00440A72">
            <w:pPr>
              <w:spacing w:line="240" w:lineRule="auto"/>
              <w:jc w:val="center"/>
              <w:rPr>
                <w:bCs/>
                <w:lang w:eastAsia="de-DE"/>
              </w:rPr>
            </w:pPr>
            <w:r>
              <w:rPr>
                <w:lang w:eastAsia="de-DE"/>
              </w:rPr>
              <w:t>2028</w:t>
            </w:r>
          </w:p>
        </w:tc>
        <w:tc>
          <w:tcPr>
            <w:tcW w:w="2170" w:type="dxa"/>
            <w:vAlign w:val="bottom"/>
          </w:tcPr>
          <w:p w14:paraId="5990FC94" w14:textId="16DC05B0" w:rsidR="003A6DEE" w:rsidRPr="00BE1E5A" w:rsidRDefault="00CD5C7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E1E5A">
              <w:rPr>
                <w:rFonts w:cs="Calibri"/>
                <w:color w:val="000000"/>
                <w:szCs w:val="22"/>
              </w:rPr>
              <w:t>107.0</w:t>
            </w:r>
          </w:p>
        </w:tc>
        <w:tc>
          <w:tcPr>
            <w:tcW w:w="3402" w:type="dxa"/>
            <w:gridSpan w:val="2"/>
            <w:vAlign w:val="bottom"/>
          </w:tcPr>
          <w:p w14:paraId="2A36AA9C" w14:textId="452D2DDB"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109.8</w:t>
            </w:r>
          </w:p>
        </w:tc>
        <w:tc>
          <w:tcPr>
            <w:tcW w:w="2127" w:type="dxa"/>
            <w:vAlign w:val="bottom"/>
          </w:tcPr>
          <w:p w14:paraId="0E3BEB48" w14:textId="7D70A99F"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99.4</w:t>
            </w:r>
          </w:p>
        </w:tc>
      </w:tr>
      <w:tr w:rsidR="003A6DEE" w:rsidRPr="005278BD" w14:paraId="53151454" w14:textId="77777777" w:rsidTr="005319E6">
        <w:trPr>
          <w:gridAfter w:val="1"/>
          <w:wAfter w:w="8" w:type="dxa"/>
          <w:trHeight w:val="58"/>
        </w:trPr>
        <w:tc>
          <w:tcPr>
            <w:cnfStyle w:val="001000000000" w:firstRow="0" w:lastRow="0" w:firstColumn="1" w:lastColumn="0" w:oddVBand="0" w:evenVBand="0" w:oddHBand="0" w:evenHBand="0" w:firstRowFirstColumn="0" w:firstRowLastColumn="0" w:lastRowFirstColumn="0" w:lastRowLastColumn="0"/>
            <w:tcW w:w="665" w:type="dxa"/>
          </w:tcPr>
          <w:p w14:paraId="683C25BF" w14:textId="5600C36F" w:rsidR="003A6DEE" w:rsidRDefault="003A6DEE" w:rsidP="00440A72">
            <w:pPr>
              <w:spacing w:line="240" w:lineRule="auto"/>
              <w:jc w:val="center"/>
              <w:rPr>
                <w:bCs/>
                <w:lang w:eastAsia="de-DE"/>
              </w:rPr>
            </w:pPr>
            <w:r>
              <w:rPr>
                <w:bCs/>
                <w:lang w:eastAsia="de-DE"/>
              </w:rPr>
              <w:t>2029</w:t>
            </w:r>
          </w:p>
        </w:tc>
        <w:tc>
          <w:tcPr>
            <w:tcW w:w="2170" w:type="dxa"/>
            <w:vAlign w:val="bottom"/>
          </w:tcPr>
          <w:p w14:paraId="7CD14BC7" w14:textId="4A4AA0D4" w:rsidR="003A6DEE" w:rsidRPr="00BE1E5A" w:rsidRDefault="003A6DEE" w:rsidP="00CD5C7A">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E1E5A">
              <w:rPr>
                <w:rFonts w:cs="Calibri"/>
                <w:color w:val="000000"/>
                <w:szCs w:val="22"/>
              </w:rPr>
              <w:t>1</w:t>
            </w:r>
            <w:r w:rsidR="00CE423B" w:rsidRPr="00BE1E5A">
              <w:rPr>
                <w:rFonts w:cs="Calibri"/>
                <w:color w:val="000000"/>
                <w:szCs w:val="22"/>
              </w:rPr>
              <w:t>12.1</w:t>
            </w:r>
          </w:p>
        </w:tc>
        <w:tc>
          <w:tcPr>
            <w:tcW w:w="3402" w:type="dxa"/>
            <w:gridSpan w:val="2"/>
            <w:vAlign w:val="bottom"/>
          </w:tcPr>
          <w:p w14:paraId="04551B51" w14:textId="14A5E0F4"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116.4</w:t>
            </w:r>
          </w:p>
        </w:tc>
        <w:tc>
          <w:tcPr>
            <w:tcW w:w="2127" w:type="dxa"/>
            <w:vAlign w:val="bottom"/>
          </w:tcPr>
          <w:p w14:paraId="50059604" w14:textId="18F0E178"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104.6</w:t>
            </w:r>
          </w:p>
        </w:tc>
      </w:tr>
      <w:tr w:rsidR="003A6DEE" w:rsidRPr="005278BD" w14:paraId="14837B9A" w14:textId="77777777" w:rsidTr="005319E6">
        <w:trPr>
          <w:gridAfter w:val="1"/>
          <w:wAfter w:w="8" w:type="dxa"/>
          <w:trHeight w:val="58"/>
        </w:trPr>
        <w:tc>
          <w:tcPr>
            <w:cnfStyle w:val="001000000000" w:firstRow="0" w:lastRow="0" w:firstColumn="1" w:lastColumn="0" w:oddVBand="0" w:evenVBand="0" w:oddHBand="0" w:evenHBand="0" w:firstRowFirstColumn="0" w:firstRowLastColumn="0" w:lastRowFirstColumn="0" w:lastRowLastColumn="0"/>
            <w:tcW w:w="665" w:type="dxa"/>
          </w:tcPr>
          <w:p w14:paraId="666B917E" w14:textId="14CFBF0E" w:rsidR="003A6DEE" w:rsidRDefault="003A6DEE" w:rsidP="00440A72">
            <w:pPr>
              <w:spacing w:line="240" w:lineRule="auto"/>
              <w:jc w:val="center"/>
              <w:rPr>
                <w:bCs/>
                <w:lang w:eastAsia="de-DE"/>
              </w:rPr>
            </w:pPr>
            <w:r>
              <w:rPr>
                <w:lang w:eastAsia="de-DE"/>
              </w:rPr>
              <w:t>2030</w:t>
            </w:r>
          </w:p>
        </w:tc>
        <w:tc>
          <w:tcPr>
            <w:tcW w:w="2170" w:type="dxa"/>
            <w:vAlign w:val="bottom"/>
          </w:tcPr>
          <w:p w14:paraId="3202BD46" w14:textId="030A3011" w:rsidR="003A6DEE" w:rsidRPr="00BE1E5A" w:rsidRDefault="003A6DEE" w:rsidP="00BE1E5A">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E1E5A">
              <w:rPr>
                <w:rFonts w:cs="Calibri"/>
                <w:color w:val="000000"/>
                <w:szCs w:val="22"/>
              </w:rPr>
              <w:t>1</w:t>
            </w:r>
            <w:r w:rsidR="00BE1E5A" w:rsidRPr="00BE1E5A">
              <w:rPr>
                <w:rFonts w:cs="Calibri"/>
                <w:color w:val="000000"/>
                <w:szCs w:val="22"/>
              </w:rPr>
              <w:t>17.5</w:t>
            </w:r>
          </w:p>
        </w:tc>
        <w:tc>
          <w:tcPr>
            <w:tcW w:w="3402" w:type="dxa"/>
            <w:gridSpan w:val="2"/>
            <w:vAlign w:val="bottom"/>
          </w:tcPr>
          <w:p w14:paraId="2E23EF30" w14:textId="00CA1C07"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122.7</w:t>
            </w:r>
          </w:p>
        </w:tc>
        <w:tc>
          <w:tcPr>
            <w:tcW w:w="2127" w:type="dxa"/>
            <w:vAlign w:val="bottom"/>
          </w:tcPr>
          <w:p w14:paraId="339BC63A" w14:textId="2FAC72BD" w:rsidR="003A6DEE" w:rsidRPr="005319E6" w:rsidRDefault="003A6DEE" w:rsidP="00440A72">
            <w:pPr>
              <w:spacing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5319E6">
              <w:rPr>
                <w:rFonts w:cs="Calibri"/>
                <w:color w:val="000000"/>
                <w:szCs w:val="22"/>
              </w:rPr>
              <w:t>109.3</w:t>
            </w:r>
          </w:p>
        </w:tc>
      </w:tr>
      <w:tr w:rsidR="00BE1E5A" w:rsidRPr="005278BD" w14:paraId="23AB433E" w14:textId="77777777" w:rsidTr="005319E6">
        <w:trPr>
          <w:gridAfter w:val="1"/>
          <w:wAfter w:w="8" w:type="dxa"/>
          <w:trHeight w:val="110"/>
        </w:trPr>
        <w:tc>
          <w:tcPr>
            <w:cnfStyle w:val="001000000000" w:firstRow="0" w:lastRow="0" w:firstColumn="1" w:lastColumn="0" w:oddVBand="0" w:evenVBand="0" w:oddHBand="0" w:evenHBand="0" w:firstRowFirstColumn="0" w:firstRowLastColumn="0" w:lastRowFirstColumn="0" w:lastRowLastColumn="0"/>
            <w:tcW w:w="665" w:type="dxa"/>
          </w:tcPr>
          <w:p w14:paraId="580F9A92" w14:textId="1B72819C" w:rsidR="00BE1E5A" w:rsidRDefault="00BE1E5A" w:rsidP="00440A72">
            <w:pPr>
              <w:spacing w:line="240" w:lineRule="auto"/>
              <w:jc w:val="center"/>
              <w:rPr>
                <w:bCs/>
                <w:lang w:eastAsia="de-DE"/>
              </w:rPr>
            </w:pPr>
            <w:r>
              <w:rPr>
                <w:bCs/>
                <w:lang w:eastAsia="de-DE"/>
              </w:rPr>
              <w:t>2031</w:t>
            </w:r>
          </w:p>
        </w:tc>
        <w:tc>
          <w:tcPr>
            <w:tcW w:w="2170" w:type="dxa"/>
            <w:vAlign w:val="bottom"/>
          </w:tcPr>
          <w:p w14:paraId="2CBECC65" w14:textId="2FCD9162" w:rsidR="00BE1E5A" w:rsidRPr="00AC0CAF"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AC0CAF">
              <w:rPr>
                <w:rFonts w:cs="Calibri"/>
                <w:color w:val="000000"/>
                <w:szCs w:val="22"/>
              </w:rPr>
              <w:t>121.5</w:t>
            </w:r>
          </w:p>
        </w:tc>
        <w:tc>
          <w:tcPr>
            <w:tcW w:w="3402" w:type="dxa"/>
            <w:gridSpan w:val="2"/>
            <w:vAlign w:val="bottom"/>
          </w:tcPr>
          <w:p w14:paraId="2EB41071" w14:textId="360987A6"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128.6</w:t>
            </w:r>
          </w:p>
        </w:tc>
        <w:tc>
          <w:tcPr>
            <w:tcW w:w="2127" w:type="dxa"/>
            <w:vAlign w:val="bottom"/>
          </w:tcPr>
          <w:p w14:paraId="4CE7790B" w14:textId="3F60DB6F"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113.9</w:t>
            </w:r>
          </w:p>
        </w:tc>
      </w:tr>
      <w:tr w:rsidR="00BE1E5A" w:rsidRPr="005278BD" w14:paraId="53FA898C" w14:textId="77777777" w:rsidTr="005319E6">
        <w:trPr>
          <w:gridAfter w:val="1"/>
          <w:wAfter w:w="8" w:type="dxa"/>
          <w:trHeight w:val="58"/>
        </w:trPr>
        <w:tc>
          <w:tcPr>
            <w:cnfStyle w:val="001000000000" w:firstRow="0" w:lastRow="0" w:firstColumn="1" w:lastColumn="0" w:oddVBand="0" w:evenVBand="0" w:oddHBand="0" w:evenHBand="0" w:firstRowFirstColumn="0" w:firstRowLastColumn="0" w:lastRowFirstColumn="0" w:lastRowLastColumn="0"/>
            <w:tcW w:w="665" w:type="dxa"/>
          </w:tcPr>
          <w:p w14:paraId="0AEED0B4" w14:textId="12E2EB4E" w:rsidR="00BE1E5A" w:rsidRPr="0073017A" w:rsidRDefault="00BE1E5A" w:rsidP="00440A72">
            <w:pPr>
              <w:spacing w:line="240" w:lineRule="auto"/>
              <w:jc w:val="center"/>
              <w:rPr>
                <w:b w:val="0"/>
                <w:bCs/>
                <w:lang w:eastAsia="de-DE"/>
              </w:rPr>
            </w:pPr>
            <w:r>
              <w:rPr>
                <w:bCs/>
                <w:lang w:eastAsia="de-DE"/>
              </w:rPr>
              <w:t>2032</w:t>
            </w:r>
          </w:p>
        </w:tc>
        <w:tc>
          <w:tcPr>
            <w:tcW w:w="2170" w:type="dxa"/>
            <w:vAlign w:val="bottom"/>
          </w:tcPr>
          <w:p w14:paraId="74361F87" w14:textId="7F0D7284" w:rsidR="00BE1E5A" w:rsidRPr="00AC0CAF" w:rsidRDefault="00194803"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AC0CAF">
              <w:rPr>
                <w:rFonts w:cs="Calibri"/>
                <w:color w:val="000000"/>
                <w:szCs w:val="22"/>
              </w:rPr>
              <w:t>125.8</w:t>
            </w:r>
          </w:p>
        </w:tc>
        <w:tc>
          <w:tcPr>
            <w:tcW w:w="3402" w:type="dxa"/>
            <w:gridSpan w:val="2"/>
            <w:vAlign w:val="bottom"/>
          </w:tcPr>
          <w:p w14:paraId="5B6481C4" w14:textId="264897B0"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134.9</w:t>
            </w:r>
          </w:p>
        </w:tc>
        <w:tc>
          <w:tcPr>
            <w:tcW w:w="2127" w:type="dxa"/>
            <w:vAlign w:val="bottom"/>
          </w:tcPr>
          <w:p w14:paraId="39D322A1" w14:textId="1788686E"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118.8</w:t>
            </w:r>
          </w:p>
        </w:tc>
      </w:tr>
      <w:tr w:rsidR="00BE1E5A" w:rsidRPr="005278BD" w14:paraId="05230C86" w14:textId="77777777" w:rsidTr="005319E6">
        <w:trPr>
          <w:gridAfter w:val="1"/>
          <w:wAfter w:w="8" w:type="dxa"/>
          <w:trHeight w:val="58"/>
        </w:trPr>
        <w:tc>
          <w:tcPr>
            <w:cnfStyle w:val="001000000000" w:firstRow="0" w:lastRow="0" w:firstColumn="1" w:lastColumn="0" w:oddVBand="0" w:evenVBand="0" w:oddHBand="0" w:evenHBand="0" w:firstRowFirstColumn="0" w:firstRowLastColumn="0" w:lastRowFirstColumn="0" w:lastRowLastColumn="0"/>
            <w:tcW w:w="665" w:type="dxa"/>
          </w:tcPr>
          <w:p w14:paraId="76894CCB" w14:textId="2669DA91" w:rsidR="00BE1E5A" w:rsidRDefault="00BE1E5A" w:rsidP="00440A72">
            <w:pPr>
              <w:spacing w:line="240" w:lineRule="auto"/>
              <w:jc w:val="center"/>
              <w:rPr>
                <w:bCs/>
                <w:lang w:eastAsia="de-DE"/>
              </w:rPr>
            </w:pPr>
            <w:r>
              <w:rPr>
                <w:bCs/>
                <w:lang w:eastAsia="de-DE"/>
              </w:rPr>
              <w:t>2033</w:t>
            </w:r>
          </w:p>
        </w:tc>
        <w:tc>
          <w:tcPr>
            <w:tcW w:w="2170" w:type="dxa"/>
            <w:vAlign w:val="bottom"/>
          </w:tcPr>
          <w:p w14:paraId="0AC834CF" w14:textId="10E07F73" w:rsidR="00BE1E5A" w:rsidRPr="00AC0CAF" w:rsidRDefault="00A86A36"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AC0CAF">
              <w:rPr>
                <w:rFonts w:cs="Calibri"/>
                <w:color w:val="000000"/>
                <w:szCs w:val="22"/>
              </w:rPr>
              <w:t>129.4</w:t>
            </w:r>
          </w:p>
        </w:tc>
        <w:tc>
          <w:tcPr>
            <w:tcW w:w="3402" w:type="dxa"/>
            <w:gridSpan w:val="2"/>
            <w:vAlign w:val="bottom"/>
          </w:tcPr>
          <w:p w14:paraId="3D9EA43E" w14:textId="2B2CBF08"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140.2</w:t>
            </w:r>
          </w:p>
        </w:tc>
        <w:tc>
          <w:tcPr>
            <w:tcW w:w="2127" w:type="dxa"/>
            <w:vAlign w:val="bottom"/>
          </w:tcPr>
          <w:p w14:paraId="0A0FBD76" w14:textId="74FA2683"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122.7</w:t>
            </w:r>
          </w:p>
        </w:tc>
      </w:tr>
      <w:tr w:rsidR="00BE1E5A" w:rsidRPr="005278BD" w14:paraId="51E501D5" w14:textId="77777777" w:rsidTr="005319E6">
        <w:trPr>
          <w:gridAfter w:val="1"/>
          <w:wAfter w:w="8" w:type="dxa"/>
          <w:trHeight w:val="58"/>
        </w:trPr>
        <w:tc>
          <w:tcPr>
            <w:cnfStyle w:val="001000000000" w:firstRow="0" w:lastRow="0" w:firstColumn="1" w:lastColumn="0" w:oddVBand="0" w:evenVBand="0" w:oddHBand="0" w:evenHBand="0" w:firstRowFirstColumn="0" w:firstRowLastColumn="0" w:lastRowFirstColumn="0" w:lastRowLastColumn="0"/>
            <w:tcW w:w="665" w:type="dxa"/>
          </w:tcPr>
          <w:p w14:paraId="12188F04" w14:textId="0B505F4F" w:rsidR="00BE1E5A" w:rsidRDefault="00BE1E5A" w:rsidP="00440A72">
            <w:pPr>
              <w:spacing w:line="240" w:lineRule="auto"/>
              <w:jc w:val="center"/>
              <w:rPr>
                <w:bCs/>
                <w:lang w:eastAsia="de-DE"/>
              </w:rPr>
            </w:pPr>
            <w:r>
              <w:rPr>
                <w:bCs/>
                <w:lang w:eastAsia="de-DE"/>
              </w:rPr>
              <w:t>2034</w:t>
            </w:r>
          </w:p>
        </w:tc>
        <w:tc>
          <w:tcPr>
            <w:tcW w:w="2170" w:type="dxa"/>
            <w:vAlign w:val="bottom"/>
          </w:tcPr>
          <w:p w14:paraId="727E443B" w14:textId="4CE8645C" w:rsidR="00BE1E5A" w:rsidRPr="00AC0CAF" w:rsidRDefault="00A86A36"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AC0CAF">
              <w:rPr>
                <w:rFonts w:cs="Calibri"/>
                <w:color w:val="000000"/>
                <w:szCs w:val="22"/>
              </w:rPr>
              <w:t>133.3</w:t>
            </w:r>
          </w:p>
        </w:tc>
        <w:tc>
          <w:tcPr>
            <w:tcW w:w="3402" w:type="dxa"/>
            <w:gridSpan w:val="2"/>
            <w:vAlign w:val="bottom"/>
          </w:tcPr>
          <w:p w14:paraId="710C7DFF" w14:textId="6AAF8DCF"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145.9</w:t>
            </w:r>
          </w:p>
        </w:tc>
        <w:tc>
          <w:tcPr>
            <w:tcW w:w="2127" w:type="dxa"/>
            <w:vAlign w:val="bottom"/>
          </w:tcPr>
          <w:p w14:paraId="074A9581" w14:textId="117C8CFC"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126.9</w:t>
            </w:r>
          </w:p>
        </w:tc>
      </w:tr>
      <w:tr w:rsidR="00BE1E5A" w:rsidRPr="005278BD" w14:paraId="75343F50" w14:textId="77777777" w:rsidTr="005319E6">
        <w:trPr>
          <w:gridAfter w:val="1"/>
          <w:wAfter w:w="8" w:type="dxa"/>
          <w:trHeight w:val="114"/>
        </w:trPr>
        <w:tc>
          <w:tcPr>
            <w:cnfStyle w:val="001000000000" w:firstRow="0" w:lastRow="0" w:firstColumn="1" w:lastColumn="0" w:oddVBand="0" w:evenVBand="0" w:oddHBand="0" w:evenHBand="0" w:firstRowFirstColumn="0" w:firstRowLastColumn="0" w:lastRowFirstColumn="0" w:lastRowLastColumn="0"/>
            <w:tcW w:w="665" w:type="dxa"/>
          </w:tcPr>
          <w:p w14:paraId="27E5C4EB" w14:textId="77777777" w:rsidR="00BE1E5A" w:rsidRPr="00C97429" w:rsidRDefault="00BE1E5A" w:rsidP="00440A72">
            <w:pPr>
              <w:spacing w:line="240" w:lineRule="auto"/>
              <w:jc w:val="center"/>
              <w:rPr>
                <w:bCs/>
                <w:lang w:eastAsia="de-DE"/>
              </w:rPr>
            </w:pPr>
            <w:r>
              <w:rPr>
                <w:bCs/>
                <w:lang w:eastAsia="de-DE"/>
              </w:rPr>
              <w:t>2035</w:t>
            </w:r>
          </w:p>
        </w:tc>
        <w:tc>
          <w:tcPr>
            <w:tcW w:w="2170" w:type="dxa"/>
            <w:vAlign w:val="bottom"/>
          </w:tcPr>
          <w:p w14:paraId="4B6625BE" w14:textId="2FCDE4CB" w:rsidR="00BE1E5A" w:rsidRPr="00AC0CAF" w:rsidRDefault="00AC0CAF"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AC0CAF">
              <w:rPr>
                <w:rFonts w:cs="Calibri"/>
                <w:color w:val="000000"/>
                <w:szCs w:val="22"/>
              </w:rPr>
              <w:t>137.2</w:t>
            </w:r>
          </w:p>
        </w:tc>
        <w:tc>
          <w:tcPr>
            <w:tcW w:w="3402" w:type="dxa"/>
            <w:gridSpan w:val="2"/>
            <w:vAlign w:val="bottom"/>
          </w:tcPr>
          <w:p w14:paraId="28C2C703" w14:textId="78922D08"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151.4</w:t>
            </w:r>
          </w:p>
        </w:tc>
        <w:tc>
          <w:tcPr>
            <w:tcW w:w="2127" w:type="dxa"/>
            <w:vAlign w:val="bottom"/>
          </w:tcPr>
          <w:p w14:paraId="53598186" w14:textId="316E3B14" w:rsidR="00BE1E5A" w:rsidRPr="005319E6" w:rsidRDefault="00BE1E5A" w:rsidP="00440A72">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DE"/>
              </w:rPr>
            </w:pPr>
            <w:r w:rsidRPr="005319E6">
              <w:rPr>
                <w:rFonts w:cs="Calibri"/>
                <w:color w:val="000000"/>
                <w:szCs w:val="22"/>
              </w:rPr>
              <w:t>130.9</w:t>
            </w:r>
          </w:p>
        </w:tc>
      </w:tr>
    </w:tbl>
    <w:p w14:paraId="24FE3AFE" w14:textId="5A459510" w:rsidR="00AD4377" w:rsidRPr="009C04E3" w:rsidRDefault="009C04E3" w:rsidP="009C04E3">
      <w:pPr>
        <w:rPr>
          <w:i/>
          <w:color w:val="FF0000"/>
          <w:sz w:val="18"/>
        </w:rPr>
      </w:pPr>
      <w:r w:rsidRPr="009C04E3">
        <w:rPr>
          <w:rFonts w:cs="Calibri"/>
          <w:i/>
          <w:iCs/>
          <w:color w:val="ADADAD"/>
          <w:sz w:val="18"/>
        </w:rPr>
        <w:t xml:space="preserve">Source: </w:t>
      </w:r>
      <w:r w:rsidRPr="00191919">
        <w:rPr>
          <w:rFonts w:cs="Calibri"/>
          <w:i/>
          <w:iCs/>
          <w:color w:val="ADADAD"/>
          <w:sz w:val="18"/>
        </w:rPr>
        <w:t>CDC Energiya</w:t>
      </w:r>
      <w:r>
        <w:rPr>
          <w:rFonts w:cs="Calibri"/>
          <w:i/>
          <w:iCs/>
          <w:color w:val="ADADAD"/>
          <w:sz w:val="18"/>
        </w:rPr>
        <w:t xml:space="preserve"> (2014-2023 data); own calculations (projected data).</w:t>
      </w:r>
    </w:p>
    <w:p w14:paraId="0B5F0F3F" w14:textId="77777777" w:rsidR="00AD4377" w:rsidRPr="00AD4377" w:rsidRDefault="00AD4377" w:rsidP="00AD4377">
      <w:pPr>
        <w:pStyle w:val="Fliesstext"/>
        <w:rPr>
          <w:lang w:val="en-US" w:eastAsia="de-DE"/>
        </w:rPr>
      </w:pPr>
    </w:p>
    <w:p w14:paraId="0B24BA94" w14:textId="323CA7FF" w:rsidR="00AD4377" w:rsidRDefault="00AD4377">
      <w:pPr>
        <w:spacing w:before="0" w:line="240" w:lineRule="auto"/>
        <w:jc w:val="left"/>
        <w:rPr>
          <w:rFonts w:cs="calibri light (Überschriften)"/>
          <w:b/>
          <w:bCs/>
          <w:color w:val="104C91"/>
          <w:szCs w:val="20"/>
          <w:lang w:val="en-US" w:eastAsia="de-DE"/>
        </w:rPr>
      </w:pPr>
    </w:p>
    <w:sectPr w:rsidR="00AD4377" w:rsidSect="0062351B">
      <w:headerReference w:type="default" r:id="rId41"/>
      <w:pgSz w:w="11907" w:h="16840"/>
      <w:pgMar w:top="1559" w:right="2398" w:bottom="1304" w:left="1418" w:header="567" w:footer="73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8B0FB" w14:textId="77777777" w:rsidR="00BE06E0" w:rsidRDefault="00BE06E0">
      <w:pPr>
        <w:spacing w:before="120"/>
      </w:pPr>
      <w:r>
        <w:separator/>
      </w:r>
    </w:p>
  </w:endnote>
  <w:endnote w:type="continuationSeparator" w:id="0">
    <w:p w14:paraId="683A4D36" w14:textId="77777777" w:rsidR="00BE06E0" w:rsidRDefault="00BE06E0">
      <w:pPr>
        <w:spacing w:before="120"/>
      </w:pPr>
      <w:r>
        <w:continuationSeparator/>
      </w:r>
    </w:p>
  </w:endnote>
  <w:endnote w:type="continuationNotice" w:id="1">
    <w:p w14:paraId="657AA9FF" w14:textId="77777777" w:rsidR="00BE06E0" w:rsidRDefault="00BE06E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Überschriften)">
    <w:altName w:val="Calibri Light"/>
    <w:charset w:val="00"/>
    <w:family w:val="auto"/>
    <w:pitch w:val="default"/>
  </w:font>
  <w:font w:name="minion pro">
    <w:charset w:val="00"/>
    <w:family w:val="auto"/>
    <w:pitch w:val="default"/>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A3A6E" w14:textId="4477634C" w:rsidR="0007422F" w:rsidRDefault="00624019" w:rsidP="00D2206C">
    <w:pPr>
      <w:pStyle w:val="Fuzeile"/>
      <w:tabs>
        <w:tab w:val="clear" w:pos="4536"/>
        <w:tab w:val="clear" w:pos="9072"/>
        <w:tab w:val="left" w:pos="5810"/>
      </w:tabs>
    </w:pPr>
    <w:r>
      <w:rPr>
        <w:noProof/>
      </w:rPr>
      <mc:AlternateContent>
        <mc:Choice Requires="wps">
          <w:drawing>
            <wp:anchor distT="45720" distB="45720" distL="114300" distR="114300" simplePos="0" relativeHeight="251658241" behindDoc="0" locked="0" layoutInCell="1" allowOverlap="1" wp14:anchorId="54152EE6" wp14:editId="76916FB5">
              <wp:simplePos x="0" y="0"/>
              <wp:positionH relativeFrom="margin">
                <wp:posOffset>5267960</wp:posOffset>
              </wp:positionH>
              <wp:positionV relativeFrom="paragraph">
                <wp:posOffset>-762635</wp:posOffset>
              </wp:positionV>
              <wp:extent cx="1966595" cy="192405"/>
              <wp:effectExtent l="10795" t="8255" r="0" b="0"/>
              <wp:wrapNone/>
              <wp:docPr id="14" name="Textfeld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966595" cy="192405"/>
                      </a:xfrm>
                      <a:prstGeom prst="rect">
                        <a:avLst/>
                      </a:prstGeom>
                      <a:noFill/>
                      <a:ln w="9525">
                        <a:noFill/>
                        <a:miter lim="800000"/>
                        <a:headEnd/>
                        <a:tailEnd/>
                      </a:ln>
                    </wps:spPr>
                    <wps:txbx>
                      <w:txbxContent>
                        <w:p w14:paraId="0777A6F4" w14:textId="08352345" w:rsidR="0007422F" w:rsidRDefault="0007422F" w:rsidP="002B2AAA">
                          <w:pPr>
                            <w:pStyle w:val="Copyright-Zeile"/>
                          </w:pPr>
                          <w:r>
                            <w:t>© 202</w:t>
                          </w:r>
                          <w:r w:rsidR="00E8558B">
                            <w:t>4</w:t>
                          </w:r>
                          <w:r>
                            <w:t xml:space="preserve"> Berlin Economics | All rights reserved.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152EE6" id="_x0000_t202" coordsize="21600,21600" o:spt="202" path="m,l,21600r21600,l21600,xe">
              <v:stroke joinstyle="miter"/>
              <v:path gradientshapeok="t" o:connecttype="rect"/>
            </v:shapetype>
            <v:shape id="Textfeld 14" o:spid="_x0000_s1056" type="#_x0000_t202" style="position:absolute;left:0;text-align:left;margin-left:414.8pt;margin-top:-60.05pt;width:154.85pt;height:15.15pt;rotation:90;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" filled="f" stroked="f">
              <v:textbox inset="0,0,0,0">
                <w:txbxContent>
                  <w:p w14:paraId="0777A6F4" w14:textId="08352345" w:rsidR="0007422F" w:rsidRDefault="0007422F" w:rsidP="002B2AAA">
                    <w:pPr>
                      <w:pStyle w:val="Copyright-Zeile"/>
                    </w:pPr>
                    <w:r>
                      <w:t>© 202</w:t>
                    </w:r>
                    <w:r w:rsidR="00E8558B">
                      <w:t>4</w:t>
                    </w:r>
                    <w:r>
                      <w:t xml:space="preserve"> Berlin Economics | All rights reserved.</w:t>
                    </w:r>
                  </w:p>
                </w:txbxContent>
              </v:textbox>
              <w10:wrap anchorx="margin"/>
            </v:shape>
          </w:pict>
        </mc:Fallback>
      </mc:AlternateContent>
    </w:r>
    <w:r w:rsidR="0007422F">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9FC73" w14:textId="77777777" w:rsidR="0007422F" w:rsidRDefault="0007422F">
    <w:pPr>
      <w:pStyle w:val="Fuzeile"/>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24468" w14:textId="77777777" w:rsidR="00BE06E0" w:rsidRDefault="00BE06E0">
      <w:pPr>
        <w:spacing w:before="120"/>
      </w:pPr>
      <w:r>
        <w:separator/>
      </w:r>
    </w:p>
  </w:footnote>
  <w:footnote w:type="continuationSeparator" w:id="0">
    <w:p w14:paraId="00A07DB7" w14:textId="77777777" w:rsidR="00BE06E0" w:rsidRDefault="00BE06E0">
      <w:pPr>
        <w:spacing w:before="120"/>
      </w:pPr>
      <w:r>
        <w:continuationSeparator/>
      </w:r>
    </w:p>
  </w:footnote>
  <w:footnote w:type="continuationNotice" w:id="1">
    <w:p w14:paraId="2A06180D" w14:textId="77777777" w:rsidR="00BE06E0" w:rsidRDefault="00BE06E0">
      <w:pPr>
        <w:spacing w:before="0" w:line="240" w:lineRule="auto"/>
      </w:pPr>
    </w:p>
  </w:footnote>
  <w:footnote w:id="2">
    <w:p w14:paraId="28B94B04" w14:textId="40709299" w:rsidR="00BA1672" w:rsidRPr="00BA1672" w:rsidRDefault="00BA1672">
      <w:pPr>
        <w:pStyle w:val="Funotentext"/>
        <w:rPr>
          <w:lang w:val="en-GB"/>
        </w:rPr>
      </w:pPr>
      <w:r>
        <w:rPr>
          <w:rStyle w:val="Funotenzeichen"/>
        </w:rPr>
        <w:footnoteRef/>
      </w:r>
      <w:r w:rsidRPr="00BA1672">
        <w:rPr>
          <w:lang w:val="en-GB"/>
        </w:rPr>
        <w:t xml:space="preserve"> </w:t>
      </w:r>
      <w:r>
        <w:rPr>
          <w:lang w:val="en-GB"/>
        </w:rPr>
        <w:t>IMF, World Economic Outlook (</w:t>
      </w:r>
      <w:r w:rsidRPr="00425C17">
        <w:rPr>
          <w:lang w:val="en-GB"/>
        </w:rPr>
        <w:t>April 2024</w:t>
      </w:r>
      <w:r>
        <w:rPr>
          <w:lang w:val="en-GB"/>
        </w:rPr>
        <w:t xml:space="preserve">). – </w:t>
      </w:r>
      <w:r w:rsidRPr="002F4AF1">
        <w:rPr>
          <w:i/>
          <w:iCs/>
          <w:lang w:val="en-GB"/>
        </w:rPr>
        <w:t xml:space="preserve">Gross domestic product, constant </w:t>
      </w:r>
      <w:r w:rsidR="0089297E">
        <w:rPr>
          <w:i/>
          <w:iCs/>
          <w:lang w:val="en-GB"/>
        </w:rPr>
        <w:t xml:space="preserve">2020 </w:t>
      </w:r>
      <w:r w:rsidRPr="002F4AF1">
        <w:rPr>
          <w:i/>
          <w:iCs/>
          <w:lang w:val="en-GB"/>
        </w:rPr>
        <w:t>prices, national currency.</w:t>
      </w:r>
    </w:p>
  </w:footnote>
  <w:footnote w:id="3">
    <w:p w14:paraId="0111200C" w14:textId="3315170A" w:rsidR="00EA70C5" w:rsidRPr="00EA70C5" w:rsidRDefault="00EA70C5">
      <w:pPr>
        <w:pStyle w:val="Funotentext"/>
        <w:rPr>
          <w:lang w:val="en-GB"/>
        </w:rPr>
      </w:pPr>
      <w:r>
        <w:rPr>
          <w:rStyle w:val="Funotenzeichen"/>
        </w:rPr>
        <w:footnoteRef/>
      </w:r>
      <w:r w:rsidRPr="00EA70C5">
        <w:rPr>
          <w:lang w:val="en-GB"/>
        </w:rPr>
        <w:t xml:space="preserve"> </w:t>
      </w:r>
      <w:r w:rsidR="00191132">
        <w:rPr>
          <w:lang w:val="en-GB"/>
        </w:rPr>
        <w:t xml:space="preserve">Equivalent to USD </w:t>
      </w:r>
      <w:r w:rsidR="00BB50AE">
        <w:rPr>
          <w:lang w:val="en-GB"/>
        </w:rPr>
        <w:t>17</w:t>
      </w:r>
      <w:r w:rsidR="00D949EA">
        <w:rPr>
          <w:lang w:val="en-GB"/>
        </w:rPr>
        <w:t>.</w:t>
      </w:r>
      <w:r w:rsidR="00BB50AE">
        <w:rPr>
          <w:lang w:val="en-GB"/>
        </w:rPr>
        <w:t xml:space="preserve">5 </w:t>
      </w:r>
      <w:r w:rsidR="0006596F">
        <w:rPr>
          <w:lang w:val="en-GB"/>
        </w:rPr>
        <w:t>b</w:t>
      </w:r>
      <w:r w:rsidR="00D32FEB">
        <w:rPr>
          <w:lang w:val="en-GB"/>
        </w:rPr>
        <w:t>n</w:t>
      </w:r>
      <w:r w:rsidR="0006596F">
        <w:rPr>
          <w:lang w:val="en-GB"/>
        </w:rPr>
        <w:t xml:space="preserve"> </w:t>
      </w:r>
      <w:r w:rsidR="00BB50AE">
        <w:rPr>
          <w:lang w:val="en-GB"/>
        </w:rPr>
        <w:t xml:space="preserve">in 2000, </w:t>
      </w:r>
      <w:r w:rsidR="00D949EA">
        <w:rPr>
          <w:lang w:val="en-GB"/>
        </w:rPr>
        <w:t xml:space="preserve">USD </w:t>
      </w:r>
      <w:r w:rsidR="00E63969">
        <w:rPr>
          <w:lang w:val="en-GB"/>
        </w:rPr>
        <w:t>72</w:t>
      </w:r>
      <w:r w:rsidR="00D949EA">
        <w:rPr>
          <w:lang w:val="en-GB"/>
        </w:rPr>
        <w:t>.</w:t>
      </w:r>
      <w:r w:rsidR="00AB5A84">
        <w:rPr>
          <w:lang w:val="en-GB"/>
        </w:rPr>
        <w:t xml:space="preserve">7 bn in 2023 and </w:t>
      </w:r>
      <w:r w:rsidR="00D949EA">
        <w:rPr>
          <w:lang w:val="en-GB"/>
        </w:rPr>
        <w:t xml:space="preserve">USD </w:t>
      </w:r>
      <w:r w:rsidR="00AB5A84">
        <w:rPr>
          <w:lang w:val="en-GB"/>
        </w:rPr>
        <w:t>105</w:t>
      </w:r>
      <w:r w:rsidR="00D949EA">
        <w:rPr>
          <w:lang w:val="en-GB"/>
        </w:rPr>
        <w:t>.4 bn in 2030 (constant 2020-USD).</w:t>
      </w:r>
    </w:p>
  </w:footnote>
  <w:footnote w:id="4">
    <w:p w14:paraId="012094D5" w14:textId="58CE53F4" w:rsidR="00AD6820" w:rsidRPr="0015411C" w:rsidRDefault="00AD6820">
      <w:pPr>
        <w:pStyle w:val="Funotentext"/>
        <w:rPr>
          <w:lang w:val="en-GB"/>
        </w:rPr>
      </w:pPr>
      <w:r>
        <w:rPr>
          <w:rStyle w:val="Funotenzeichen"/>
        </w:rPr>
        <w:footnoteRef/>
      </w:r>
      <w:r w:rsidRPr="0015411C">
        <w:rPr>
          <w:lang w:val="en-GB"/>
        </w:rPr>
        <w:t xml:space="preserve"> </w:t>
      </w:r>
      <w:r w:rsidR="0015411C" w:rsidRPr="0015411C">
        <w:rPr>
          <w:lang w:val="en-GB"/>
        </w:rPr>
        <w:t>Cabinet of Ministers of the Republic of Uzbekistan. (</w:t>
      </w:r>
      <w:r w:rsidR="00F04D41">
        <w:rPr>
          <w:lang w:val="en-GB"/>
        </w:rPr>
        <w:t xml:space="preserve">15 </w:t>
      </w:r>
      <w:r w:rsidR="0023661B" w:rsidRPr="0015411C">
        <w:rPr>
          <w:lang w:val="en-GB"/>
        </w:rPr>
        <w:t>September</w:t>
      </w:r>
      <w:r w:rsidR="0023661B">
        <w:rPr>
          <w:lang w:val="en-GB"/>
        </w:rPr>
        <w:t xml:space="preserve"> </w:t>
      </w:r>
      <w:r w:rsidR="0015411C" w:rsidRPr="0015411C">
        <w:rPr>
          <w:lang w:val="en-GB"/>
        </w:rPr>
        <w:t xml:space="preserve">2023). </w:t>
      </w:r>
      <w:hyperlink r:id="rId1" w:history="1">
        <w:r w:rsidR="0015411C" w:rsidRPr="00AC0D44">
          <w:rPr>
            <w:rStyle w:val="Hyperlink"/>
            <w:rFonts w:cs="Times New Roman"/>
            <w:lang w:val="en-GB"/>
          </w:rPr>
          <w:t>On additional measures to introduce market mechanisms in the fuel and energy sector (Resolution No. 475).</w:t>
        </w:r>
      </w:hyperlink>
      <w:r w:rsidR="0015411C" w:rsidRPr="0015411C">
        <w:rPr>
          <w:lang w:val="en-GB"/>
        </w:rPr>
        <w:t xml:space="preserve"> National Legal Information </w:t>
      </w:r>
      <w:proofErr w:type="spellStart"/>
      <w:r w:rsidR="0015411C" w:rsidRPr="0015411C">
        <w:rPr>
          <w:lang w:val="en-GB"/>
        </w:rPr>
        <w:t>Center</w:t>
      </w:r>
      <w:proofErr w:type="spellEnd"/>
      <w:r w:rsidR="0015411C" w:rsidRPr="0015411C">
        <w:rPr>
          <w:lang w:val="en-GB"/>
        </w:rPr>
        <w:t xml:space="preserve"> "Adolat". </w:t>
      </w:r>
    </w:p>
  </w:footnote>
  <w:footnote w:id="5">
    <w:p w14:paraId="2AEA4952" w14:textId="0062C785" w:rsidR="00AD6820" w:rsidRPr="004214BA" w:rsidRDefault="00AD6820">
      <w:pPr>
        <w:pStyle w:val="Funotentext"/>
        <w:rPr>
          <w:lang w:val="en-GB"/>
        </w:rPr>
      </w:pPr>
      <w:r>
        <w:rPr>
          <w:rStyle w:val="Funotenzeichen"/>
        </w:rPr>
        <w:footnoteRef/>
      </w:r>
      <w:r w:rsidRPr="004214BA">
        <w:rPr>
          <w:lang w:val="en-GB"/>
        </w:rPr>
        <w:t xml:space="preserve"> </w:t>
      </w:r>
      <w:r w:rsidR="004214BA" w:rsidRPr="004214BA">
        <w:rPr>
          <w:lang w:val="en-GB"/>
        </w:rPr>
        <w:t>President of the Republic of Uzbekistan. (</w:t>
      </w:r>
      <w:r w:rsidR="00F04D41">
        <w:rPr>
          <w:lang w:val="en-GB"/>
        </w:rPr>
        <w:t xml:space="preserve">28 </w:t>
      </w:r>
      <w:r w:rsidR="0023661B" w:rsidRPr="004214BA">
        <w:rPr>
          <w:lang w:val="en-GB"/>
        </w:rPr>
        <w:t>September</w:t>
      </w:r>
      <w:r w:rsidR="0023661B">
        <w:rPr>
          <w:lang w:val="en-GB"/>
        </w:rPr>
        <w:t xml:space="preserve"> </w:t>
      </w:r>
      <w:r w:rsidR="004214BA" w:rsidRPr="004214BA">
        <w:rPr>
          <w:lang w:val="en-GB"/>
        </w:rPr>
        <w:t xml:space="preserve">2023). </w:t>
      </w:r>
      <w:hyperlink r:id="rId2" w:history="1">
        <w:r w:rsidR="004214BA" w:rsidRPr="00AC0D44">
          <w:rPr>
            <w:rStyle w:val="Hyperlink"/>
            <w:rFonts w:cs="Times New Roman"/>
            <w:lang w:val="en-GB"/>
          </w:rPr>
          <w:t>On measures to implement the next stage of reforms in the energy sector (Decree No. PF-166).</w:t>
        </w:r>
      </w:hyperlink>
      <w:r w:rsidR="004214BA" w:rsidRPr="004214BA">
        <w:rPr>
          <w:lang w:val="en-GB"/>
        </w:rPr>
        <w:t xml:space="preserve"> National Legal Information </w:t>
      </w:r>
      <w:proofErr w:type="spellStart"/>
      <w:r w:rsidR="004214BA" w:rsidRPr="004214BA">
        <w:rPr>
          <w:lang w:val="en-GB"/>
        </w:rPr>
        <w:t>Center</w:t>
      </w:r>
      <w:proofErr w:type="spellEnd"/>
      <w:r w:rsidR="004214BA" w:rsidRPr="004214BA">
        <w:rPr>
          <w:lang w:val="en-GB"/>
        </w:rPr>
        <w:t xml:space="preserve"> "Adolat". </w:t>
      </w:r>
    </w:p>
  </w:footnote>
  <w:footnote w:id="6">
    <w:p w14:paraId="36DC2A86" w14:textId="220A9255" w:rsidR="00E20C0A" w:rsidRPr="00992C4B" w:rsidRDefault="00E20C0A" w:rsidP="00E20C0A">
      <w:pPr>
        <w:pStyle w:val="Funotentext"/>
        <w:rPr>
          <w:lang w:val="en-GB"/>
        </w:rPr>
      </w:pPr>
      <w:r>
        <w:rPr>
          <w:rStyle w:val="Funotenzeichen"/>
        </w:rPr>
        <w:footnoteRef/>
      </w:r>
      <w:r w:rsidRPr="008647DD">
        <w:t xml:space="preserve"> </w:t>
      </w:r>
      <w:r w:rsidR="00C834DC" w:rsidRPr="008647DD">
        <w:t xml:space="preserve">Mir, A. A., Alghassab, M., Ullah, K., Khan, Z. A., Lu, Y., &amp; Imran, M. (2020). </w:t>
      </w:r>
      <w:r w:rsidR="00C834DC" w:rsidRPr="00C834DC">
        <w:rPr>
          <w:lang w:val="en-GB"/>
        </w:rPr>
        <w:t xml:space="preserve">A review of electricity demand forecasting in </w:t>
      </w:r>
      <w:proofErr w:type="gramStart"/>
      <w:r w:rsidR="00C834DC" w:rsidRPr="00C834DC">
        <w:rPr>
          <w:lang w:val="en-GB"/>
        </w:rPr>
        <w:t>low and middle income</w:t>
      </w:r>
      <w:proofErr w:type="gramEnd"/>
      <w:r w:rsidR="00C834DC" w:rsidRPr="00C834DC">
        <w:rPr>
          <w:lang w:val="en-GB"/>
        </w:rPr>
        <w:t xml:space="preserve"> countries: The demand determinants and horizons. </w:t>
      </w:r>
      <w:r w:rsidR="00C834DC" w:rsidRPr="00C834DC">
        <w:rPr>
          <w:i/>
          <w:iCs/>
          <w:lang w:val="en-GB"/>
        </w:rPr>
        <w:t>Sustainability</w:t>
      </w:r>
      <w:r w:rsidR="00C834DC" w:rsidRPr="00C834DC">
        <w:rPr>
          <w:lang w:val="en-GB"/>
        </w:rPr>
        <w:t>, </w:t>
      </w:r>
      <w:r w:rsidR="00C834DC" w:rsidRPr="00C834DC">
        <w:rPr>
          <w:i/>
          <w:iCs/>
          <w:lang w:val="en-GB"/>
        </w:rPr>
        <w:t>12</w:t>
      </w:r>
      <w:r w:rsidR="00C834DC" w:rsidRPr="00C834DC">
        <w:rPr>
          <w:lang w:val="en-GB"/>
        </w:rPr>
        <w:t>(15), 5931.</w:t>
      </w:r>
    </w:p>
  </w:footnote>
  <w:footnote w:id="7">
    <w:p w14:paraId="650D017F" w14:textId="77777777" w:rsidR="008A51A2" w:rsidRPr="00B96B3C" w:rsidRDefault="008A51A2" w:rsidP="008A51A2">
      <w:pPr>
        <w:pStyle w:val="Funotentext"/>
        <w:rPr>
          <w:lang w:val="en-GB"/>
        </w:rPr>
      </w:pPr>
      <w:r>
        <w:rPr>
          <w:rStyle w:val="Funotenzeichen"/>
        </w:rPr>
        <w:footnoteRef/>
      </w:r>
      <w:r w:rsidRPr="00C26C96">
        <w:rPr>
          <w:lang w:val="en-GB"/>
        </w:rPr>
        <w:t xml:space="preserve"> </w:t>
      </w:r>
      <w:hyperlink r:id="rId3" w:history="1">
        <w:r w:rsidRPr="00B96B3C">
          <w:rPr>
            <w:rStyle w:val="Hyperlink"/>
            <w:rFonts w:cs="Times New Roman"/>
            <w:lang w:val="en-GB"/>
          </w:rPr>
          <w:t>Low-Emission Analysis Platform (LEAP)</w:t>
        </w:r>
      </w:hyperlink>
    </w:p>
  </w:footnote>
  <w:footnote w:id="8">
    <w:p w14:paraId="408EED19" w14:textId="7BD8C7EB" w:rsidR="0027690B" w:rsidRPr="0027690B" w:rsidRDefault="0027690B">
      <w:pPr>
        <w:pStyle w:val="Funotentext"/>
        <w:rPr>
          <w:lang w:val="en-GB"/>
        </w:rPr>
      </w:pPr>
      <w:r>
        <w:rPr>
          <w:rStyle w:val="Funotenzeichen"/>
        </w:rPr>
        <w:footnoteRef/>
      </w:r>
      <w:r w:rsidRPr="00D759C4">
        <w:rPr>
          <w:lang w:val="en-GB"/>
        </w:rPr>
        <w:t xml:space="preserve"> </w:t>
      </w:r>
      <w:r w:rsidR="004D761F" w:rsidRPr="00D759C4">
        <w:rPr>
          <w:lang w:val="en-GB"/>
        </w:rPr>
        <w:t>Mir</w:t>
      </w:r>
      <w:r w:rsidR="00F76302" w:rsidRPr="00D759C4">
        <w:rPr>
          <w:lang w:val="en-GB"/>
        </w:rPr>
        <w:t xml:space="preserve"> et al</w:t>
      </w:r>
      <w:r w:rsidR="004D761F" w:rsidRPr="00D759C4">
        <w:rPr>
          <w:lang w:val="en-GB"/>
        </w:rPr>
        <w:t xml:space="preserve">. (2020). </w:t>
      </w:r>
      <w:r w:rsidR="004D761F" w:rsidRPr="004D761F">
        <w:rPr>
          <w:lang w:val="en-GB"/>
        </w:rPr>
        <w:t>A review of electricity demand forecasting in low</w:t>
      </w:r>
      <w:r w:rsidR="000C093F" w:rsidRPr="004D761F">
        <w:rPr>
          <w:lang w:val="en-GB"/>
        </w:rPr>
        <w:t>-</w:t>
      </w:r>
      <w:r w:rsidR="004D761F" w:rsidRPr="004D761F">
        <w:rPr>
          <w:lang w:val="en-GB"/>
        </w:rPr>
        <w:t xml:space="preserve"> and middle</w:t>
      </w:r>
      <w:r w:rsidR="000C093F" w:rsidRPr="004D761F">
        <w:rPr>
          <w:lang w:val="en-GB"/>
        </w:rPr>
        <w:t>-</w:t>
      </w:r>
      <w:r w:rsidR="004D761F" w:rsidRPr="004D761F">
        <w:rPr>
          <w:lang w:val="en-GB"/>
        </w:rPr>
        <w:t>income countries: The demand determinants and horizons. </w:t>
      </w:r>
      <w:r w:rsidR="004D761F" w:rsidRPr="004D761F">
        <w:rPr>
          <w:i/>
          <w:iCs/>
          <w:lang w:val="en-GB"/>
        </w:rPr>
        <w:t>Sustainability</w:t>
      </w:r>
      <w:r w:rsidR="004D761F" w:rsidRPr="0056331D">
        <w:rPr>
          <w:lang w:val="en-GB"/>
        </w:rPr>
        <w:t>, 12(</w:t>
      </w:r>
      <w:r w:rsidR="004D761F" w:rsidRPr="004D761F">
        <w:rPr>
          <w:lang w:val="en-GB"/>
        </w:rPr>
        <w:t>15), 5931.</w:t>
      </w:r>
    </w:p>
  </w:footnote>
  <w:footnote w:id="9">
    <w:p w14:paraId="09481EDD" w14:textId="2998F8EE" w:rsidR="007D7DBD" w:rsidRPr="007D7DBD" w:rsidRDefault="007D7DBD">
      <w:pPr>
        <w:pStyle w:val="Funotentext"/>
        <w:rPr>
          <w:lang w:val="en-GB"/>
        </w:rPr>
      </w:pPr>
      <w:r>
        <w:rPr>
          <w:rStyle w:val="Funotenzeichen"/>
        </w:rPr>
        <w:footnoteRef/>
      </w:r>
      <w:r w:rsidRPr="007D7DBD">
        <w:rPr>
          <w:lang w:val="en-GB"/>
        </w:rPr>
        <w:t xml:space="preserve"> </w:t>
      </w:r>
      <w:proofErr w:type="spellStart"/>
      <w:r w:rsidRPr="007D7DBD">
        <w:rPr>
          <w:lang w:val="en-GB"/>
        </w:rPr>
        <w:t>Steinbuks</w:t>
      </w:r>
      <w:proofErr w:type="spellEnd"/>
      <w:r w:rsidR="00F76302">
        <w:rPr>
          <w:lang w:val="en-GB"/>
        </w:rPr>
        <w:t xml:space="preserve"> et al</w:t>
      </w:r>
      <w:r w:rsidRPr="007D7DBD">
        <w:rPr>
          <w:lang w:val="en-GB"/>
        </w:rPr>
        <w:t>. (2017). Forecasting Electricity Demand: An Aid for Practitioners. </w:t>
      </w:r>
      <w:r w:rsidRPr="007D7DBD">
        <w:rPr>
          <w:i/>
          <w:iCs/>
          <w:lang w:val="en-GB"/>
        </w:rPr>
        <w:t>Live Wire</w:t>
      </w:r>
      <w:r w:rsidRPr="007D7DBD">
        <w:rPr>
          <w:lang w:val="en-GB"/>
        </w:rPr>
        <w:t>, </w:t>
      </w:r>
      <w:r w:rsidRPr="007D7DBD">
        <w:rPr>
          <w:i/>
          <w:iCs/>
          <w:lang w:val="en-GB"/>
        </w:rPr>
        <w:t>1</w:t>
      </w:r>
      <w:r w:rsidRPr="007D7DBD">
        <w:rPr>
          <w:lang w:val="en-GB"/>
        </w:rPr>
        <w:t>.</w:t>
      </w:r>
    </w:p>
  </w:footnote>
  <w:footnote w:id="10">
    <w:p w14:paraId="6C451171" w14:textId="41FA05DF" w:rsidR="00496A27" w:rsidRPr="009202F3" w:rsidRDefault="00496A27">
      <w:pPr>
        <w:pStyle w:val="Funotentext"/>
        <w:rPr>
          <w:lang w:val="en-GB"/>
        </w:rPr>
      </w:pPr>
      <w:r w:rsidRPr="00F76302">
        <w:rPr>
          <w:rStyle w:val="Funotenzeichen"/>
        </w:rPr>
        <w:footnoteRef/>
      </w:r>
      <w:r w:rsidRPr="00F76302">
        <w:rPr>
          <w:lang w:val="en-GB"/>
        </w:rPr>
        <w:t xml:space="preserve"> Das, Dey. (2021). Forecasting Long-term Electricity Demand: Evolution from Experience-Based Techniques to Sophisticated Artificial Intelligence (AI) Models. In </w:t>
      </w:r>
      <w:r w:rsidRPr="00F76302">
        <w:rPr>
          <w:i/>
          <w:iCs/>
          <w:lang w:val="en-GB"/>
        </w:rPr>
        <w:t>Computational Management: Applications of Computational Intelligence in Business Management</w:t>
      </w:r>
      <w:r w:rsidRPr="00F76302">
        <w:rPr>
          <w:lang w:val="en-GB"/>
        </w:rPr>
        <w:t> (pp. 553-586). Cham: Springer International Publishing.</w:t>
      </w:r>
    </w:p>
  </w:footnote>
  <w:footnote w:id="11">
    <w:p w14:paraId="27782FFE" w14:textId="79D61900" w:rsidR="00E220A7" w:rsidRPr="00E220A7" w:rsidRDefault="00E220A7" w:rsidP="00B27624">
      <w:pPr>
        <w:pStyle w:val="Funotentext"/>
        <w:spacing w:line="240" w:lineRule="auto"/>
        <w:rPr>
          <w:lang w:val="en-GB"/>
        </w:rPr>
      </w:pPr>
      <w:r>
        <w:rPr>
          <w:rStyle w:val="Funotenzeichen"/>
        </w:rPr>
        <w:footnoteRef/>
      </w:r>
      <w:r w:rsidRPr="009202F3">
        <w:rPr>
          <w:lang w:val="en-GB"/>
        </w:rPr>
        <w:t xml:space="preserve"> Chaturvedi</w:t>
      </w:r>
      <w:r w:rsidR="00F76302">
        <w:rPr>
          <w:lang w:val="en-GB"/>
        </w:rPr>
        <w:t xml:space="preserve"> et al. </w:t>
      </w:r>
      <w:r w:rsidRPr="009202F3">
        <w:rPr>
          <w:lang w:val="en-GB"/>
        </w:rPr>
        <w:t xml:space="preserve">(2022). </w:t>
      </w:r>
      <w:r w:rsidRPr="00E220A7">
        <w:rPr>
          <w:lang w:val="en-GB"/>
        </w:rPr>
        <w:t xml:space="preserve">A comparative assessment of SARIMA, LSTM RNN and Fb Prophet models to forecast total and peak monthly energy demand for India. </w:t>
      </w:r>
      <w:r w:rsidRPr="00E90CE1">
        <w:rPr>
          <w:i/>
          <w:iCs/>
          <w:lang w:val="en-GB"/>
        </w:rPr>
        <w:t>Energy Policy</w:t>
      </w:r>
      <w:r w:rsidRPr="00E220A7">
        <w:rPr>
          <w:lang w:val="en-GB"/>
        </w:rPr>
        <w:t>, 168, 113097.</w:t>
      </w:r>
    </w:p>
  </w:footnote>
  <w:footnote w:id="12">
    <w:p w14:paraId="27ADA6E3" w14:textId="77D66999" w:rsidR="00E220A7" w:rsidRPr="00D02A68" w:rsidRDefault="00E220A7" w:rsidP="00B27624">
      <w:pPr>
        <w:pStyle w:val="Funotentext"/>
        <w:spacing w:line="240" w:lineRule="auto"/>
        <w:rPr>
          <w:lang w:val="en-GB"/>
        </w:rPr>
      </w:pPr>
      <w:r>
        <w:rPr>
          <w:rStyle w:val="Funotenzeichen"/>
        </w:rPr>
        <w:footnoteRef/>
      </w:r>
      <w:r w:rsidRPr="00B27624">
        <w:rPr>
          <w:lang w:val="en-GB"/>
        </w:rPr>
        <w:t xml:space="preserve"> </w:t>
      </w:r>
      <w:r w:rsidR="00B27624" w:rsidRPr="00B27624">
        <w:rPr>
          <w:lang w:val="en-GB"/>
        </w:rPr>
        <w:t>Maleki</w:t>
      </w:r>
      <w:r w:rsidR="00F76302">
        <w:rPr>
          <w:lang w:val="en-GB"/>
        </w:rPr>
        <w:t xml:space="preserve"> et al. </w:t>
      </w:r>
      <w:r w:rsidR="00B27624" w:rsidRPr="00B27624">
        <w:rPr>
          <w:lang w:val="en-GB"/>
        </w:rPr>
        <w:t xml:space="preserve">(2024). Future energy insights: Time-series and deep learning models for city load forecasting. </w:t>
      </w:r>
      <w:r w:rsidR="00B27624" w:rsidRPr="00E90CE1">
        <w:rPr>
          <w:i/>
          <w:iCs/>
          <w:lang w:val="en-GB"/>
        </w:rPr>
        <w:t>Applied Energy</w:t>
      </w:r>
      <w:r w:rsidR="00B27624" w:rsidRPr="00D02A68">
        <w:rPr>
          <w:lang w:val="en-GB"/>
        </w:rPr>
        <w:t>, 374, 124067.</w:t>
      </w:r>
    </w:p>
  </w:footnote>
  <w:footnote w:id="13">
    <w:p w14:paraId="3D3D0C06" w14:textId="77564C1F" w:rsidR="00E27C94" w:rsidRPr="00E27C94" w:rsidRDefault="00E27C94" w:rsidP="00B27624">
      <w:pPr>
        <w:pStyle w:val="Funotentext"/>
        <w:spacing w:line="240" w:lineRule="auto"/>
        <w:rPr>
          <w:lang w:val="en-GB"/>
        </w:rPr>
      </w:pPr>
      <w:r>
        <w:rPr>
          <w:rStyle w:val="Funotenzeichen"/>
        </w:rPr>
        <w:footnoteRef/>
      </w:r>
      <w:r w:rsidRPr="00E27C94">
        <w:rPr>
          <w:lang w:val="en-GB"/>
        </w:rPr>
        <w:t xml:space="preserve"> </w:t>
      </w:r>
      <w:r>
        <w:rPr>
          <w:lang w:val="en-GB"/>
        </w:rPr>
        <w:t xml:space="preserve">Detailed Prophet model specifications are provided in the </w:t>
      </w:r>
      <w:r w:rsidR="00722D50">
        <w:rPr>
          <w:lang w:val="en-GB"/>
        </w:rPr>
        <w:t>a</w:t>
      </w:r>
      <w:r>
        <w:rPr>
          <w:lang w:val="en-GB"/>
        </w:rPr>
        <w:t>nnex.</w:t>
      </w:r>
    </w:p>
  </w:footnote>
  <w:footnote w:id="14">
    <w:p w14:paraId="5258272E" w14:textId="49241C1D" w:rsidR="00425C17" w:rsidRPr="00425C17" w:rsidRDefault="00425C17">
      <w:pPr>
        <w:pStyle w:val="Funotentext"/>
        <w:rPr>
          <w:lang w:val="en-GB"/>
        </w:rPr>
      </w:pPr>
      <w:r>
        <w:rPr>
          <w:rStyle w:val="Funotenzeichen"/>
        </w:rPr>
        <w:footnoteRef/>
      </w:r>
      <w:r w:rsidRPr="00425C17">
        <w:rPr>
          <w:lang w:val="en-GB"/>
        </w:rPr>
        <w:t xml:space="preserve"> </w:t>
      </w:r>
      <w:r>
        <w:rPr>
          <w:lang w:val="en-GB"/>
        </w:rPr>
        <w:t>IMF</w:t>
      </w:r>
      <w:r w:rsidR="00781450">
        <w:rPr>
          <w:lang w:val="en-GB"/>
        </w:rPr>
        <w:t>, World Economic Outlook</w:t>
      </w:r>
      <w:r>
        <w:rPr>
          <w:lang w:val="en-GB"/>
        </w:rPr>
        <w:t xml:space="preserve"> (</w:t>
      </w:r>
      <w:r w:rsidRPr="00425C17">
        <w:rPr>
          <w:lang w:val="en-GB"/>
        </w:rPr>
        <w:t>April 2024</w:t>
      </w:r>
      <w:r>
        <w:rPr>
          <w:lang w:val="en-GB"/>
        </w:rPr>
        <w:t xml:space="preserve">). </w:t>
      </w:r>
      <w:r w:rsidR="006E08FC">
        <w:rPr>
          <w:lang w:val="en-GB"/>
        </w:rPr>
        <w:t xml:space="preserve">– </w:t>
      </w:r>
      <w:r w:rsidR="006E08FC" w:rsidRPr="002F4AF1">
        <w:rPr>
          <w:i/>
          <w:iCs/>
          <w:lang w:val="en-GB"/>
        </w:rPr>
        <w:t xml:space="preserve">Gross domestic product, constant prices, </w:t>
      </w:r>
      <w:r w:rsidR="002F4AF1" w:rsidRPr="002F4AF1">
        <w:rPr>
          <w:i/>
          <w:iCs/>
          <w:lang w:val="en-GB"/>
        </w:rPr>
        <w:t>national</w:t>
      </w:r>
      <w:r w:rsidR="006E08FC" w:rsidRPr="002F4AF1">
        <w:rPr>
          <w:i/>
          <w:iCs/>
          <w:lang w:val="en-GB"/>
        </w:rPr>
        <w:t xml:space="preserve"> currency.</w:t>
      </w:r>
    </w:p>
  </w:footnote>
  <w:footnote w:id="15">
    <w:p w14:paraId="24B54477" w14:textId="11E469A7" w:rsidR="00EB40A0" w:rsidRPr="00EB40A0" w:rsidRDefault="00EB40A0">
      <w:pPr>
        <w:pStyle w:val="Funotentext"/>
        <w:rPr>
          <w:lang w:val="en-GB"/>
        </w:rPr>
      </w:pPr>
      <w:r>
        <w:rPr>
          <w:rStyle w:val="Funotenzeichen"/>
        </w:rPr>
        <w:footnoteRef/>
      </w:r>
      <w:r w:rsidRPr="00EB40A0">
        <w:rPr>
          <w:lang w:val="en-GB"/>
        </w:rPr>
        <w:t xml:space="preserve"> </w:t>
      </w:r>
      <w:r>
        <w:rPr>
          <w:lang w:val="en-GB"/>
        </w:rPr>
        <w:t xml:space="preserve">Reuters (2017). </w:t>
      </w:r>
      <w:r w:rsidR="000A0233" w:rsidRPr="000A0233">
        <w:rPr>
          <w:lang w:val="en-GB"/>
        </w:rPr>
        <w:t>Uzbek president says economic data was 'fiction' for years</w:t>
      </w:r>
      <w:r>
        <w:rPr>
          <w:lang w:val="en-GB"/>
        </w:rPr>
        <w:t xml:space="preserve">. Retrieved on </w:t>
      </w:r>
      <w:r w:rsidR="00E8558B">
        <w:rPr>
          <w:lang w:val="en-GB"/>
        </w:rPr>
        <w:t xml:space="preserve">10 </w:t>
      </w:r>
      <w:r>
        <w:rPr>
          <w:lang w:val="en-GB"/>
        </w:rPr>
        <w:t>October 2024 from</w:t>
      </w:r>
      <w:r w:rsidR="00176B39">
        <w:rPr>
          <w:lang w:val="en-GB"/>
        </w:rPr>
        <w:t xml:space="preserve"> </w:t>
      </w:r>
      <w:hyperlink r:id="rId4" w:history="1">
        <w:r w:rsidR="00176B39" w:rsidRPr="00176B39">
          <w:rPr>
            <w:rStyle w:val="Hyperlink"/>
            <w:rFonts w:cs="Times New Roman"/>
            <w:lang w:val="en-GB"/>
          </w:rPr>
          <w:t>https://www.reuters.com/article/us-uzbekistan-economy-idUSKBN1EG24T/</w:t>
        </w:r>
      </w:hyperlink>
      <w:r w:rsidR="00176B39">
        <w:rPr>
          <w:lang w:val="en-GB"/>
        </w:rPr>
        <w:t>.</w:t>
      </w:r>
    </w:p>
  </w:footnote>
  <w:footnote w:id="16">
    <w:p w14:paraId="070FD42B" w14:textId="1828D027" w:rsidR="00287BBF" w:rsidRPr="00287BBF" w:rsidRDefault="00287BBF">
      <w:pPr>
        <w:pStyle w:val="Funotentext"/>
        <w:rPr>
          <w:lang w:val="en-GB"/>
        </w:rPr>
      </w:pPr>
      <w:r>
        <w:rPr>
          <w:rStyle w:val="Funotenzeichen"/>
        </w:rPr>
        <w:footnoteRef/>
      </w:r>
      <w:r w:rsidRPr="00287BBF">
        <w:rPr>
          <w:lang w:val="en-GB"/>
        </w:rPr>
        <w:t xml:space="preserve"> </w:t>
      </w:r>
      <w:r>
        <w:rPr>
          <w:lang w:val="en-GB"/>
        </w:rPr>
        <w:t xml:space="preserve">Results are robust to this adjustment: </w:t>
      </w:r>
      <w:r w:rsidR="00022C74" w:rsidRPr="00022C74">
        <w:rPr>
          <w:lang w:val="en-GB"/>
        </w:rPr>
        <w:t>forecasts remain closely aligned when using unadjusted GDP data or when reducing growth rates by 3% or 5%</w:t>
      </w:r>
      <w:r w:rsidR="00022C74">
        <w:rPr>
          <w:lang w:val="en-GB"/>
        </w:rPr>
        <w:t xml:space="preserve"> prior to 2017</w:t>
      </w:r>
      <w:r w:rsidR="00022C74" w:rsidRPr="00022C74">
        <w:rPr>
          <w:lang w:val="en-GB"/>
        </w:rPr>
        <w:t>.</w:t>
      </w:r>
    </w:p>
  </w:footnote>
  <w:footnote w:id="17">
    <w:p w14:paraId="64E99258" w14:textId="77777777" w:rsidR="006E3CAF" w:rsidRPr="00B573FB" w:rsidRDefault="006E3CAF" w:rsidP="006E3CAF">
      <w:pPr>
        <w:pStyle w:val="Funotentext"/>
        <w:rPr>
          <w:lang w:val="en-GB"/>
        </w:rPr>
      </w:pPr>
      <w:r>
        <w:rPr>
          <w:rStyle w:val="Funotenzeichen"/>
        </w:rPr>
        <w:footnoteRef/>
      </w:r>
      <w:r w:rsidRPr="00B573FB">
        <w:rPr>
          <w:lang w:val="en-GB"/>
        </w:rPr>
        <w:t xml:space="preserve"> Ministry o</w:t>
      </w:r>
      <w:r>
        <w:rPr>
          <w:lang w:val="en-GB"/>
        </w:rPr>
        <w:t xml:space="preserve">f Energy of Uzbekistan (2020). </w:t>
      </w:r>
      <w:r w:rsidRPr="008035B9">
        <w:rPr>
          <w:lang w:val="en-GB"/>
        </w:rPr>
        <w:t>Concept note for ensuring electricity supply in Uzbekistan in 2020-2030.</w:t>
      </w:r>
    </w:p>
  </w:footnote>
  <w:footnote w:id="18">
    <w:p w14:paraId="52FC125A" w14:textId="7B3FDA0F" w:rsidR="00AF41E3" w:rsidRPr="00AF41E3" w:rsidRDefault="00AF41E3">
      <w:pPr>
        <w:pStyle w:val="Funotentext"/>
        <w:rPr>
          <w:lang w:val="en-GB"/>
        </w:rPr>
      </w:pPr>
      <w:r>
        <w:rPr>
          <w:rStyle w:val="Funotenzeichen"/>
        </w:rPr>
        <w:footnoteRef/>
      </w:r>
      <w:r w:rsidRPr="00AF41E3">
        <w:rPr>
          <w:lang w:val="en-GB"/>
        </w:rPr>
        <w:t xml:space="preserve"> </w:t>
      </w:r>
      <w:r>
        <w:rPr>
          <w:lang w:val="en-GB"/>
        </w:rPr>
        <w:t>International Energy Agency (IEA)</w:t>
      </w:r>
      <w:r w:rsidR="00832979">
        <w:rPr>
          <w:lang w:val="en-GB"/>
        </w:rPr>
        <w:t xml:space="preserve">. </w:t>
      </w:r>
      <w:r w:rsidR="00F0092A" w:rsidRPr="00F0092A">
        <w:rPr>
          <w:lang w:val="en-GB"/>
        </w:rPr>
        <w:t>Evolution of electricity final consumption by sector in Uzbekistan since 2000</w:t>
      </w:r>
      <w:r w:rsidR="00445FF3">
        <w:rPr>
          <w:lang w:val="en-GB"/>
        </w:rPr>
        <w:t>.</w:t>
      </w:r>
      <w:r w:rsidR="00573629">
        <w:rPr>
          <w:lang w:val="en-GB"/>
        </w:rPr>
        <w:t xml:space="preserve"> </w:t>
      </w:r>
      <w:r w:rsidR="002A516C">
        <w:rPr>
          <w:lang w:val="en-GB"/>
        </w:rPr>
        <w:t xml:space="preserve">Retrieved on </w:t>
      </w:r>
      <w:r w:rsidR="00E8558B">
        <w:rPr>
          <w:lang w:val="en-GB"/>
        </w:rPr>
        <w:t xml:space="preserve">10 </w:t>
      </w:r>
      <w:r w:rsidR="002A516C">
        <w:rPr>
          <w:lang w:val="en-GB"/>
        </w:rPr>
        <w:t>October</w:t>
      </w:r>
      <w:r w:rsidR="00F126E0">
        <w:rPr>
          <w:lang w:val="en-GB"/>
        </w:rPr>
        <w:t xml:space="preserve"> 2024 from </w:t>
      </w:r>
      <w:hyperlink r:id="rId5" w:history="1">
        <w:r w:rsidR="00F126E0" w:rsidRPr="00F0092A">
          <w:rPr>
            <w:rStyle w:val="Hyperlink"/>
            <w:rFonts w:cs="Times New Roman"/>
            <w:lang w:val="en-GB"/>
          </w:rPr>
          <w:t>https://www.iea.org/countries/uzbekistan/electricity</w:t>
        </w:r>
      </w:hyperlink>
    </w:p>
  </w:footnote>
  <w:footnote w:id="19">
    <w:p w14:paraId="075A12C5" w14:textId="2E233E29" w:rsidR="00DC4E7D" w:rsidRPr="00DC4E7D" w:rsidRDefault="00DC4E7D">
      <w:pPr>
        <w:pStyle w:val="Funotentext"/>
        <w:rPr>
          <w:lang w:val="en-GB"/>
        </w:rPr>
      </w:pPr>
      <w:r>
        <w:rPr>
          <w:rStyle w:val="Funotenzeichen"/>
        </w:rPr>
        <w:footnoteRef/>
      </w:r>
      <w:r w:rsidRPr="00DC4E7D">
        <w:rPr>
          <w:lang w:val="en-GB"/>
        </w:rPr>
        <w:t xml:space="preserve"> Detailed assumptions for these sector-specific drivers are provided in the </w:t>
      </w:r>
      <w:r w:rsidR="009825BE">
        <w:rPr>
          <w:lang w:val="en-GB"/>
        </w:rPr>
        <w:t>A</w:t>
      </w:r>
      <w:r w:rsidRPr="00DC4E7D">
        <w:rPr>
          <w:lang w:val="en-GB"/>
        </w:rPr>
        <w:t>nnex.</w:t>
      </w:r>
    </w:p>
  </w:footnote>
  <w:footnote w:id="20">
    <w:p w14:paraId="2D06F8DC" w14:textId="243BCCDB" w:rsidR="006E39B1" w:rsidRPr="006E39B1" w:rsidRDefault="006E39B1">
      <w:pPr>
        <w:pStyle w:val="Funotentext"/>
        <w:rPr>
          <w:lang w:val="en-GB"/>
        </w:rPr>
      </w:pPr>
      <w:r>
        <w:rPr>
          <w:rStyle w:val="Funotenzeichen"/>
        </w:rPr>
        <w:footnoteRef/>
      </w:r>
      <w:r w:rsidRPr="006E39B1">
        <w:rPr>
          <w:lang w:val="en-GB"/>
        </w:rPr>
        <w:t xml:space="preserve"> </w:t>
      </w:r>
      <w:r>
        <w:rPr>
          <w:lang w:val="en-GB"/>
        </w:rPr>
        <w:t>Detailed assumptions on price elasticities are provided in the Annex.</w:t>
      </w:r>
    </w:p>
  </w:footnote>
  <w:footnote w:id="21">
    <w:p w14:paraId="7B9BD0AB" w14:textId="1E8CED12" w:rsidR="00B67B18" w:rsidRPr="00B67B18" w:rsidRDefault="00B67B18">
      <w:pPr>
        <w:pStyle w:val="Funotentext"/>
        <w:rPr>
          <w:lang w:val="en-GB"/>
        </w:rPr>
      </w:pPr>
      <w:r>
        <w:rPr>
          <w:rStyle w:val="Funotenzeichen"/>
        </w:rPr>
        <w:footnoteRef/>
      </w:r>
      <w:r w:rsidRPr="00B67B18">
        <w:rPr>
          <w:lang w:val="en-GB"/>
        </w:rPr>
        <w:t xml:space="preserve"> </w:t>
      </w:r>
      <w:r w:rsidRPr="00DC4E7D">
        <w:rPr>
          <w:lang w:val="en-GB"/>
        </w:rPr>
        <w:t>Detailed assumptions</w:t>
      </w:r>
      <w:r>
        <w:rPr>
          <w:lang w:val="en-GB"/>
        </w:rPr>
        <w:t xml:space="preserve"> on electricity tariffs are presented in the Annex.</w:t>
      </w:r>
    </w:p>
  </w:footnote>
  <w:footnote w:id="22">
    <w:p w14:paraId="17655A4A" w14:textId="77777777" w:rsidR="00C27076" w:rsidRPr="00464143" w:rsidRDefault="00C27076" w:rsidP="00C27076">
      <w:pPr>
        <w:pStyle w:val="Funotentext"/>
        <w:rPr>
          <w:lang w:val="en-GB"/>
        </w:rPr>
      </w:pPr>
      <w:r>
        <w:rPr>
          <w:rStyle w:val="Funotenzeichen"/>
        </w:rPr>
        <w:footnoteRef/>
      </w:r>
      <w:r w:rsidRPr="00464143">
        <w:rPr>
          <w:lang w:val="en-GB"/>
        </w:rPr>
        <w:t xml:space="preserve"> </w:t>
      </w:r>
      <w:r>
        <w:rPr>
          <w:lang w:val="en-GB"/>
        </w:rPr>
        <w:t xml:space="preserve">Assuming a loss factor of 15% based on the </w:t>
      </w:r>
      <w:hyperlink r:id="rId6" w:history="1">
        <w:r w:rsidRPr="00553525">
          <w:rPr>
            <w:rStyle w:val="Hyperlink"/>
            <w:rFonts w:cs="Times New Roman"/>
            <w:lang w:val="en-GB"/>
          </w:rPr>
          <w:t>Strategy for the Development of Electricity Distribution Networks in the Republic of Uzbekistan until 2025</w:t>
        </w:r>
      </w:hyperlink>
    </w:p>
  </w:footnote>
  <w:footnote w:id="23">
    <w:p w14:paraId="3B8B10B2" w14:textId="2CBF7856" w:rsidR="00D8511D" w:rsidRPr="00D8511D" w:rsidRDefault="00D8511D">
      <w:pPr>
        <w:pStyle w:val="Funotentext"/>
        <w:rPr>
          <w:lang w:val="en-GB"/>
        </w:rPr>
      </w:pPr>
      <w:r>
        <w:rPr>
          <w:rStyle w:val="Funotenzeichen"/>
        </w:rPr>
        <w:footnoteRef/>
      </w:r>
      <w:r w:rsidRPr="00D8511D">
        <w:rPr>
          <w:lang w:val="en-GB"/>
        </w:rPr>
        <w:t xml:space="preserve"> </w:t>
      </w:r>
      <w:r>
        <w:rPr>
          <w:lang w:val="en-GB"/>
        </w:rPr>
        <w:t xml:space="preserve">The estimation is based on the information </w:t>
      </w:r>
      <w:r w:rsidR="00CA1664">
        <w:rPr>
          <w:lang w:val="en-GB"/>
        </w:rPr>
        <w:t xml:space="preserve">available </w:t>
      </w:r>
      <w:r>
        <w:rPr>
          <w:lang w:val="en-GB"/>
        </w:rPr>
        <w:t>as of June-July 2024</w:t>
      </w:r>
      <w:r w:rsidR="00CA1664">
        <w:rPr>
          <w:lang w:val="en-GB"/>
        </w:rPr>
        <w:t xml:space="preserve"> </w:t>
      </w:r>
      <w:r w:rsidR="00286FA0">
        <w:rPr>
          <w:lang w:val="en-GB"/>
        </w:rPr>
        <w:t>and does not include the plans for construction of SMR</w:t>
      </w:r>
      <w:r w:rsidR="001259BB">
        <w:rPr>
          <w:lang w:val="en-GB"/>
        </w:rPr>
        <w:t>s</w:t>
      </w:r>
      <w:r w:rsidR="00CA1664">
        <w:rPr>
          <w:lang w:val="en-GB"/>
        </w:rPr>
        <w:t xml:space="preserve"> </w:t>
      </w:r>
      <w:r w:rsidR="002E475D">
        <w:rPr>
          <w:lang w:val="en-GB"/>
        </w:rPr>
        <w:t xml:space="preserve">given that the feasibility of completion </w:t>
      </w:r>
      <w:r w:rsidR="00C55D30">
        <w:rPr>
          <w:lang w:val="en-GB"/>
        </w:rPr>
        <w:t>by 2030 is unclear</w:t>
      </w:r>
      <w:r w:rsidR="00951568">
        <w:rPr>
          <w:lang w:val="en-GB"/>
        </w:rPr>
        <w:t>.</w:t>
      </w:r>
    </w:p>
  </w:footnote>
  <w:footnote w:id="24">
    <w:p w14:paraId="7BCB9531" w14:textId="7309C622" w:rsidR="005271F9" w:rsidRPr="00C8506C" w:rsidRDefault="005271F9">
      <w:pPr>
        <w:pStyle w:val="Funotentext"/>
        <w:rPr>
          <w:lang w:val="en-GB"/>
        </w:rPr>
      </w:pPr>
      <w:r>
        <w:rPr>
          <w:rStyle w:val="Funotenzeichen"/>
        </w:rPr>
        <w:footnoteRef/>
      </w:r>
      <w:r w:rsidRPr="00C8506C">
        <w:rPr>
          <w:lang w:val="en-GB"/>
        </w:rPr>
        <w:t xml:space="preserve"> </w:t>
      </w:r>
      <w:r w:rsidR="00C8506C" w:rsidRPr="00C8506C">
        <w:rPr>
          <w:lang w:val="en-GB"/>
        </w:rPr>
        <w:t>Development S</w:t>
      </w:r>
      <w:r w:rsidR="00C8506C">
        <w:rPr>
          <w:lang w:val="en-GB"/>
        </w:rPr>
        <w:t>trategy of Uzbekistan for 2022-2026</w:t>
      </w:r>
      <w:r w:rsidR="00190894">
        <w:rPr>
          <w:lang w:val="en-GB"/>
        </w:rPr>
        <w:t>.</w:t>
      </w:r>
    </w:p>
  </w:footnote>
  <w:footnote w:id="25">
    <w:p w14:paraId="6118F99D" w14:textId="340701F6" w:rsidR="001007EC" w:rsidRPr="001007EC" w:rsidRDefault="001007EC">
      <w:pPr>
        <w:pStyle w:val="Funotentext"/>
        <w:rPr>
          <w:lang w:val="en-GB"/>
        </w:rPr>
      </w:pPr>
      <w:r>
        <w:rPr>
          <w:rStyle w:val="Funotenzeichen"/>
        </w:rPr>
        <w:footnoteRef/>
      </w:r>
      <w:r w:rsidRPr="001007EC">
        <w:rPr>
          <w:lang w:val="en-GB"/>
        </w:rPr>
        <w:t xml:space="preserve"> </w:t>
      </w:r>
      <w:r>
        <w:rPr>
          <w:lang w:val="en-GB"/>
        </w:rPr>
        <w:t>Statista Market Insights</w:t>
      </w:r>
      <w:r w:rsidR="00445FF3">
        <w:rPr>
          <w:lang w:val="en-GB"/>
        </w:rPr>
        <w:t xml:space="preserve">. </w:t>
      </w:r>
      <w:r w:rsidR="005A5BFA">
        <w:rPr>
          <w:lang w:val="en-GB"/>
        </w:rPr>
        <w:t xml:space="preserve">Fuel or Drive-type Share. </w:t>
      </w:r>
      <w:r w:rsidR="00445FF3">
        <w:rPr>
          <w:lang w:val="en-GB"/>
        </w:rPr>
        <w:t xml:space="preserve">Retrieved on </w:t>
      </w:r>
      <w:r w:rsidR="00B0258C">
        <w:rPr>
          <w:lang w:val="en-GB"/>
        </w:rPr>
        <w:t xml:space="preserve">10 </w:t>
      </w:r>
      <w:r w:rsidR="00445FF3">
        <w:rPr>
          <w:lang w:val="en-GB"/>
        </w:rPr>
        <w:t xml:space="preserve">October 2024 from </w:t>
      </w:r>
      <w:r w:rsidR="00445FF3" w:rsidRPr="00445FF3">
        <w:rPr>
          <w:lang w:val="en-GB"/>
        </w:rPr>
        <w:t>https://www.statista.com/outlook/mmo/passenger-cars/uzbekistan#technical-specifications</w:t>
      </w:r>
    </w:p>
  </w:footnote>
  <w:footnote w:id="26">
    <w:p w14:paraId="1F2C6AC0" w14:textId="6CB26F1B" w:rsidR="00BF15FD" w:rsidRPr="00BF15FD" w:rsidRDefault="00BF15FD">
      <w:pPr>
        <w:pStyle w:val="Funotentext"/>
        <w:rPr>
          <w:lang w:val="en-GB"/>
        </w:rPr>
      </w:pPr>
      <w:r>
        <w:rPr>
          <w:rStyle w:val="Funotenzeichen"/>
        </w:rPr>
        <w:footnoteRef/>
      </w:r>
      <w:r w:rsidRPr="00BF15FD">
        <w:rPr>
          <w:lang w:val="en-GB"/>
        </w:rPr>
        <w:t xml:space="preserve"> </w:t>
      </w:r>
      <w:r>
        <w:rPr>
          <w:lang w:val="en-GB"/>
        </w:rPr>
        <w:t>IEA</w:t>
      </w:r>
      <w:r w:rsidR="00792075">
        <w:rPr>
          <w:lang w:val="en-GB"/>
        </w:rPr>
        <w:t>,</w:t>
      </w:r>
      <w:r w:rsidR="00BA7EAF">
        <w:rPr>
          <w:lang w:val="en-GB"/>
        </w:rPr>
        <w:t xml:space="preserve"> </w:t>
      </w:r>
      <w:r w:rsidRPr="00BF15FD">
        <w:rPr>
          <w:lang w:val="en-GB"/>
        </w:rPr>
        <w:t>Global EV Outlook 2024</w:t>
      </w:r>
      <w:r>
        <w:rPr>
          <w:lang w:val="en-GB"/>
        </w:rPr>
        <w:t>.</w:t>
      </w:r>
      <w:r w:rsidR="00BA7EAF">
        <w:rPr>
          <w:lang w:val="en-GB"/>
        </w:rPr>
        <w:t xml:space="preserve"> </w:t>
      </w:r>
      <w:r w:rsidR="008133FB">
        <w:rPr>
          <w:lang w:val="en-GB"/>
        </w:rPr>
        <w:t>–</w:t>
      </w:r>
      <w:r w:rsidR="00BA7EAF">
        <w:rPr>
          <w:lang w:val="en-GB"/>
        </w:rPr>
        <w:t xml:space="preserve"> </w:t>
      </w:r>
      <w:r w:rsidR="0097333C" w:rsidRPr="0097333C">
        <w:rPr>
          <w:i/>
          <w:iCs/>
          <w:lang w:val="en-GB"/>
        </w:rPr>
        <w:t>World</w:t>
      </w:r>
      <w:r w:rsidR="0097333C">
        <w:rPr>
          <w:lang w:val="en-GB"/>
        </w:rPr>
        <w:t xml:space="preserve"> </w:t>
      </w:r>
      <w:r w:rsidR="008133FB" w:rsidRPr="008133FB">
        <w:rPr>
          <w:i/>
          <w:iCs/>
          <w:lang w:val="en-GB"/>
        </w:rPr>
        <w:t>EV stock share</w:t>
      </w:r>
      <w:r w:rsidR="00BD1E00">
        <w:rPr>
          <w:i/>
          <w:iCs/>
          <w:lang w:val="en-GB"/>
        </w:rPr>
        <w:t xml:space="preserve"> in </w:t>
      </w:r>
      <w:r w:rsidR="00BD1E00" w:rsidRPr="00BD1E00">
        <w:rPr>
          <w:i/>
          <w:iCs/>
          <w:lang w:val="en-GB"/>
        </w:rPr>
        <w:t>Stated Policies Scenario</w:t>
      </w:r>
      <w:r w:rsidR="00BD1E00">
        <w:rPr>
          <w:i/>
          <w:iCs/>
          <w:lang w:val="en-GB"/>
        </w:rPr>
        <w:t xml:space="preserve"> (STEPS)</w:t>
      </w:r>
      <w:r w:rsidR="008133FB">
        <w:rPr>
          <w:lang w:val="en-GB"/>
        </w:rPr>
        <w:t>.</w:t>
      </w:r>
    </w:p>
  </w:footnote>
  <w:footnote w:id="27">
    <w:p w14:paraId="30ACDF2F" w14:textId="344C38CA" w:rsidR="00864555" w:rsidRPr="00B866C6" w:rsidRDefault="00864555">
      <w:pPr>
        <w:pStyle w:val="Funotentext"/>
        <w:rPr>
          <w:i/>
          <w:iCs/>
          <w:lang w:val="en-GB"/>
        </w:rPr>
      </w:pPr>
      <w:r>
        <w:rPr>
          <w:rStyle w:val="Funotenzeichen"/>
        </w:rPr>
        <w:footnoteRef/>
      </w:r>
      <w:r w:rsidRPr="00864555">
        <w:rPr>
          <w:lang w:val="en-GB"/>
        </w:rPr>
        <w:t xml:space="preserve"> </w:t>
      </w:r>
      <w:r>
        <w:rPr>
          <w:lang w:val="en-GB"/>
        </w:rPr>
        <w:t>UN</w:t>
      </w:r>
      <w:r w:rsidR="00F564C1">
        <w:rPr>
          <w:lang w:val="en-GB"/>
        </w:rPr>
        <w:t xml:space="preserve">, World Population Prospects 2024. – </w:t>
      </w:r>
      <w:r w:rsidR="00F564C1" w:rsidRPr="00B866C6">
        <w:rPr>
          <w:i/>
          <w:iCs/>
          <w:lang w:val="en-GB"/>
        </w:rPr>
        <w:t>Population</w:t>
      </w:r>
      <w:r w:rsidR="00B866C6" w:rsidRPr="00B866C6">
        <w:rPr>
          <w:i/>
          <w:iCs/>
          <w:lang w:val="en-GB"/>
        </w:rPr>
        <w:t xml:space="preserve">, projection </w:t>
      </w:r>
      <w:r w:rsidR="00B866C6">
        <w:rPr>
          <w:i/>
          <w:iCs/>
          <w:lang w:val="en-GB"/>
        </w:rPr>
        <w:t xml:space="preserve">2024-2050 </w:t>
      </w:r>
      <w:r w:rsidR="00B866C6" w:rsidRPr="00B866C6">
        <w:rPr>
          <w:i/>
          <w:iCs/>
          <w:lang w:val="en-GB"/>
        </w:rPr>
        <w:t>using medium fertility variant.</w:t>
      </w:r>
    </w:p>
  </w:footnote>
  <w:footnote w:id="28">
    <w:p w14:paraId="3A11BAB1" w14:textId="218E47D6" w:rsidR="001B3C21" w:rsidRDefault="001B3C21">
      <w:pPr>
        <w:pStyle w:val="Funotentext"/>
      </w:pPr>
      <w:r>
        <w:rPr>
          <w:rStyle w:val="Funotenzeichen"/>
        </w:rPr>
        <w:footnoteRef/>
      </w:r>
      <w:r w:rsidRPr="001B3C21">
        <w:rPr>
          <w:lang w:val="en-GB"/>
        </w:rPr>
        <w:t xml:space="preserve"> Zhu</w:t>
      </w:r>
      <w:r>
        <w:rPr>
          <w:lang w:val="en-GB"/>
        </w:rPr>
        <w:t xml:space="preserve"> et al.</w:t>
      </w:r>
      <w:r w:rsidRPr="001B3C21">
        <w:rPr>
          <w:lang w:val="en-GB"/>
        </w:rPr>
        <w:t xml:space="preserve"> (2018). A meta-analysis on the price elasticity and income elasticity of residential electricity demand. </w:t>
      </w:r>
      <w:r w:rsidRPr="001B3C21">
        <w:rPr>
          <w:i/>
          <w:iCs/>
        </w:rPr>
        <w:t xml:space="preserve">Journal of Cleaner </w:t>
      </w:r>
      <w:proofErr w:type="spellStart"/>
      <w:r w:rsidRPr="001B3C21">
        <w:rPr>
          <w:i/>
          <w:iCs/>
        </w:rPr>
        <w:t>Production</w:t>
      </w:r>
      <w:proofErr w:type="spellEnd"/>
      <w:r w:rsidRPr="001B3C21">
        <w:t>, 201, 169-177.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7E9C3" w14:textId="3754C0E2" w:rsidR="0007422F" w:rsidRDefault="00624019">
    <w:pPr>
      <w:spacing w:before="120"/>
      <w:ind w:left="100"/>
      <w:rPr>
        <w:sz w:val="14"/>
      </w:rPr>
    </w:pPr>
    <w:r>
      <w:rPr>
        <w:noProof/>
      </w:rPr>
      <w:drawing>
        <wp:anchor distT="0" distB="0" distL="114300" distR="114300" simplePos="0" relativeHeight="251658240" behindDoc="1" locked="0" layoutInCell="1" allowOverlap="1" wp14:anchorId="4BB50EE3" wp14:editId="49786F06">
          <wp:simplePos x="0" y="0"/>
          <wp:positionH relativeFrom="page">
            <wp:posOffset>-1270</wp:posOffset>
          </wp:positionH>
          <wp:positionV relativeFrom="page">
            <wp:align>bottom</wp:align>
          </wp:positionV>
          <wp:extent cx="7562850" cy="8681085"/>
          <wp:effectExtent l="0" t="0" r="0" b="0"/>
          <wp:wrapNone/>
          <wp:docPr id="1211840835" name="Grafik 83466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05341811"/>
                  <pic:cNvPicPr>
                    <a:picLocks noChangeAspect="1" noChangeArrowheads="1"/>
                  </pic:cNvPicPr>
                </pic:nvPicPr>
                <pic:blipFill>
                  <a:blip r:embed="rId1">
                    <a:extLst>
                      <a:ext uri="{28A0092B-C50C-407E-A947-70E740481C1C}">
                        <a14:useLocalDpi xmlns:a14="http://schemas.microsoft.com/office/drawing/2010/main" val="0"/>
                      </a:ext>
                    </a:extLst>
                  </a:blip>
                  <a:srcRect t="18797"/>
                  <a:stretch>
                    <a:fillRect/>
                  </a:stretch>
                </pic:blipFill>
                <pic:spPr bwMode="auto">
                  <a:xfrm>
                    <a:off x="0" y="0"/>
                    <a:ext cx="7562850" cy="86810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3998F" w14:textId="04CCEFF0" w:rsidR="0007422F" w:rsidRPr="00C95F40" w:rsidRDefault="00624019" w:rsidP="009F3394">
    <w:pPr>
      <w:pStyle w:val="Kopfzeile"/>
      <w:ind w:right="-2398" w:firstLine="9639"/>
      <w:rPr>
        <w:color w:val="FF9D00"/>
      </w:rPr>
    </w:pPr>
    <w:r>
      <w:rPr>
        <w:noProof/>
      </w:rPr>
      <mc:AlternateContent>
        <mc:Choice Requires="wps">
          <w:drawing>
            <wp:anchor distT="4294967294" distB="4294967294" distL="114300" distR="114300" simplePos="0" relativeHeight="251658242" behindDoc="0" locked="0" layoutInCell="1" allowOverlap="1" wp14:anchorId="7C08F26D" wp14:editId="1ECBA02F">
              <wp:simplePos x="0" y="0"/>
              <wp:positionH relativeFrom="column">
                <wp:posOffset>6114415</wp:posOffset>
              </wp:positionH>
              <wp:positionV relativeFrom="paragraph">
                <wp:posOffset>220979</wp:posOffset>
              </wp:positionV>
              <wp:extent cx="527050" cy="0"/>
              <wp:effectExtent l="0" t="0" r="0" b="0"/>
              <wp:wrapNone/>
              <wp:docPr id="6" name="Gerader Verbinde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27050" cy="0"/>
                      </a:xfrm>
                      <a:prstGeom prst="line">
                        <a:avLst/>
                      </a:prstGeom>
                      <a:noFill/>
                      <a:ln w="6350" cap="flat" cmpd="sng" algn="ctr">
                        <a:solidFill>
                          <a:srgbClr val="F49B1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B5B3FA" id="Gerader Verbinder 6" o:spid="_x0000_s1026" style="position:absolute;flip:y;z-index:25165824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481.45pt,17.4pt" to="522.9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" strokecolor="#f49b19" strokeweight=".5pt">
              <v:stroke joinstyle="miter"/>
              <o:lock v:ext="edit" shapetype="f"/>
            </v:line>
          </w:pict>
        </mc:Fallback>
      </mc:AlternateContent>
    </w:r>
    <w:r w:rsidR="0007422F" w:rsidRPr="00C95F40">
      <w:rPr>
        <w:color w:val="FF9D00"/>
      </w:rPr>
      <w:fldChar w:fldCharType="begin"/>
    </w:r>
    <w:r w:rsidR="0007422F" w:rsidRPr="00C95F40">
      <w:rPr>
        <w:color w:val="FF9D00"/>
      </w:rPr>
      <w:instrText>PAGE   \* MERGEFORMAT</w:instrText>
    </w:r>
    <w:r w:rsidR="0007422F" w:rsidRPr="00C95F40">
      <w:rPr>
        <w:color w:val="FF9D00"/>
      </w:rPr>
      <w:fldChar w:fldCharType="separate"/>
    </w:r>
    <w:r w:rsidR="00FB3557">
      <w:rPr>
        <w:noProof/>
        <w:color w:val="FF9D00"/>
      </w:rPr>
      <w:t>6</w:t>
    </w:r>
    <w:r w:rsidR="0007422F" w:rsidRPr="00C95F40">
      <w:rPr>
        <w:color w:val="FF9D00"/>
      </w:rPr>
      <w:fldChar w:fldCharType="end"/>
    </w:r>
  </w:p>
  <w:p w14:paraId="63F6C8DB" w14:textId="77777777" w:rsidR="0007422F" w:rsidRDefault="0007422F">
    <w:pPr>
      <w:pStyle w:val="Kopfzeile"/>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22FD5"/>
    <w:multiLevelType w:val="hybridMultilevel"/>
    <w:tmpl w:val="63A2A918"/>
    <w:lvl w:ilvl="0" w:tplc="82BAAEFE">
      <w:start w:val="1"/>
      <w:numFmt w:val="decimal"/>
      <w:lvlText w:val="%1)"/>
      <w:lvlJc w:val="left"/>
      <w:pPr>
        <w:ind w:left="1020" w:hanging="360"/>
      </w:pPr>
    </w:lvl>
    <w:lvl w:ilvl="1" w:tplc="FC2A6CD0">
      <w:start w:val="1"/>
      <w:numFmt w:val="decimal"/>
      <w:lvlText w:val="%2)"/>
      <w:lvlJc w:val="left"/>
      <w:pPr>
        <w:ind w:left="1020" w:hanging="360"/>
      </w:pPr>
    </w:lvl>
    <w:lvl w:ilvl="2" w:tplc="DFA66970">
      <w:start w:val="1"/>
      <w:numFmt w:val="decimal"/>
      <w:lvlText w:val="%3)"/>
      <w:lvlJc w:val="left"/>
      <w:pPr>
        <w:ind w:left="1020" w:hanging="360"/>
      </w:pPr>
    </w:lvl>
    <w:lvl w:ilvl="3" w:tplc="74CC517A">
      <w:start w:val="1"/>
      <w:numFmt w:val="decimal"/>
      <w:lvlText w:val="%4)"/>
      <w:lvlJc w:val="left"/>
      <w:pPr>
        <w:ind w:left="1020" w:hanging="360"/>
      </w:pPr>
    </w:lvl>
    <w:lvl w:ilvl="4" w:tplc="3752AEFC">
      <w:start w:val="1"/>
      <w:numFmt w:val="decimal"/>
      <w:lvlText w:val="%5)"/>
      <w:lvlJc w:val="left"/>
      <w:pPr>
        <w:ind w:left="1020" w:hanging="360"/>
      </w:pPr>
    </w:lvl>
    <w:lvl w:ilvl="5" w:tplc="ADF4D630">
      <w:start w:val="1"/>
      <w:numFmt w:val="decimal"/>
      <w:lvlText w:val="%6)"/>
      <w:lvlJc w:val="left"/>
      <w:pPr>
        <w:ind w:left="1020" w:hanging="360"/>
      </w:pPr>
    </w:lvl>
    <w:lvl w:ilvl="6" w:tplc="8344310E">
      <w:start w:val="1"/>
      <w:numFmt w:val="decimal"/>
      <w:lvlText w:val="%7)"/>
      <w:lvlJc w:val="left"/>
      <w:pPr>
        <w:ind w:left="1020" w:hanging="360"/>
      </w:pPr>
    </w:lvl>
    <w:lvl w:ilvl="7" w:tplc="3E48B1B8">
      <w:start w:val="1"/>
      <w:numFmt w:val="decimal"/>
      <w:lvlText w:val="%8)"/>
      <w:lvlJc w:val="left"/>
      <w:pPr>
        <w:ind w:left="1020" w:hanging="360"/>
      </w:pPr>
    </w:lvl>
    <w:lvl w:ilvl="8" w:tplc="771CDA20">
      <w:start w:val="1"/>
      <w:numFmt w:val="decimal"/>
      <w:lvlText w:val="%9)"/>
      <w:lvlJc w:val="left"/>
      <w:pPr>
        <w:ind w:left="1020" w:hanging="360"/>
      </w:pPr>
    </w:lvl>
  </w:abstractNum>
  <w:abstractNum w:abstractNumId="1" w15:restartNumberingAfterBreak="0">
    <w:nsid w:val="08071EC3"/>
    <w:multiLevelType w:val="hybridMultilevel"/>
    <w:tmpl w:val="F00CAE72"/>
    <w:lvl w:ilvl="0" w:tplc="0440514A">
      <w:numFmt w:val="bullet"/>
      <w:lvlText w:val="-"/>
      <w:lvlJc w:val="left"/>
      <w:pPr>
        <w:ind w:left="720" w:hanging="360"/>
      </w:pPr>
      <w:rPr>
        <w:rFonts w:ascii="Calibri" w:eastAsia="MS Mincho"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4717DF"/>
    <w:multiLevelType w:val="multilevel"/>
    <w:tmpl w:val="E530E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100F8"/>
    <w:multiLevelType w:val="hybridMultilevel"/>
    <w:tmpl w:val="8CE4694A"/>
    <w:styleLink w:val="AktuelleListe10"/>
    <w:lvl w:ilvl="0" w:tplc="D09C6642">
      <w:start w:val="1"/>
      <w:numFmt w:val="decimal"/>
      <w:pStyle w:val="AktuelleListe10"/>
      <w:lvlText w:val="%1."/>
      <w:lvlJc w:val="left"/>
      <w:pPr>
        <w:ind w:left="1134" w:hanging="425"/>
      </w:pPr>
      <w:rPr>
        <w:rFonts w:hint="default"/>
        <w:color w:val="F49B19"/>
      </w:rPr>
    </w:lvl>
    <w:lvl w:ilvl="1" w:tplc="6F6047BA">
      <w:start w:val="1"/>
      <w:numFmt w:val="lowerLetter"/>
      <w:lvlText w:val="%2."/>
      <w:lvlJc w:val="left"/>
      <w:pPr>
        <w:ind w:left="1440" w:hanging="360"/>
      </w:pPr>
    </w:lvl>
    <w:lvl w:ilvl="2" w:tplc="23140B70">
      <w:start w:val="1"/>
      <w:numFmt w:val="lowerRoman"/>
      <w:lvlText w:val="%3."/>
      <w:lvlJc w:val="right"/>
      <w:pPr>
        <w:ind w:left="2160" w:hanging="180"/>
      </w:pPr>
    </w:lvl>
    <w:lvl w:ilvl="3" w:tplc="2098D0D4">
      <w:start w:val="1"/>
      <w:numFmt w:val="decimal"/>
      <w:lvlText w:val="%4."/>
      <w:lvlJc w:val="left"/>
      <w:pPr>
        <w:ind w:left="2880" w:hanging="360"/>
      </w:pPr>
    </w:lvl>
    <w:lvl w:ilvl="4" w:tplc="F620D9F8">
      <w:start w:val="1"/>
      <w:numFmt w:val="lowerLetter"/>
      <w:lvlText w:val="%5."/>
      <w:lvlJc w:val="left"/>
      <w:pPr>
        <w:ind w:left="3600" w:hanging="360"/>
      </w:pPr>
    </w:lvl>
    <w:lvl w:ilvl="5" w:tplc="7AA0D112">
      <w:start w:val="1"/>
      <w:numFmt w:val="lowerRoman"/>
      <w:lvlText w:val="%6."/>
      <w:lvlJc w:val="right"/>
      <w:pPr>
        <w:ind w:left="4320" w:hanging="180"/>
      </w:pPr>
    </w:lvl>
    <w:lvl w:ilvl="6" w:tplc="4282CB78">
      <w:start w:val="1"/>
      <w:numFmt w:val="decimal"/>
      <w:lvlText w:val="%7."/>
      <w:lvlJc w:val="left"/>
      <w:pPr>
        <w:ind w:left="5040" w:hanging="360"/>
      </w:pPr>
    </w:lvl>
    <w:lvl w:ilvl="7" w:tplc="787C8E5E">
      <w:start w:val="1"/>
      <w:numFmt w:val="lowerLetter"/>
      <w:lvlText w:val="%8."/>
      <w:lvlJc w:val="left"/>
      <w:pPr>
        <w:ind w:left="5760" w:hanging="360"/>
      </w:pPr>
    </w:lvl>
    <w:lvl w:ilvl="8" w:tplc="54A21A8C">
      <w:start w:val="1"/>
      <w:numFmt w:val="lowerRoman"/>
      <w:lvlText w:val="%9."/>
      <w:lvlJc w:val="right"/>
      <w:pPr>
        <w:ind w:left="6480" w:hanging="180"/>
      </w:pPr>
    </w:lvl>
  </w:abstractNum>
  <w:abstractNum w:abstractNumId="4" w15:restartNumberingAfterBreak="0">
    <w:nsid w:val="0C415175"/>
    <w:multiLevelType w:val="hybridMultilevel"/>
    <w:tmpl w:val="48CC0644"/>
    <w:lvl w:ilvl="0" w:tplc="5238AB20">
      <w:start w:val="1"/>
      <w:numFmt w:val="bullet"/>
      <w:lvlText w:val="»"/>
      <w:lvlJc w:val="left"/>
      <w:pPr>
        <w:ind w:left="720" w:hanging="360"/>
      </w:pPr>
      <w:rPr>
        <w:rFonts w:ascii="Calibri Light" w:hAnsi="Calibri Light" w:hint="default"/>
        <w:color w:val="F49B1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3543C8"/>
    <w:multiLevelType w:val="hybridMultilevel"/>
    <w:tmpl w:val="0C741040"/>
    <w:styleLink w:val="AktuelleListe4"/>
    <w:lvl w:ilvl="0" w:tplc="A4B2CD66">
      <w:start w:val="1"/>
      <w:numFmt w:val="decimal"/>
      <w:pStyle w:val="AktuelleListe4"/>
      <w:lvlText w:val="%1."/>
      <w:lvlJc w:val="left"/>
      <w:pPr>
        <w:ind w:left="142" w:firstLine="142"/>
      </w:pPr>
      <w:rPr>
        <w:rFonts w:hint="default"/>
        <w:color w:val="F49B19"/>
      </w:rPr>
    </w:lvl>
    <w:lvl w:ilvl="1" w:tplc="7CBE16A8">
      <w:start w:val="1"/>
      <w:numFmt w:val="lowerLetter"/>
      <w:lvlText w:val="%2."/>
      <w:lvlJc w:val="left"/>
      <w:pPr>
        <w:ind w:left="1440" w:hanging="360"/>
      </w:pPr>
    </w:lvl>
    <w:lvl w:ilvl="2" w:tplc="A908231C">
      <w:start w:val="1"/>
      <w:numFmt w:val="lowerRoman"/>
      <w:lvlText w:val="%3."/>
      <w:lvlJc w:val="right"/>
      <w:pPr>
        <w:ind w:left="2160" w:hanging="180"/>
      </w:pPr>
    </w:lvl>
    <w:lvl w:ilvl="3" w:tplc="3B2A0AB4">
      <w:start w:val="1"/>
      <w:numFmt w:val="decimal"/>
      <w:lvlText w:val="%4."/>
      <w:lvlJc w:val="left"/>
      <w:pPr>
        <w:ind w:left="2880" w:hanging="360"/>
      </w:pPr>
    </w:lvl>
    <w:lvl w:ilvl="4" w:tplc="1BACDFC0">
      <w:start w:val="1"/>
      <w:numFmt w:val="lowerLetter"/>
      <w:lvlText w:val="%5."/>
      <w:lvlJc w:val="left"/>
      <w:pPr>
        <w:ind w:left="3600" w:hanging="360"/>
      </w:pPr>
    </w:lvl>
    <w:lvl w:ilvl="5" w:tplc="652A63A2">
      <w:start w:val="1"/>
      <w:numFmt w:val="lowerRoman"/>
      <w:lvlText w:val="%6."/>
      <w:lvlJc w:val="right"/>
      <w:pPr>
        <w:ind w:left="4320" w:hanging="180"/>
      </w:pPr>
    </w:lvl>
    <w:lvl w:ilvl="6" w:tplc="C9DEF8C6">
      <w:start w:val="1"/>
      <w:numFmt w:val="decimal"/>
      <w:lvlText w:val="%7."/>
      <w:lvlJc w:val="left"/>
      <w:pPr>
        <w:ind w:left="5040" w:hanging="360"/>
      </w:pPr>
    </w:lvl>
    <w:lvl w:ilvl="7" w:tplc="6CB4C2EC">
      <w:start w:val="1"/>
      <w:numFmt w:val="lowerLetter"/>
      <w:lvlText w:val="%8."/>
      <w:lvlJc w:val="left"/>
      <w:pPr>
        <w:ind w:left="5760" w:hanging="360"/>
      </w:pPr>
    </w:lvl>
    <w:lvl w:ilvl="8" w:tplc="89866D20">
      <w:start w:val="1"/>
      <w:numFmt w:val="lowerRoman"/>
      <w:lvlText w:val="%9."/>
      <w:lvlJc w:val="right"/>
      <w:pPr>
        <w:ind w:left="6480" w:hanging="180"/>
      </w:pPr>
    </w:lvl>
  </w:abstractNum>
  <w:abstractNum w:abstractNumId="6" w15:restartNumberingAfterBreak="0">
    <w:nsid w:val="19463E91"/>
    <w:multiLevelType w:val="hybridMultilevel"/>
    <w:tmpl w:val="D04A52BA"/>
    <w:lvl w:ilvl="0" w:tplc="9958676A">
      <w:numFmt w:val="bullet"/>
      <w:lvlText w:val="-"/>
      <w:lvlJc w:val="left"/>
      <w:pPr>
        <w:ind w:left="720" w:hanging="360"/>
      </w:pPr>
      <w:rPr>
        <w:rFonts w:ascii="Calibri Light" w:eastAsia="MS Mincho"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B85D6E"/>
    <w:multiLevelType w:val="multilevel"/>
    <w:tmpl w:val="0CA2F2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06A2C7A"/>
    <w:multiLevelType w:val="hybridMultilevel"/>
    <w:tmpl w:val="04603AA4"/>
    <w:styleLink w:val="AktuelleListe7"/>
    <w:lvl w:ilvl="0" w:tplc="2B6ACAE6">
      <w:start w:val="1"/>
      <w:numFmt w:val="decimal"/>
      <w:pStyle w:val="AktuelleListe7"/>
      <w:lvlText w:val="%1."/>
      <w:lvlJc w:val="left"/>
      <w:pPr>
        <w:ind w:left="567" w:hanging="425"/>
      </w:pPr>
      <w:rPr>
        <w:rFonts w:hint="default"/>
        <w:color w:val="F49B19"/>
      </w:rPr>
    </w:lvl>
    <w:lvl w:ilvl="1" w:tplc="96B66130">
      <w:start w:val="1"/>
      <w:numFmt w:val="lowerLetter"/>
      <w:lvlText w:val="%2."/>
      <w:lvlJc w:val="left"/>
      <w:pPr>
        <w:ind w:left="1440" w:hanging="360"/>
      </w:pPr>
    </w:lvl>
    <w:lvl w:ilvl="2" w:tplc="E8D84C6C">
      <w:start w:val="1"/>
      <w:numFmt w:val="lowerRoman"/>
      <w:lvlText w:val="%3."/>
      <w:lvlJc w:val="right"/>
      <w:pPr>
        <w:ind w:left="2160" w:hanging="180"/>
      </w:pPr>
    </w:lvl>
    <w:lvl w:ilvl="3" w:tplc="1BC6E638">
      <w:start w:val="1"/>
      <w:numFmt w:val="decimal"/>
      <w:lvlText w:val="%4."/>
      <w:lvlJc w:val="left"/>
      <w:pPr>
        <w:ind w:left="2880" w:hanging="360"/>
      </w:pPr>
    </w:lvl>
    <w:lvl w:ilvl="4" w:tplc="BA0E5EB4">
      <w:start w:val="1"/>
      <w:numFmt w:val="lowerLetter"/>
      <w:lvlText w:val="%5."/>
      <w:lvlJc w:val="left"/>
      <w:pPr>
        <w:ind w:left="3600" w:hanging="360"/>
      </w:pPr>
    </w:lvl>
    <w:lvl w:ilvl="5" w:tplc="8A568E72">
      <w:start w:val="1"/>
      <w:numFmt w:val="lowerRoman"/>
      <w:lvlText w:val="%6."/>
      <w:lvlJc w:val="right"/>
      <w:pPr>
        <w:ind w:left="4320" w:hanging="180"/>
      </w:pPr>
    </w:lvl>
    <w:lvl w:ilvl="6" w:tplc="4058BE6C">
      <w:start w:val="1"/>
      <w:numFmt w:val="decimal"/>
      <w:lvlText w:val="%7."/>
      <w:lvlJc w:val="left"/>
      <w:pPr>
        <w:ind w:left="5040" w:hanging="360"/>
      </w:pPr>
    </w:lvl>
    <w:lvl w:ilvl="7" w:tplc="A962ADA2">
      <w:start w:val="1"/>
      <w:numFmt w:val="lowerLetter"/>
      <w:lvlText w:val="%8."/>
      <w:lvlJc w:val="left"/>
      <w:pPr>
        <w:ind w:left="5760" w:hanging="360"/>
      </w:pPr>
    </w:lvl>
    <w:lvl w:ilvl="8" w:tplc="AEC08534">
      <w:start w:val="1"/>
      <w:numFmt w:val="lowerRoman"/>
      <w:lvlText w:val="%9."/>
      <w:lvlJc w:val="right"/>
      <w:pPr>
        <w:ind w:left="6480" w:hanging="180"/>
      </w:pPr>
    </w:lvl>
  </w:abstractNum>
  <w:abstractNum w:abstractNumId="9" w15:restartNumberingAfterBreak="0">
    <w:nsid w:val="206F7167"/>
    <w:multiLevelType w:val="multilevel"/>
    <w:tmpl w:val="A956C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F47B28"/>
    <w:multiLevelType w:val="hybridMultilevel"/>
    <w:tmpl w:val="0D12CB34"/>
    <w:styleLink w:val="AktuelleListe9"/>
    <w:lvl w:ilvl="0" w:tplc="17A205B2">
      <w:start w:val="1"/>
      <w:numFmt w:val="decimal"/>
      <w:pStyle w:val="AktuelleListe9"/>
      <w:lvlText w:val="%1."/>
      <w:lvlJc w:val="left"/>
      <w:pPr>
        <w:ind w:left="1134" w:hanging="425"/>
      </w:pPr>
      <w:rPr>
        <w:rFonts w:hint="default"/>
        <w:color w:val="F49B19"/>
      </w:rPr>
    </w:lvl>
    <w:lvl w:ilvl="1" w:tplc="C66E1266">
      <w:start w:val="1"/>
      <w:numFmt w:val="lowerLetter"/>
      <w:lvlText w:val="%2."/>
      <w:lvlJc w:val="left"/>
      <w:pPr>
        <w:ind w:left="1440" w:hanging="360"/>
      </w:pPr>
    </w:lvl>
    <w:lvl w:ilvl="2" w:tplc="1D54A6BC">
      <w:start w:val="1"/>
      <w:numFmt w:val="lowerRoman"/>
      <w:lvlText w:val="%3."/>
      <w:lvlJc w:val="right"/>
      <w:pPr>
        <w:ind w:left="2160" w:hanging="180"/>
      </w:pPr>
    </w:lvl>
    <w:lvl w:ilvl="3" w:tplc="11AEC618">
      <w:start w:val="1"/>
      <w:numFmt w:val="decimal"/>
      <w:lvlText w:val="%4."/>
      <w:lvlJc w:val="left"/>
      <w:pPr>
        <w:ind w:left="2880" w:hanging="360"/>
      </w:pPr>
    </w:lvl>
    <w:lvl w:ilvl="4" w:tplc="2DEE65FE">
      <w:start w:val="1"/>
      <w:numFmt w:val="lowerLetter"/>
      <w:lvlText w:val="%5."/>
      <w:lvlJc w:val="left"/>
      <w:pPr>
        <w:ind w:left="3600" w:hanging="360"/>
      </w:pPr>
    </w:lvl>
    <w:lvl w:ilvl="5" w:tplc="4FD64884">
      <w:start w:val="1"/>
      <w:numFmt w:val="lowerRoman"/>
      <w:lvlText w:val="%6."/>
      <w:lvlJc w:val="right"/>
      <w:pPr>
        <w:ind w:left="4320" w:hanging="180"/>
      </w:pPr>
    </w:lvl>
    <w:lvl w:ilvl="6" w:tplc="5980DED0">
      <w:start w:val="1"/>
      <w:numFmt w:val="decimal"/>
      <w:lvlText w:val="%7."/>
      <w:lvlJc w:val="left"/>
      <w:pPr>
        <w:ind w:left="5040" w:hanging="360"/>
      </w:pPr>
    </w:lvl>
    <w:lvl w:ilvl="7" w:tplc="5BCAAB72">
      <w:start w:val="1"/>
      <w:numFmt w:val="lowerLetter"/>
      <w:lvlText w:val="%8."/>
      <w:lvlJc w:val="left"/>
      <w:pPr>
        <w:ind w:left="5760" w:hanging="360"/>
      </w:pPr>
    </w:lvl>
    <w:lvl w:ilvl="8" w:tplc="BF36FC26">
      <w:start w:val="1"/>
      <w:numFmt w:val="lowerRoman"/>
      <w:lvlText w:val="%9."/>
      <w:lvlJc w:val="right"/>
      <w:pPr>
        <w:ind w:left="6480" w:hanging="180"/>
      </w:pPr>
    </w:lvl>
  </w:abstractNum>
  <w:abstractNum w:abstractNumId="11" w15:restartNumberingAfterBreak="0">
    <w:nsid w:val="246E4AA8"/>
    <w:multiLevelType w:val="hybridMultilevel"/>
    <w:tmpl w:val="BEA693A4"/>
    <w:lvl w:ilvl="0" w:tplc="99586D96">
      <w:start w:val="1"/>
      <w:numFmt w:val="decimal"/>
      <w:pStyle w:val="Nummerierungen"/>
      <w:lvlText w:val="%1."/>
      <w:lvlJc w:val="left"/>
      <w:pPr>
        <w:ind w:left="1134" w:hanging="425"/>
      </w:pPr>
      <w:rPr>
        <w:rFonts w:hint="default"/>
        <w:color w:val="F49B19"/>
      </w:rPr>
    </w:lvl>
    <w:lvl w:ilvl="1" w:tplc="B344A524">
      <w:start w:val="1"/>
      <w:numFmt w:val="lowerLetter"/>
      <w:lvlText w:val="%2."/>
      <w:lvlJc w:val="left"/>
      <w:pPr>
        <w:ind w:left="1440" w:hanging="360"/>
      </w:pPr>
    </w:lvl>
    <w:lvl w:ilvl="2" w:tplc="C9F65B74">
      <w:start w:val="1"/>
      <w:numFmt w:val="lowerRoman"/>
      <w:lvlText w:val="%3."/>
      <w:lvlJc w:val="right"/>
      <w:pPr>
        <w:ind w:left="2160" w:hanging="180"/>
      </w:pPr>
    </w:lvl>
    <w:lvl w:ilvl="3" w:tplc="EEF81E58">
      <w:start w:val="1"/>
      <w:numFmt w:val="decimal"/>
      <w:lvlText w:val="%4."/>
      <w:lvlJc w:val="left"/>
      <w:pPr>
        <w:ind w:left="2880" w:hanging="360"/>
      </w:pPr>
    </w:lvl>
    <w:lvl w:ilvl="4" w:tplc="68FAB00C">
      <w:start w:val="1"/>
      <w:numFmt w:val="lowerLetter"/>
      <w:lvlText w:val="%5."/>
      <w:lvlJc w:val="left"/>
      <w:pPr>
        <w:ind w:left="3600" w:hanging="360"/>
      </w:pPr>
    </w:lvl>
    <w:lvl w:ilvl="5" w:tplc="6D36181E">
      <w:start w:val="1"/>
      <w:numFmt w:val="lowerRoman"/>
      <w:lvlText w:val="%6."/>
      <w:lvlJc w:val="right"/>
      <w:pPr>
        <w:ind w:left="4320" w:hanging="180"/>
      </w:pPr>
    </w:lvl>
    <w:lvl w:ilvl="6" w:tplc="B30C7836">
      <w:start w:val="1"/>
      <w:numFmt w:val="decimal"/>
      <w:lvlText w:val="%7."/>
      <w:lvlJc w:val="left"/>
      <w:pPr>
        <w:ind w:left="5040" w:hanging="360"/>
      </w:pPr>
    </w:lvl>
    <w:lvl w:ilvl="7" w:tplc="26BA3570">
      <w:start w:val="1"/>
      <w:numFmt w:val="lowerLetter"/>
      <w:lvlText w:val="%8."/>
      <w:lvlJc w:val="left"/>
      <w:pPr>
        <w:ind w:left="5760" w:hanging="360"/>
      </w:pPr>
    </w:lvl>
    <w:lvl w:ilvl="8" w:tplc="67687686">
      <w:start w:val="1"/>
      <w:numFmt w:val="lowerRoman"/>
      <w:lvlText w:val="%9."/>
      <w:lvlJc w:val="right"/>
      <w:pPr>
        <w:ind w:left="6480" w:hanging="180"/>
      </w:pPr>
    </w:lvl>
  </w:abstractNum>
  <w:abstractNum w:abstractNumId="12" w15:restartNumberingAfterBreak="0">
    <w:nsid w:val="2B0B0DA2"/>
    <w:multiLevelType w:val="multilevel"/>
    <w:tmpl w:val="7CF431A0"/>
    <w:styleLink w:val="AktuelleListe1"/>
    <w:lvl w:ilvl="0">
      <w:start w:val="1"/>
      <w:numFmt w:val="decimal"/>
      <w:pStyle w:val="AktuelleListe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DB2CB6"/>
    <w:multiLevelType w:val="hybridMultilevel"/>
    <w:tmpl w:val="E16CA044"/>
    <w:lvl w:ilvl="0" w:tplc="F9E6A57E">
      <w:start w:val="1"/>
      <w:numFmt w:val="bullet"/>
      <w:pStyle w:val="Aufzhlungen"/>
      <w:lvlText w:val="»"/>
      <w:lvlJc w:val="left"/>
      <w:pPr>
        <w:ind w:left="425" w:hanging="283"/>
      </w:pPr>
      <w:rPr>
        <w:rFonts w:ascii="Arial" w:hAnsi="Arial" w:hint="default"/>
        <w:color w:val="F49B19"/>
      </w:rPr>
    </w:lvl>
    <w:lvl w:ilvl="1" w:tplc="46C0BE76">
      <w:start w:val="1"/>
      <w:numFmt w:val="bullet"/>
      <w:lvlText w:val="o"/>
      <w:lvlJc w:val="left"/>
      <w:pPr>
        <w:ind w:left="1440" w:hanging="360"/>
      </w:pPr>
      <w:rPr>
        <w:rFonts w:ascii="Courier New" w:hAnsi="Courier New" w:cs="Courier New" w:hint="default"/>
      </w:rPr>
    </w:lvl>
    <w:lvl w:ilvl="2" w:tplc="2A623D56">
      <w:start w:val="1"/>
      <w:numFmt w:val="bullet"/>
      <w:lvlText w:val=""/>
      <w:lvlJc w:val="left"/>
      <w:pPr>
        <w:ind w:left="2160" w:hanging="360"/>
      </w:pPr>
      <w:rPr>
        <w:rFonts w:ascii="Wingdings" w:hAnsi="Wingdings" w:hint="default"/>
      </w:rPr>
    </w:lvl>
    <w:lvl w:ilvl="3" w:tplc="8CECBEC8">
      <w:start w:val="1"/>
      <w:numFmt w:val="bullet"/>
      <w:lvlText w:val=""/>
      <w:lvlJc w:val="left"/>
      <w:pPr>
        <w:ind w:left="2880" w:hanging="360"/>
      </w:pPr>
      <w:rPr>
        <w:rFonts w:ascii="Symbol" w:hAnsi="Symbol" w:hint="default"/>
      </w:rPr>
    </w:lvl>
    <w:lvl w:ilvl="4" w:tplc="805E0DCA">
      <w:start w:val="1"/>
      <w:numFmt w:val="bullet"/>
      <w:lvlText w:val="o"/>
      <w:lvlJc w:val="left"/>
      <w:pPr>
        <w:ind w:left="3600" w:hanging="360"/>
      </w:pPr>
      <w:rPr>
        <w:rFonts w:ascii="Courier New" w:hAnsi="Courier New" w:cs="Courier New" w:hint="default"/>
      </w:rPr>
    </w:lvl>
    <w:lvl w:ilvl="5" w:tplc="4446A1AC">
      <w:start w:val="1"/>
      <w:numFmt w:val="bullet"/>
      <w:lvlText w:val=""/>
      <w:lvlJc w:val="left"/>
      <w:pPr>
        <w:ind w:left="4320" w:hanging="360"/>
      </w:pPr>
      <w:rPr>
        <w:rFonts w:ascii="Wingdings" w:hAnsi="Wingdings" w:hint="default"/>
      </w:rPr>
    </w:lvl>
    <w:lvl w:ilvl="6" w:tplc="CB8A1926">
      <w:start w:val="1"/>
      <w:numFmt w:val="bullet"/>
      <w:lvlText w:val=""/>
      <w:lvlJc w:val="left"/>
      <w:pPr>
        <w:ind w:left="5040" w:hanging="360"/>
      </w:pPr>
      <w:rPr>
        <w:rFonts w:ascii="Symbol" w:hAnsi="Symbol" w:hint="default"/>
      </w:rPr>
    </w:lvl>
    <w:lvl w:ilvl="7" w:tplc="4B1CE334">
      <w:start w:val="1"/>
      <w:numFmt w:val="bullet"/>
      <w:lvlText w:val="o"/>
      <w:lvlJc w:val="left"/>
      <w:pPr>
        <w:ind w:left="5760" w:hanging="360"/>
      </w:pPr>
      <w:rPr>
        <w:rFonts w:ascii="Courier New" w:hAnsi="Courier New" w:cs="Courier New" w:hint="default"/>
      </w:rPr>
    </w:lvl>
    <w:lvl w:ilvl="8" w:tplc="EF04EB72">
      <w:start w:val="1"/>
      <w:numFmt w:val="bullet"/>
      <w:lvlText w:val=""/>
      <w:lvlJc w:val="left"/>
      <w:pPr>
        <w:ind w:left="6480" w:hanging="360"/>
      </w:pPr>
      <w:rPr>
        <w:rFonts w:ascii="Wingdings" w:hAnsi="Wingdings" w:hint="default"/>
      </w:rPr>
    </w:lvl>
  </w:abstractNum>
  <w:abstractNum w:abstractNumId="14" w15:restartNumberingAfterBreak="0">
    <w:nsid w:val="3AB577A4"/>
    <w:multiLevelType w:val="hybridMultilevel"/>
    <w:tmpl w:val="37AAD814"/>
    <w:styleLink w:val="AktuelleListe3"/>
    <w:lvl w:ilvl="0" w:tplc="0BAE6952">
      <w:start w:val="1"/>
      <w:numFmt w:val="decimal"/>
      <w:pStyle w:val="AktuelleListe3"/>
      <w:lvlText w:val="%1."/>
      <w:lvlJc w:val="left"/>
      <w:pPr>
        <w:ind w:left="142" w:firstLine="142"/>
      </w:pPr>
      <w:rPr>
        <w:rFonts w:hint="default"/>
        <w:color w:val="F49B19"/>
      </w:rPr>
    </w:lvl>
    <w:lvl w:ilvl="1" w:tplc="071E6BF4">
      <w:start w:val="1"/>
      <w:numFmt w:val="lowerLetter"/>
      <w:lvlText w:val="%2."/>
      <w:lvlJc w:val="left"/>
      <w:pPr>
        <w:ind w:left="1440" w:hanging="360"/>
      </w:pPr>
    </w:lvl>
    <w:lvl w:ilvl="2" w:tplc="E3E08C60">
      <w:start w:val="1"/>
      <w:numFmt w:val="lowerRoman"/>
      <w:lvlText w:val="%3."/>
      <w:lvlJc w:val="right"/>
      <w:pPr>
        <w:ind w:left="2160" w:hanging="180"/>
      </w:pPr>
    </w:lvl>
    <w:lvl w:ilvl="3" w:tplc="B99C2586">
      <w:start w:val="1"/>
      <w:numFmt w:val="decimal"/>
      <w:lvlText w:val="%4."/>
      <w:lvlJc w:val="left"/>
      <w:pPr>
        <w:ind w:left="2880" w:hanging="360"/>
      </w:pPr>
    </w:lvl>
    <w:lvl w:ilvl="4" w:tplc="CD0A844C">
      <w:start w:val="1"/>
      <w:numFmt w:val="lowerLetter"/>
      <w:lvlText w:val="%5."/>
      <w:lvlJc w:val="left"/>
      <w:pPr>
        <w:ind w:left="3600" w:hanging="360"/>
      </w:pPr>
    </w:lvl>
    <w:lvl w:ilvl="5" w:tplc="EADEDFD2">
      <w:start w:val="1"/>
      <w:numFmt w:val="lowerRoman"/>
      <w:lvlText w:val="%6."/>
      <w:lvlJc w:val="right"/>
      <w:pPr>
        <w:ind w:left="4320" w:hanging="180"/>
      </w:pPr>
    </w:lvl>
    <w:lvl w:ilvl="6" w:tplc="2D5CAD24">
      <w:start w:val="1"/>
      <w:numFmt w:val="decimal"/>
      <w:lvlText w:val="%7."/>
      <w:lvlJc w:val="left"/>
      <w:pPr>
        <w:ind w:left="5040" w:hanging="360"/>
      </w:pPr>
    </w:lvl>
    <w:lvl w:ilvl="7" w:tplc="C9C8A19A">
      <w:start w:val="1"/>
      <w:numFmt w:val="lowerLetter"/>
      <w:lvlText w:val="%8."/>
      <w:lvlJc w:val="left"/>
      <w:pPr>
        <w:ind w:left="5760" w:hanging="360"/>
      </w:pPr>
    </w:lvl>
    <w:lvl w:ilvl="8" w:tplc="1688E866">
      <w:start w:val="1"/>
      <w:numFmt w:val="lowerRoman"/>
      <w:lvlText w:val="%9."/>
      <w:lvlJc w:val="right"/>
      <w:pPr>
        <w:ind w:left="6480" w:hanging="180"/>
      </w:pPr>
    </w:lvl>
  </w:abstractNum>
  <w:abstractNum w:abstractNumId="15" w15:restartNumberingAfterBreak="0">
    <w:nsid w:val="3D88515C"/>
    <w:multiLevelType w:val="hybridMultilevel"/>
    <w:tmpl w:val="E884A2F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0571575"/>
    <w:multiLevelType w:val="multilevel"/>
    <w:tmpl w:val="AA14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D348A0"/>
    <w:multiLevelType w:val="hybridMultilevel"/>
    <w:tmpl w:val="9A760EE4"/>
    <w:lvl w:ilvl="0" w:tplc="5238AB20">
      <w:start w:val="1"/>
      <w:numFmt w:val="bullet"/>
      <w:lvlText w:val="»"/>
      <w:lvlJc w:val="left"/>
      <w:pPr>
        <w:ind w:left="720" w:hanging="360"/>
      </w:pPr>
      <w:rPr>
        <w:rFonts w:ascii="Calibri Light" w:hAnsi="Calibri Light" w:hint="default"/>
        <w:color w:val="F49B1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B70337"/>
    <w:multiLevelType w:val="hybridMultilevel"/>
    <w:tmpl w:val="9CF4AAD8"/>
    <w:lvl w:ilvl="0" w:tplc="5238AB20">
      <w:start w:val="1"/>
      <w:numFmt w:val="bullet"/>
      <w:lvlText w:val="»"/>
      <w:lvlJc w:val="left"/>
      <w:pPr>
        <w:ind w:left="720" w:hanging="360"/>
      </w:pPr>
      <w:rPr>
        <w:rFonts w:ascii="Calibri Light" w:hAnsi="Calibri Light" w:hint="default"/>
        <w:color w:val="F49B1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7EF4C8D"/>
    <w:multiLevelType w:val="hybridMultilevel"/>
    <w:tmpl w:val="0BC6EB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8D301FE"/>
    <w:multiLevelType w:val="hybridMultilevel"/>
    <w:tmpl w:val="4F98E96E"/>
    <w:styleLink w:val="AktuelleListe6"/>
    <w:lvl w:ilvl="0" w:tplc="DC1225F2">
      <w:start w:val="1"/>
      <w:numFmt w:val="decimal"/>
      <w:pStyle w:val="AktuelleListe6"/>
      <w:lvlText w:val="%1."/>
      <w:lvlJc w:val="left"/>
      <w:pPr>
        <w:ind w:left="567" w:hanging="425"/>
      </w:pPr>
      <w:rPr>
        <w:rFonts w:hint="default"/>
        <w:color w:val="F49B19"/>
      </w:rPr>
    </w:lvl>
    <w:lvl w:ilvl="1" w:tplc="2B640990">
      <w:start w:val="1"/>
      <w:numFmt w:val="lowerLetter"/>
      <w:lvlText w:val="%2."/>
      <w:lvlJc w:val="left"/>
      <w:pPr>
        <w:ind w:left="1440" w:hanging="360"/>
      </w:pPr>
    </w:lvl>
    <w:lvl w:ilvl="2" w:tplc="412ED20A">
      <w:start w:val="1"/>
      <w:numFmt w:val="lowerRoman"/>
      <w:lvlText w:val="%3."/>
      <w:lvlJc w:val="right"/>
      <w:pPr>
        <w:ind w:left="2160" w:hanging="180"/>
      </w:pPr>
    </w:lvl>
    <w:lvl w:ilvl="3" w:tplc="80D04E6E">
      <w:start w:val="1"/>
      <w:numFmt w:val="decimal"/>
      <w:lvlText w:val="%4."/>
      <w:lvlJc w:val="left"/>
      <w:pPr>
        <w:ind w:left="2880" w:hanging="360"/>
      </w:pPr>
    </w:lvl>
    <w:lvl w:ilvl="4" w:tplc="699AA792">
      <w:start w:val="1"/>
      <w:numFmt w:val="lowerLetter"/>
      <w:lvlText w:val="%5."/>
      <w:lvlJc w:val="left"/>
      <w:pPr>
        <w:ind w:left="3600" w:hanging="360"/>
      </w:pPr>
    </w:lvl>
    <w:lvl w:ilvl="5" w:tplc="11E856BE">
      <w:start w:val="1"/>
      <w:numFmt w:val="lowerRoman"/>
      <w:lvlText w:val="%6."/>
      <w:lvlJc w:val="right"/>
      <w:pPr>
        <w:ind w:left="4320" w:hanging="180"/>
      </w:pPr>
    </w:lvl>
    <w:lvl w:ilvl="6" w:tplc="1DDCE97E">
      <w:start w:val="1"/>
      <w:numFmt w:val="decimal"/>
      <w:lvlText w:val="%7."/>
      <w:lvlJc w:val="left"/>
      <w:pPr>
        <w:ind w:left="5040" w:hanging="360"/>
      </w:pPr>
    </w:lvl>
    <w:lvl w:ilvl="7" w:tplc="0730368A">
      <w:start w:val="1"/>
      <w:numFmt w:val="lowerLetter"/>
      <w:lvlText w:val="%8."/>
      <w:lvlJc w:val="left"/>
      <w:pPr>
        <w:ind w:left="5760" w:hanging="360"/>
      </w:pPr>
    </w:lvl>
    <w:lvl w:ilvl="8" w:tplc="A224DB58">
      <w:start w:val="1"/>
      <w:numFmt w:val="lowerRoman"/>
      <w:lvlText w:val="%9."/>
      <w:lvlJc w:val="right"/>
      <w:pPr>
        <w:ind w:left="6480" w:hanging="180"/>
      </w:pPr>
    </w:lvl>
  </w:abstractNum>
  <w:abstractNum w:abstractNumId="21" w15:restartNumberingAfterBreak="0">
    <w:nsid w:val="4EDD41B2"/>
    <w:multiLevelType w:val="hybridMultilevel"/>
    <w:tmpl w:val="2C6470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FE138F3"/>
    <w:multiLevelType w:val="multilevel"/>
    <w:tmpl w:val="110A2A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B96E24"/>
    <w:multiLevelType w:val="hybridMultilevel"/>
    <w:tmpl w:val="54EEBFCC"/>
    <w:styleLink w:val="AktuelleListe5"/>
    <w:lvl w:ilvl="0" w:tplc="ABBE1E88">
      <w:start w:val="1"/>
      <w:numFmt w:val="decimal"/>
      <w:pStyle w:val="AktuelleListe5"/>
      <w:lvlText w:val="%1."/>
      <w:lvlJc w:val="left"/>
      <w:pPr>
        <w:tabs>
          <w:tab w:val="num" w:pos="425"/>
        </w:tabs>
        <w:ind w:left="425" w:hanging="283"/>
      </w:pPr>
      <w:rPr>
        <w:rFonts w:hint="default"/>
        <w:color w:val="F49B19"/>
      </w:rPr>
    </w:lvl>
    <w:lvl w:ilvl="1" w:tplc="BF06EE24">
      <w:start w:val="1"/>
      <w:numFmt w:val="lowerLetter"/>
      <w:lvlText w:val="%2."/>
      <w:lvlJc w:val="left"/>
      <w:pPr>
        <w:ind w:left="1440" w:hanging="360"/>
      </w:pPr>
    </w:lvl>
    <w:lvl w:ilvl="2" w:tplc="9B0ECF1A">
      <w:start w:val="1"/>
      <w:numFmt w:val="lowerRoman"/>
      <w:lvlText w:val="%3."/>
      <w:lvlJc w:val="right"/>
      <w:pPr>
        <w:ind w:left="2160" w:hanging="180"/>
      </w:pPr>
    </w:lvl>
    <w:lvl w:ilvl="3" w:tplc="D688D006">
      <w:start w:val="1"/>
      <w:numFmt w:val="decimal"/>
      <w:lvlText w:val="%4."/>
      <w:lvlJc w:val="left"/>
      <w:pPr>
        <w:ind w:left="2880" w:hanging="360"/>
      </w:pPr>
    </w:lvl>
    <w:lvl w:ilvl="4" w:tplc="10921138">
      <w:start w:val="1"/>
      <w:numFmt w:val="lowerLetter"/>
      <w:lvlText w:val="%5."/>
      <w:lvlJc w:val="left"/>
      <w:pPr>
        <w:ind w:left="3600" w:hanging="360"/>
      </w:pPr>
    </w:lvl>
    <w:lvl w:ilvl="5" w:tplc="05EC8158">
      <w:start w:val="1"/>
      <w:numFmt w:val="lowerRoman"/>
      <w:lvlText w:val="%6."/>
      <w:lvlJc w:val="right"/>
      <w:pPr>
        <w:ind w:left="4320" w:hanging="180"/>
      </w:pPr>
    </w:lvl>
    <w:lvl w:ilvl="6" w:tplc="77C43B5C">
      <w:start w:val="1"/>
      <w:numFmt w:val="decimal"/>
      <w:lvlText w:val="%7."/>
      <w:lvlJc w:val="left"/>
      <w:pPr>
        <w:ind w:left="5040" w:hanging="360"/>
      </w:pPr>
    </w:lvl>
    <w:lvl w:ilvl="7" w:tplc="A4AE5694">
      <w:start w:val="1"/>
      <w:numFmt w:val="lowerLetter"/>
      <w:lvlText w:val="%8."/>
      <w:lvlJc w:val="left"/>
      <w:pPr>
        <w:ind w:left="5760" w:hanging="360"/>
      </w:pPr>
    </w:lvl>
    <w:lvl w:ilvl="8" w:tplc="C158E360">
      <w:start w:val="1"/>
      <w:numFmt w:val="lowerRoman"/>
      <w:lvlText w:val="%9."/>
      <w:lvlJc w:val="right"/>
      <w:pPr>
        <w:ind w:left="6480" w:hanging="180"/>
      </w:pPr>
    </w:lvl>
  </w:abstractNum>
  <w:abstractNum w:abstractNumId="24" w15:restartNumberingAfterBreak="0">
    <w:nsid w:val="5629252B"/>
    <w:multiLevelType w:val="hybridMultilevel"/>
    <w:tmpl w:val="4E66F49A"/>
    <w:lvl w:ilvl="0" w:tplc="B9CAEFAC">
      <w:numFmt w:val="bullet"/>
      <w:lvlText w:val="-"/>
      <w:lvlJc w:val="left"/>
      <w:pPr>
        <w:ind w:left="720" w:hanging="360"/>
      </w:pPr>
      <w:rPr>
        <w:rFonts w:ascii="Calibri" w:eastAsia="MS Mincho"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6583F5C"/>
    <w:multiLevelType w:val="hybridMultilevel"/>
    <w:tmpl w:val="BB122824"/>
    <w:styleLink w:val="AktuelleListe8"/>
    <w:lvl w:ilvl="0" w:tplc="5D202338">
      <w:start w:val="1"/>
      <w:numFmt w:val="decimal"/>
      <w:pStyle w:val="AktuelleListe8"/>
      <w:lvlText w:val="%1."/>
      <w:lvlJc w:val="left"/>
      <w:pPr>
        <w:ind w:left="567" w:hanging="425"/>
      </w:pPr>
      <w:rPr>
        <w:rFonts w:hint="default"/>
        <w:color w:val="F49B19"/>
      </w:rPr>
    </w:lvl>
    <w:lvl w:ilvl="1" w:tplc="A1384EA0">
      <w:start w:val="1"/>
      <w:numFmt w:val="lowerLetter"/>
      <w:lvlText w:val="%2."/>
      <w:lvlJc w:val="left"/>
      <w:pPr>
        <w:ind w:left="1440" w:hanging="360"/>
      </w:pPr>
    </w:lvl>
    <w:lvl w:ilvl="2" w:tplc="DB40A8B2">
      <w:start w:val="1"/>
      <w:numFmt w:val="lowerRoman"/>
      <w:lvlText w:val="%3."/>
      <w:lvlJc w:val="right"/>
      <w:pPr>
        <w:ind w:left="2160" w:hanging="180"/>
      </w:pPr>
    </w:lvl>
    <w:lvl w:ilvl="3" w:tplc="5EDCB9B0">
      <w:start w:val="1"/>
      <w:numFmt w:val="decimal"/>
      <w:lvlText w:val="%4."/>
      <w:lvlJc w:val="left"/>
      <w:pPr>
        <w:ind w:left="2880" w:hanging="360"/>
      </w:pPr>
    </w:lvl>
    <w:lvl w:ilvl="4" w:tplc="2DA6B3DE">
      <w:start w:val="1"/>
      <w:numFmt w:val="lowerLetter"/>
      <w:lvlText w:val="%5."/>
      <w:lvlJc w:val="left"/>
      <w:pPr>
        <w:ind w:left="3600" w:hanging="360"/>
      </w:pPr>
    </w:lvl>
    <w:lvl w:ilvl="5" w:tplc="F968BF64">
      <w:start w:val="1"/>
      <w:numFmt w:val="lowerRoman"/>
      <w:lvlText w:val="%6."/>
      <w:lvlJc w:val="right"/>
      <w:pPr>
        <w:ind w:left="4320" w:hanging="180"/>
      </w:pPr>
    </w:lvl>
    <w:lvl w:ilvl="6" w:tplc="EF624C28">
      <w:start w:val="1"/>
      <w:numFmt w:val="decimal"/>
      <w:lvlText w:val="%7."/>
      <w:lvlJc w:val="left"/>
      <w:pPr>
        <w:ind w:left="5040" w:hanging="360"/>
      </w:pPr>
    </w:lvl>
    <w:lvl w:ilvl="7" w:tplc="053E5AC8">
      <w:start w:val="1"/>
      <w:numFmt w:val="lowerLetter"/>
      <w:lvlText w:val="%8."/>
      <w:lvlJc w:val="left"/>
      <w:pPr>
        <w:ind w:left="5760" w:hanging="360"/>
      </w:pPr>
    </w:lvl>
    <w:lvl w:ilvl="8" w:tplc="0B4A6BC8">
      <w:start w:val="1"/>
      <w:numFmt w:val="lowerRoman"/>
      <w:lvlText w:val="%9."/>
      <w:lvlJc w:val="right"/>
      <w:pPr>
        <w:ind w:left="6480" w:hanging="180"/>
      </w:pPr>
    </w:lvl>
  </w:abstractNum>
  <w:abstractNum w:abstractNumId="26" w15:restartNumberingAfterBreak="0">
    <w:nsid w:val="5C4E5DC0"/>
    <w:multiLevelType w:val="multilevel"/>
    <w:tmpl w:val="BF6C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9D625C"/>
    <w:multiLevelType w:val="multilevel"/>
    <w:tmpl w:val="6BD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6E1888"/>
    <w:multiLevelType w:val="multilevel"/>
    <w:tmpl w:val="91C8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9C6384"/>
    <w:multiLevelType w:val="multilevel"/>
    <w:tmpl w:val="2FBCC60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0" w15:restartNumberingAfterBreak="0">
    <w:nsid w:val="65FB1365"/>
    <w:multiLevelType w:val="multilevel"/>
    <w:tmpl w:val="5F2C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4E6DA4"/>
    <w:multiLevelType w:val="hybridMultilevel"/>
    <w:tmpl w:val="81AAF88A"/>
    <w:lvl w:ilvl="0" w:tplc="36DABB36">
      <w:numFmt w:val="bullet"/>
      <w:lvlText w:val="-"/>
      <w:lvlJc w:val="left"/>
      <w:pPr>
        <w:ind w:left="720" w:hanging="360"/>
      </w:pPr>
      <w:rPr>
        <w:rFonts w:ascii="Calibri" w:eastAsia="MS Mincho"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7FE5270"/>
    <w:multiLevelType w:val="hybridMultilevel"/>
    <w:tmpl w:val="FC6A1D64"/>
    <w:lvl w:ilvl="0" w:tplc="C02A7F70">
      <w:start w:val="1"/>
      <w:numFmt w:val="bullet"/>
      <w:lvlText w:val="-"/>
      <w:lvlJc w:val="left"/>
      <w:pPr>
        <w:ind w:left="720" w:hanging="360"/>
      </w:pPr>
      <w:rPr>
        <w:rFonts w:ascii="Calibri" w:eastAsia="MS Mincho" w:hAnsi="Calibri" w:cs="Calibri" w:hint="default"/>
      </w:rPr>
    </w:lvl>
    <w:lvl w:ilvl="1" w:tplc="04070005">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5A0A9F"/>
    <w:multiLevelType w:val="hybridMultilevel"/>
    <w:tmpl w:val="6B3C7730"/>
    <w:lvl w:ilvl="0" w:tplc="B9CAEFAC">
      <w:numFmt w:val="bullet"/>
      <w:lvlText w:val="-"/>
      <w:lvlJc w:val="left"/>
      <w:pPr>
        <w:ind w:left="720" w:hanging="360"/>
      </w:pPr>
      <w:rPr>
        <w:rFonts w:ascii="Calibri" w:eastAsia="MS Mincho"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9B05F72"/>
    <w:multiLevelType w:val="hybridMultilevel"/>
    <w:tmpl w:val="551217FA"/>
    <w:lvl w:ilvl="0" w:tplc="8CCAC8C2">
      <w:start w:val="1"/>
      <w:numFmt w:val="decimal"/>
      <w:lvlText w:val="%1"/>
      <w:lvlJc w:val="left"/>
      <w:pPr>
        <w:ind w:left="720" w:hanging="360"/>
      </w:pPr>
      <w:rPr>
        <w:rFonts w:ascii="Arial" w:hAnsi="Arial" w:cs="Arial" w:hint="default"/>
        <w:color w:val="222222"/>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2E6411A"/>
    <w:multiLevelType w:val="hybridMultilevel"/>
    <w:tmpl w:val="4D226ACA"/>
    <w:lvl w:ilvl="0" w:tplc="1CEE16A0">
      <w:numFmt w:val="bullet"/>
      <w:lvlText w:val="-"/>
      <w:lvlJc w:val="left"/>
      <w:pPr>
        <w:ind w:left="720" w:hanging="360"/>
      </w:pPr>
      <w:rPr>
        <w:rFonts w:ascii="Calibri" w:eastAsia="MS Mincho"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84F5054"/>
    <w:multiLevelType w:val="hybridMultilevel"/>
    <w:tmpl w:val="B77C9E86"/>
    <w:styleLink w:val="AktuelleListe2"/>
    <w:lvl w:ilvl="0" w:tplc="0F28B394">
      <w:start w:val="1"/>
      <w:numFmt w:val="decimal"/>
      <w:pStyle w:val="AktuelleListe2"/>
      <w:lvlText w:val="%1."/>
      <w:lvlJc w:val="left"/>
      <w:pPr>
        <w:ind w:left="142" w:firstLine="142"/>
      </w:pPr>
      <w:rPr>
        <w:rFonts w:hint="default"/>
        <w:color w:val="F49B19"/>
      </w:rPr>
    </w:lvl>
    <w:lvl w:ilvl="1" w:tplc="E35AAE8E">
      <w:start w:val="1"/>
      <w:numFmt w:val="lowerLetter"/>
      <w:lvlText w:val="%2."/>
      <w:lvlJc w:val="left"/>
      <w:pPr>
        <w:ind w:left="1440" w:hanging="360"/>
      </w:pPr>
    </w:lvl>
    <w:lvl w:ilvl="2" w:tplc="19760274">
      <w:start w:val="1"/>
      <w:numFmt w:val="lowerRoman"/>
      <w:lvlText w:val="%3."/>
      <w:lvlJc w:val="right"/>
      <w:pPr>
        <w:ind w:left="2160" w:hanging="180"/>
      </w:pPr>
    </w:lvl>
    <w:lvl w:ilvl="3" w:tplc="6F78B684">
      <w:start w:val="1"/>
      <w:numFmt w:val="decimal"/>
      <w:lvlText w:val="%4."/>
      <w:lvlJc w:val="left"/>
      <w:pPr>
        <w:ind w:left="2880" w:hanging="360"/>
      </w:pPr>
    </w:lvl>
    <w:lvl w:ilvl="4" w:tplc="58F04AF2">
      <w:start w:val="1"/>
      <w:numFmt w:val="lowerLetter"/>
      <w:lvlText w:val="%5."/>
      <w:lvlJc w:val="left"/>
      <w:pPr>
        <w:ind w:left="3600" w:hanging="360"/>
      </w:pPr>
    </w:lvl>
    <w:lvl w:ilvl="5" w:tplc="A59A6DAE">
      <w:start w:val="1"/>
      <w:numFmt w:val="lowerRoman"/>
      <w:lvlText w:val="%6."/>
      <w:lvlJc w:val="right"/>
      <w:pPr>
        <w:ind w:left="4320" w:hanging="180"/>
      </w:pPr>
    </w:lvl>
    <w:lvl w:ilvl="6" w:tplc="2B1C3170">
      <w:start w:val="1"/>
      <w:numFmt w:val="decimal"/>
      <w:lvlText w:val="%7."/>
      <w:lvlJc w:val="left"/>
      <w:pPr>
        <w:ind w:left="5040" w:hanging="360"/>
      </w:pPr>
    </w:lvl>
    <w:lvl w:ilvl="7" w:tplc="DC461614">
      <w:start w:val="1"/>
      <w:numFmt w:val="lowerLetter"/>
      <w:lvlText w:val="%8."/>
      <w:lvlJc w:val="left"/>
      <w:pPr>
        <w:ind w:left="5760" w:hanging="360"/>
      </w:pPr>
    </w:lvl>
    <w:lvl w:ilvl="8" w:tplc="44504572">
      <w:start w:val="1"/>
      <w:numFmt w:val="lowerRoman"/>
      <w:lvlText w:val="%9."/>
      <w:lvlJc w:val="right"/>
      <w:pPr>
        <w:ind w:left="6480" w:hanging="180"/>
      </w:pPr>
    </w:lvl>
  </w:abstractNum>
  <w:abstractNum w:abstractNumId="37" w15:restartNumberingAfterBreak="0">
    <w:nsid w:val="78896CDA"/>
    <w:multiLevelType w:val="hybridMultilevel"/>
    <w:tmpl w:val="77DC8D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47950436">
    <w:abstractNumId w:val="29"/>
  </w:num>
  <w:num w:numId="2" w16cid:durableId="66076786">
    <w:abstractNumId w:val="12"/>
  </w:num>
  <w:num w:numId="3" w16cid:durableId="515464327">
    <w:abstractNumId w:val="13"/>
  </w:num>
  <w:num w:numId="4" w16cid:durableId="1726292614">
    <w:abstractNumId w:val="36"/>
  </w:num>
  <w:num w:numId="5" w16cid:durableId="854155627">
    <w:abstractNumId w:val="14"/>
  </w:num>
  <w:num w:numId="6" w16cid:durableId="481311073">
    <w:abstractNumId w:val="5"/>
  </w:num>
  <w:num w:numId="7" w16cid:durableId="272132233">
    <w:abstractNumId w:val="23"/>
  </w:num>
  <w:num w:numId="8" w16cid:durableId="713308121">
    <w:abstractNumId w:val="20"/>
  </w:num>
  <w:num w:numId="9" w16cid:durableId="811672917">
    <w:abstractNumId w:val="11"/>
  </w:num>
  <w:num w:numId="10" w16cid:durableId="1428696131">
    <w:abstractNumId w:val="8"/>
  </w:num>
  <w:num w:numId="11" w16cid:durableId="809446233">
    <w:abstractNumId w:val="25"/>
  </w:num>
  <w:num w:numId="12" w16cid:durableId="689717110">
    <w:abstractNumId w:val="10"/>
  </w:num>
  <w:num w:numId="13" w16cid:durableId="1617130368">
    <w:abstractNumId w:val="3"/>
  </w:num>
  <w:num w:numId="14" w16cid:durableId="903218370">
    <w:abstractNumId w:val="37"/>
  </w:num>
  <w:num w:numId="15" w16cid:durableId="774440443">
    <w:abstractNumId w:val="19"/>
  </w:num>
  <w:num w:numId="16" w16cid:durableId="249893244">
    <w:abstractNumId w:val="32"/>
  </w:num>
  <w:num w:numId="17" w16cid:durableId="2099131978">
    <w:abstractNumId w:val="15"/>
  </w:num>
  <w:num w:numId="18" w16cid:durableId="1948803854">
    <w:abstractNumId w:val="27"/>
  </w:num>
  <w:num w:numId="19" w16cid:durableId="1381591898">
    <w:abstractNumId w:val="34"/>
  </w:num>
  <w:num w:numId="20" w16cid:durableId="1147743115">
    <w:abstractNumId w:val="4"/>
  </w:num>
  <w:num w:numId="21" w16cid:durableId="1893231184">
    <w:abstractNumId w:val="17"/>
  </w:num>
  <w:num w:numId="22" w16cid:durableId="37710566">
    <w:abstractNumId w:val="18"/>
  </w:num>
  <w:num w:numId="23" w16cid:durableId="1475172475">
    <w:abstractNumId w:val="13"/>
  </w:num>
  <w:num w:numId="24" w16cid:durableId="823859796">
    <w:abstractNumId w:val="21"/>
  </w:num>
  <w:num w:numId="25" w16cid:durableId="1206411580">
    <w:abstractNumId w:val="9"/>
  </w:num>
  <w:num w:numId="26" w16cid:durableId="767122286">
    <w:abstractNumId w:val="16"/>
  </w:num>
  <w:num w:numId="27" w16cid:durableId="1137146925">
    <w:abstractNumId w:val="31"/>
  </w:num>
  <w:num w:numId="28" w16cid:durableId="1984310618">
    <w:abstractNumId w:val="30"/>
  </w:num>
  <w:num w:numId="29" w16cid:durableId="627050410">
    <w:abstractNumId w:val="29"/>
  </w:num>
  <w:num w:numId="30" w16cid:durableId="668755504">
    <w:abstractNumId w:val="1"/>
  </w:num>
  <w:num w:numId="31" w16cid:durableId="937173517">
    <w:abstractNumId w:val="35"/>
  </w:num>
  <w:num w:numId="32" w16cid:durableId="1236941664">
    <w:abstractNumId w:val="7"/>
  </w:num>
  <w:num w:numId="33" w16cid:durableId="987514266">
    <w:abstractNumId w:val="24"/>
  </w:num>
  <w:num w:numId="34" w16cid:durableId="324163588">
    <w:abstractNumId w:val="33"/>
  </w:num>
  <w:num w:numId="35" w16cid:durableId="428157902">
    <w:abstractNumId w:val="26"/>
  </w:num>
  <w:num w:numId="36" w16cid:durableId="740179026">
    <w:abstractNumId w:val="28"/>
  </w:num>
  <w:num w:numId="37" w16cid:durableId="1592349621">
    <w:abstractNumId w:val="0"/>
  </w:num>
  <w:num w:numId="38" w16cid:durableId="603852484">
    <w:abstractNumId w:val="22"/>
  </w:num>
  <w:num w:numId="39" w16cid:durableId="770858962">
    <w:abstractNumId w:val="2"/>
  </w:num>
  <w:num w:numId="40" w16cid:durableId="1086683462">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56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yMzI3NLc0MDI0srBQ0lEKTi0uzszPAykwrAUAL6DSJywAAAA="/>
  </w:docVars>
  <w:rsids>
    <w:rsidRoot w:val="008012E6"/>
    <w:rsid w:val="000003D4"/>
    <w:rsid w:val="000004DA"/>
    <w:rsid w:val="000006E6"/>
    <w:rsid w:val="00000CED"/>
    <w:rsid w:val="000015FA"/>
    <w:rsid w:val="00001690"/>
    <w:rsid w:val="000017BB"/>
    <w:rsid w:val="00001A96"/>
    <w:rsid w:val="00003E04"/>
    <w:rsid w:val="0000416F"/>
    <w:rsid w:val="000056D5"/>
    <w:rsid w:val="00005894"/>
    <w:rsid w:val="00005B5F"/>
    <w:rsid w:val="00005C01"/>
    <w:rsid w:val="00005E29"/>
    <w:rsid w:val="000064B8"/>
    <w:rsid w:val="00006545"/>
    <w:rsid w:val="00007198"/>
    <w:rsid w:val="000076C3"/>
    <w:rsid w:val="00010175"/>
    <w:rsid w:val="0001106F"/>
    <w:rsid w:val="000117DF"/>
    <w:rsid w:val="0001194E"/>
    <w:rsid w:val="00011FA2"/>
    <w:rsid w:val="000120B2"/>
    <w:rsid w:val="00012113"/>
    <w:rsid w:val="00013888"/>
    <w:rsid w:val="00014532"/>
    <w:rsid w:val="00014B81"/>
    <w:rsid w:val="00014B99"/>
    <w:rsid w:val="00015C3F"/>
    <w:rsid w:val="00016105"/>
    <w:rsid w:val="0001750E"/>
    <w:rsid w:val="00017581"/>
    <w:rsid w:val="000176A7"/>
    <w:rsid w:val="00017B6B"/>
    <w:rsid w:val="00017D00"/>
    <w:rsid w:val="00020AF8"/>
    <w:rsid w:val="000217D4"/>
    <w:rsid w:val="000217E5"/>
    <w:rsid w:val="000219DF"/>
    <w:rsid w:val="00021EDD"/>
    <w:rsid w:val="00022019"/>
    <w:rsid w:val="000227B4"/>
    <w:rsid w:val="00022875"/>
    <w:rsid w:val="000228FE"/>
    <w:rsid w:val="00022C74"/>
    <w:rsid w:val="00023E8B"/>
    <w:rsid w:val="00023FB0"/>
    <w:rsid w:val="000248DF"/>
    <w:rsid w:val="00024E5A"/>
    <w:rsid w:val="00024FC5"/>
    <w:rsid w:val="00025093"/>
    <w:rsid w:val="000255A5"/>
    <w:rsid w:val="00025A04"/>
    <w:rsid w:val="00025A13"/>
    <w:rsid w:val="00026D45"/>
    <w:rsid w:val="00027543"/>
    <w:rsid w:val="000275C7"/>
    <w:rsid w:val="00030FBC"/>
    <w:rsid w:val="00031140"/>
    <w:rsid w:val="00031647"/>
    <w:rsid w:val="00031AC3"/>
    <w:rsid w:val="00031C89"/>
    <w:rsid w:val="00034132"/>
    <w:rsid w:val="00036255"/>
    <w:rsid w:val="0003684A"/>
    <w:rsid w:val="0003787E"/>
    <w:rsid w:val="00037B32"/>
    <w:rsid w:val="00037C29"/>
    <w:rsid w:val="00037CAD"/>
    <w:rsid w:val="00037E67"/>
    <w:rsid w:val="000404D3"/>
    <w:rsid w:val="0004111A"/>
    <w:rsid w:val="0004135F"/>
    <w:rsid w:val="000415FD"/>
    <w:rsid w:val="00041938"/>
    <w:rsid w:val="00041BFF"/>
    <w:rsid w:val="0004413B"/>
    <w:rsid w:val="000441A2"/>
    <w:rsid w:val="00044404"/>
    <w:rsid w:val="00044B50"/>
    <w:rsid w:val="000451E7"/>
    <w:rsid w:val="00045230"/>
    <w:rsid w:val="000453CD"/>
    <w:rsid w:val="00045795"/>
    <w:rsid w:val="00045CD4"/>
    <w:rsid w:val="00046261"/>
    <w:rsid w:val="00046A67"/>
    <w:rsid w:val="00046DD0"/>
    <w:rsid w:val="00047310"/>
    <w:rsid w:val="000473A6"/>
    <w:rsid w:val="00050827"/>
    <w:rsid w:val="000508B7"/>
    <w:rsid w:val="00052589"/>
    <w:rsid w:val="00052722"/>
    <w:rsid w:val="00052F66"/>
    <w:rsid w:val="00053D8C"/>
    <w:rsid w:val="0005425C"/>
    <w:rsid w:val="00054B10"/>
    <w:rsid w:val="00054B75"/>
    <w:rsid w:val="000552E0"/>
    <w:rsid w:val="000557DB"/>
    <w:rsid w:val="00055D05"/>
    <w:rsid w:val="00056AD3"/>
    <w:rsid w:val="000573FA"/>
    <w:rsid w:val="00057A80"/>
    <w:rsid w:val="00057A9D"/>
    <w:rsid w:val="00057EE7"/>
    <w:rsid w:val="0006045F"/>
    <w:rsid w:val="0006049D"/>
    <w:rsid w:val="000617A1"/>
    <w:rsid w:val="000618AC"/>
    <w:rsid w:val="0006191E"/>
    <w:rsid w:val="00061A0F"/>
    <w:rsid w:val="000620EB"/>
    <w:rsid w:val="000637A1"/>
    <w:rsid w:val="00064C80"/>
    <w:rsid w:val="00065581"/>
    <w:rsid w:val="0006596F"/>
    <w:rsid w:val="00066A76"/>
    <w:rsid w:val="00067948"/>
    <w:rsid w:val="00067D02"/>
    <w:rsid w:val="000716E1"/>
    <w:rsid w:val="00073571"/>
    <w:rsid w:val="0007422F"/>
    <w:rsid w:val="000742D0"/>
    <w:rsid w:val="00074F7B"/>
    <w:rsid w:val="00075074"/>
    <w:rsid w:val="00075532"/>
    <w:rsid w:val="000755E7"/>
    <w:rsid w:val="000763F7"/>
    <w:rsid w:val="0007680E"/>
    <w:rsid w:val="000772AD"/>
    <w:rsid w:val="0008030C"/>
    <w:rsid w:val="00080635"/>
    <w:rsid w:val="0008098D"/>
    <w:rsid w:val="00080C2C"/>
    <w:rsid w:val="0008109B"/>
    <w:rsid w:val="000813CF"/>
    <w:rsid w:val="000825A4"/>
    <w:rsid w:val="00082637"/>
    <w:rsid w:val="00082665"/>
    <w:rsid w:val="00082AD9"/>
    <w:rsid w:val="00082D81"/>
    <w:rsid w:val="00082ED2"/>
    <w:rsid w:val="000837D6"/>
    <w:rsid w:val="000839E3"/>
    <w:rsid w:val="00083F75"/>
    <w:rsid w:val="00083FB0"/>
    <w:rsid w:val="000851F4"/>
    <w:rsid w:val="00085A62"/>
    <w:rsid w:val="00086571"/>
    <w:rsid w:val="00086573"/>
    <w:rsid w:val="00086B16"/>
    <w:rsid w:val="00086B9A"/>
    <w:rsid w:val="00086DF9"/>
    <w:rsid w:val="000871F5"/>
    <w:rsid w:val="0008730A"/>
    <w:rsid w:val="0008766E"/>
    <w:rsid w:val="00087793"/>
    <w:rsid w:val="00087B0A"/>
    <w:rsid w:val="000902CA"/>
    <w:rsid w:val="000913A9"/>
    <w:rsid w:val="000913DC"/>
    <w:rsid w:val="0009291B"/>
    <w:rsid w:val="00092A52"/>
    <w:rsid w:val="00092AAF"/>
    <w:rsid w:val="0009341C"/>
    <w:rsid w:val="00093590"/>
    <w:rsid w:val="0009372A"/>
    <w:rsid w:val="0009375E"/>
    <w:rsid w:val="00093C87"/>
    <w:rsid w:val="000943F3"/>
    <w:rsid w:val="00094CB5"/>
    <w:rsid w:val="000957EE"/>
    <w:rsid w:val="00096067"/>
    <w:rsid w:val="00096370"/>
    <w:rsid w:val="0009706C"/>
    <w:rsid w:val="0009776B"/>
    <w:rsid w:val="000979B1"/>
    <w:rsid w:val="000979F3"/>
    <w:rsid w:val="00097BBF"/>
    <w:rsid w:val="00097BFE"/>
    <w:rsid w:val="000A0226"/>
    <w:rsid w:val="000A0233"/>
    <w:rsid w:val="000A0838"/>
    <w:rsid w:val="000A0A13"/>
    <w:rsid w:val="000A0C4E"/>
    <w:rsid w:val="000A0CBC"/>
    <w:rsid w:val="000A0F3A"/>
    <w:rsid w:val="000A1183"/>
    <w:rsid w:val="000A13FF"/>
    <w:rsid w:val="000A1972"/>
    <w:rsid w:val="000A21F9"/>
    <w:rsid w:val="000A221F"/>
    <w:rsid w:val="000A28D2"/>
    <w:rsid w:val="000A2CDB"/>
    <w:rsid w:val="000A3688"/>
    <w:rsid w:val="000A38C4"/>
    <w:rsid w:val="000A4A88"/>
    <w:rsid w:val="000A4BE6"/>
    <w:rsid w:val="000A4F56"/>
    <w:rsid w:val="000A5279"/>
    <w:rsid w:val="000A539E"/>
    <w:rsid w:val="000A561F"/>
    <w:rsid w:val="000A5BDF"/>
    <w:rsid w:val="000A66A3"/>
    <w:rsid w:val="000A6D4D"/>
    <w:rsid w:val="000A6EED"/>
    <w:rsid w:val="000A6F03"/>
    <w:rsid w:val="000A7C64"/>
    <w:rsid w:val="000B032E"/>
    <w:rsid w:val="000B0901"/>
    <w:rsid w:val="000B118C"/>
    <w:rsid w:val="000B149F"/>
    <w:rsid w:val="000B1958"/>
    <w:rsid w:val="000B2FE7"/>
    <w:rsid w:val="000B33A0"/>
    <w:rsid w:val="000B379C"/>
    <w:rsid w:val="000B3C07"/>
    <w:rsid w:val="000B3C22"/>
    <w:rsid w:val="000B4152"/>
    <w:rsid w:val="000B4DE6"/>
    <w:rsid w:val="000B5266"/>
    <w:rsid w:val="000B563A"/>
    <w:rsid w:val="000B6037"/>
    <w:rsid w:val="000B6266"/>
    <w:rsid w:val="000B633F"/>
    <w:rsid w:val="000B6411"/>
    <w:rsid w:val="000B68E2"/>
    <w:rsid w:val="000B69D6"/>
    <w:rsid w:val="000B7218"/>
    <w:rsid w:val="000B7762"/>
    <w:rsid w:val="000B7A85"/>
    <w:rsid w:val="000B7B32"/>
    <w:rsid w:val="000C0494"/>
    <w:rsid w:val="000C053D"/>
    <w:rsid w:val="000C064F"/>
    <w:rsid w:val="000C093F"/>
    <w:rsid w:val="000C1603"/>
    <w:rsid w:val="000C1774"/>
    <w:rsid w:val="000C287A"/>
    <w:rsid w:val="000C2D00"/>
    <w:rsid w:val="000C369D"/>
    <w:rsid w:val="000C3B5E"/>
    <w:rsid w:val="000C4057"/>
    <w:rsid w:val="000C49E9"/>
    <w:rsid w:val="000C4A24"/>
    <w:rsid w:val="000C4B9A"/>
    <w:rsid w:val="000C4C83"/>
    <w:rsid w:val="000C57BE"/>
    <w:rsid w:val="000C5F3E"/>
    <w:rsid w:val="000C6627"/>
    <w:rsid w:val="000C71C4"/>
    <w:rsid w:val="000C787C"/>
    <w:rsid w:val="000D04F9"/>
    <w:rsid w:val="000D0880"/>
    <w:rsid w:val="000D0B63"/>
    <w:rsid w:val="000D14D2"/>
    <w:rsid w:val="000D1A8E"/>
    <w:rsid w:val="000D1D43"/>
    <w:rsid w:val="000D3202"/>
    <w:rsid w:val="000D3FF6"/>
    <w:rsid w:val="000D446E"/>
    <w:rsid w:val="000D472A"/>
    <w:rsid w:val="000D554E"/>
    <w:rsid w:val="000D5C26"/>
    <w:rsid w:val="000D6856"/>
    <w:rsid w:val="000D7C4C"/>
    <w:rsid w:val="000E0947"/>
    <w:rsid w:val="000E127D"/>
    <w:rsid w:val="000E15FD"/>
    <w:rsid w:val="000E1611"/>
    <w:rsid w:val="000E1E34"/>
    <w:rsid w:val="000E3524"/>
    <w:rsid w:val="000E3661"/>
    <w:rsid w:val="000E397F"/>
    <w:rsid w:val="000E3DF7"/>
    <w:rsid w:val="000E4E9E"/>
    <w:rsid w:val="000E532D"/>
    <w:rsid w:val="000E6188"/>
    <w:rsid w:val="000E6EAC"/>
    <w:rsid w:val="000E6F64"/>
    <w:rsid w:val="000E728B"/>
    <w:rsid w:val="000E7577"/>
    <w:rsid w:val="000E7580"/>
    <w:rsid w:val="000F0587"/>
    <w:rsid w:val="000F1466"/>
    <w:rsid w:val="000F2573"/>
    <w:rsid w:val="000F2888"/>
    <w:rsid w:val="000F28EF"/>
    <w:rsid w:val="000F2A03"/>
    <w:rsid w:val="000F3157"/>
    <w:rsid w:val="000F316A"/>
    <w:rsid w:val="000F3668"/>
    <w:rsid w:val="000F4194"/>
    <w:rsid w:val="000F45D9"/>
    <w:rsid w:val="000F4837"/>
    <w:rsid w:val="000F4C09"/>
    <w:rsid w:val="000F5221"/>
    <w:rsid w:val="000F683C"/>
    <w:rsid w:val="000F6B50"/>
    <w:rsid w:val="000F75D4"/>
    <w:rsid w:val="000F77A8"/>
    <w:rsid w:val="000F795F"/>
    <w:rsid w:val="00100661"/>
    <w:rsid w:val="001007EC"/>
    <w:rsid w:val="00100D07"/>
    <w:rsid w:val="00101333"/>
    <w:rsid w:val="00101443"/>
    <w:rsid w:val="00101780"/>
    <w:rsid w:val="001018A4"/>
    <w:rsid w:val="00101E28"/>
    <w:rsid w:val="00102535"/>
    <w:rsid w:val="0010312B"/>
    <w:rsid w:val="00103838"/>
    <w:rsid w:val="00103C25"/>
    <w:rsid w:val="00103C98"/>
    <w:rsid w:val="00103D73"/>
    <w:rsid w:val="00104503"/>
    <w:rsid w:val="001049D9"/>
    <w:rsid w:val="0010528F"/>
    <w:rsid w:val="00105458"/>
    <w:rsid w:val="00106186"/>
    <w:rsid w:val="00106DFE"/>
    <w:rsid w:val="00107465"/>
    <w:rsid w:val="00110A96"/>
    <w:rsid w:val="00110B32"/>
    <w:rsid w:val="00111501"/>
    <w:rsid w:val="001117A5"/>
    <w:rsid w:val="001120B9"/>
    <w:rsid w:val="00112B55"/>
    <w:rsid w:val="00112B8B"/>
    <w:rsid w:val="00112BC9"/>
    <w:rsid w:val="00113FBD"/>
    <w:rsid w:val="001140AB"/>
    <w:rsid w:val="00114190"/>
    <w:rsid w:val="00114780"/>
    <w:rsid w:val="00114ED7"/>
    <w:rsid w:val="00114F7A"/>
    <w:rsid w:val="001152D8"/>
    <w:rsid w:val="00115A0F"/>
    <w:rsid w:val="00115E28"/>
    <w:rsid w:val="00116E8A"/>
    <w:rsid w:val="00117F38"/>
    <w:rsid w:val="001200D9"/>
    <w:rsid w:val="00120453"/>
    <w:rsid w:val="001205BC"/>
    <w:rsid w:val="001206D1"/>
    <w:rsid w:val="00121427"/>
    <w:rsid w:val="00121547"/>
    <w:rsid w:val="001219F9"/>
    <w:rsid w:val="00121ACD"/>
    <w:rsid w:val="00122C21"/>
    <w:rsid w:val="001239CB"/>
    <w:rsid w:val="001243CE"/>
    <w:rsid w:val="00124B8C"/>
    <w:rsid w:val="00124D8B"/>
    <w:rsid w:val="00125840"/>
    <w:rsid w:val="0012593B"/>
    <w:rsid w:val="001259BB"/>
    <w:rsid w:val="00125C76"/>
    <w:rsid w:val="0012600D"/>
    <w:rsid w:val="00126120"/>
    <w:rsid w:val="001263FD"/>
    <w:rsid w:val="00126B1B"/>
    <w:rsid w:val="00126EFC"/>
    <w:rsid w:val="00126F4E"/>
    <w:rsid w:val="00127A5F"/>
    <w:rsid w:val="00127AFF"/>
    <w:rsid w:val="00127C44"/>
    <w:rsid w:val="00130EEB"/>
    <w:rsid w:val="00131228"/>
    <w:rsid w:val="00132006"/>
    <w:rsid w:val="00132159"/>
    <w:rsid w:val="0013250F"/>
    <w:rsid w:val="00133C5A"/>
    <w:rsid w:val="00133D74"/>
    <w:rsid w:val="001341AE"/>
    <w:rsid w:val="0013520E"/>
    <w:rsid w:val="00135D0B"/>
    <w:rsid w:val="00136513"/>
    <w:rsid w:val="001366EA"/>
    <w:rsid w:val="00136A3F"/>
    <w:rsid w:val="001372BF"/>
    <w:rsid w:val="00137614"/>
    <w:rsid w:val="00137AC1"/>
    <w:rsid w:val="00137C02"/>
    <w:rsid w:val="001407D0"/>
    <w:rsid w:val="001409E7"/>
    <w:rsid w:val="00141C3B"/>
    <w:rsid w:val="00143276"/>
    <w:rsid w:val="0014348D"/>
    <w:rsid w:val="001434C7"/>
    <w:rsid w:val="001435C3"/>
    <w:rsid w:val="00143644"/>
    <w:rsid w:val="001438EC"/>
    <w:rsid w:val="0014544A"/>
    <w:rsid w:val="0014561D"/>
    <w:rsid w:val="00146B93"/>
    <w:rsid w:val="00147EA7"/>
    <w:rsid w:val="0015008C"/>
    <w:rsid w:val="001505A2"/>
    <w:rsid w:val="00150AF4"/>
    <w:rsid w:val="001513F9"/>
    <w:rsid w:val="001516E4"/>
    <w:rsid w:val="00151DCE"/>
    <w:rsid w:val="0015411C"/>
    <w:rsid w:val="00154D6C"/>
    <w:rsid w:val="0015506C"/>
    <w:rsid w:val="00155309"/>
    <w:rsid w:val="0015530A"/>
    <w:rsid w:val="00155891"/>
    <w:rsid w:val="00155967"/>
    <w:rsid w:val="00155BD2"/>
    <w:rsid w:val="00156AD0"/>
    <w:rsid w:val="00156C05"/>
    <w:rsid w:val="001571F5"/>
    <w:rsid w:val="001575C5"/>
    <w:rsid w:val="00157647"/>
    <w:rsid w:val="0015772E"/>
    <w:rsid w:val="001577F8"/>
    <w:rsid w:val="0015798F"/>
    <w:rsid w:val="00160015"/>
    <w:rsid w:val="00160137"/>
    <w:rsid w:val="00161473"/>
    <w:rsid w:val="00162301"/>
    <w:rsid w:val="00162902"/>
    <w:rsid w:val="0016314E"/>
    <w:rsid w:val="001637DE"/>
    <w:rsid w:val="00165DAC"/>
    <w:rsid w:val="00166743"/>
    <w:rsid w:val="00167FCC"/>
    <w:rsid w:val="00170907"/>
    <w:rsid w:val="00170F7D"/>
    <w:rsid w:val="00171115"/>
    <w:rsid w:val="00171E88"/>
    <w:rsid w:val="001723C9"/>
    <w:rsid w:val="00172467"/>
    <w:rsid w:val="001724C6"/>
    <w:rsid w:val="00172CCD"/>
    <w:rsid w:val="001734C9"/>
    <w:rsid w:val="00174901"/>
    <w:rsid w:val="00174D1B"/>
    <w:rsid w:val="00174FC1"/>
    <w:rsid w:val="00174FFD"/>
    <w:rsid w:val="00175034"/>
    <w:rsid w:val="00175824"/>
    <w:rsid w:val="00175BB5"/>
    <w:rsid w:val="00175C23"/>
    <w:rsid w:val="00176321"/>
    <w:rsid w:val="00176B39"/>
    <w:rsid w:val="00176E94"/>
    <w:rsid w:val="0017728E"/>
    <w:rsid w:val="00177516"/>
    <w:rsid w:val="0018033D"/>
    <w:rsid w:val="00180818"/>
    <w:rsid w:val="00180942"/>
    <w:rsid w:val="00180A8D"/>
    <w:rsid w:val="00180C10"/>
    <w:rsid w:val="001814BA"/>
    <w:rsid w:val="00181839"/>
    <w:rsid w:val="00181A75"/>
    <w:rsid w:val="00182095"/>
    <w:rsid w:val="00183080"/>
    <w:rsid w:val="00183DF3"/>
    <w:rsid w:val="00184361"/>
    <w:rsid w:val="00184717"/>
    <w:rsid w:val="00184A36"/>
    <w:rsid w:val="00184D3C"/>
    <w:rsid w:val="00184FDB"/>
    <w:rsid w:val="0018528C"/>
    <w:rsid w:val="00185401"/>
    <w:rsid w:val="001855F3"/>
    <w:rsid w:val="0018606A"/>
    <w:rsid w:val="00186241"/>
    <w:rsid w:val="00186EB2"/>
    <w:rsid w:val="001873C4"/>
    <w:rsid w:val="001876C8"/>
    <w:rsid w:val="00187C17"/>
    <w:rsid w:val="00190894"/>
    <w:rsid w:val="00190907"/>
    <w:rsid w:val="00190AA6"/>
    <w:rsid w:val="00190FF6"/>
    <w:rsid w:val="00191132"/>
    <w:rsid w:val="00191919"/>
    <w:rsid w:val="00192A11"/>
    <w:rsid w:val="0019321B"/>
    <w:rsid w:val="001934BF"/>
    <w:rsid w:val="00194596"/>
    <w:rsid w:val="00194803"/>
    <w:rsid w:val="00194C06"/>
    <w:rsid w:val="00194DE9"/>
    <w:rsid w:val="0019530F"/>
    <w:rsid w:val="00195FDC"/>
    <w:rsid w:val="00196A0E"/>
    <w:rsid w:val="00196AB0"/>
    <w:rsid w:val="00196F42"/>
    <w:rsid w:val="00197436"/>
    <w:rsid w:val="0019755E"/>
    <w:rsid w:val="001A07AC"/>
    <w:rsid w:val="001A17E4"/>
    <w:rsid w:val="001A3069"/>
    <w:rsid w:val="001A38C0"/>
    <w:rsid w:val="001A5101"/>
    <w:rsid w:val="001A5E95"/>
    <w:rsid w:val="001A6A37"/>
    <w:rsid w:val="001A71A3"/>
    <w:rsid w:val="001A7556"/>
    <w:rsid w:val="001A77C0"/>
    <w:rsid w:val="001A78B5"/>
    <w:rsid w:val="001A799F"/>
    <w:rsid w:val="001A7DFF"/>
    <w:rsid w:val="001B0B46"/>
    <w:rsid w:val="001B14F2"/>
    <w:rsid w:val="001B163D"/>
    <w:rsid w:val="001B1D41"/>
    <w:rsid w:val="001B1D7C"/>
    <w:rsid w:val="001B2035"/>
    <w:rsid w:val="001B27DC"/>
    <w:rsid w:val="001B2CA0"/>
    <w:rsid w:val="001B30C5"/>
    <w:rsid w:val="001B3564"/>
    <w:rsid w:val="001B361A"/>
    <w:rsid w:val="001B3C21"/>
    <w:rsid w:val="001B4372"/>
    <w:rsid w:val="001B5F15"/>
    <w:rsid w:val="001B6046"/>
    <w:rsid w:val="001B639B"/>
    <w:rsid w:val="001B7094"/>
    <w:rsid w:val="001B7583"/>
    <w:rsid w:val="001B7864"/>
    <w:rsid w:val="001B7C62"/>
    <w:rsid w:val="001B7CA7"/>
    <w:rsid w:val="001C2322"/>
    <w:rsid w:val="001C267D"/>
    <w:rsid w:val="001C3092"/>
    <w:rsid w:val="001C33DC"/>
    <w:rsid w:val="001C344E"/>
    <w:rsid w:val="001C3D62"/>
    <w:rsid w:val="001C3F4C"/>
    <w:rsid w:val="001C4615"/>
    <w:rsid w:val="001C47C9"/>
    <w:rsid w:val="001C4871"/>
    <w:rsid w:val="001C4A31"/>
    <w:rsid w:val="001C51E0"/>
    <w:rsid w:val="001C52F7"/>
    <w:rsid w:val="001C5846"/>
    <w:rsid w:val="001C5F86"/>
    <w:rsid w:val="001C6261"/>
    <w:rsid w:val="001C62BF"/>
    <w:rsid w:val="001C63DA"/>
    <w:rsid w:val="001C64FE"/>
    <w:rsid w:val="001C72A2"/>
    <w:rsid w:val="001C7863"/>
    <w:rsid w:val="001C7CDE"/>
    <w:rsid w:val="001D004C"/>
    <w:rsid w:val="001D098B"/>
    <w:rsid w:val="001D0CE1"/>
    <w:rsid w:val="001D11B0"/>
    <w:rsid w:val="001D14AF"/>
    <w:rsid w:val="001D1C3B"/>
    <w:rsid w:val="001D2BB1"/>
    <w:rsid w:val="001D3647"/>
    <w:rsid w:val="001D388A"/>
    <w:rsid w:val="001D3956"/>
    <w:rsid w:val="001D406A"/>
    <w:rsid w:val="001D54E7"/>
    <w:rsid w:val="001D5685"/>
    <w:rsid w:val="001D59CC"/>
    <w:rsid w:val="001D62BF"/>
    <w:rsid w:val="001D6DD4"/>
    <w:rsid w:val="001D777A"/>
    <w:rsid w:val="001D7B18"/>
    <w:rsid w:val="001E0202"/>
    <w:rsid w:val="001E0848"/>
    <w:rsid w:val="001E0B73"/>
    <w:rsid w:val="001E0D5F"/>
    <w:rsid w:val="001E1B14"/>
    <w:rsid w:val="001E21C7"/>
    <w:rsid w:val="001E2C16"/>
    <w:rsid w:val="001E3631"/>
    <w:rsid w:val="001E36C5"/>
    <w:rsid w:val="001E4E54"/>
    <w:rsid w:val="001E57B5"/>
    <w:rsid w:val="001E5CAB"/>
    <w:rsid w:val="001E6458"/>
    <w:rsid w:val="001E67D8"/>
    <w:rsid w:val="001F0283"/>
    <w:rsid w:val="001F1A3D"/>
    <w:rsid w:val="001F1DEF"/>
    <w:rsid w:val="001F265B"/>
    <w:rsid w:val="001F28EC"/>
    <w:rsid w:val="001F30A5"/>
    <w:rsid w:val="001F324C"/>
    <w:rsid w:val="001F390B"/>
    <w:rsid w:val="001F3F89"/>
    <w:rsid w:val="001F4E05"/>
    <w:rsid w:val="001F531B"/>
    <w:rsid w:val="001F5FE6"/>
    <w:rsid w:val="001F6608"/>
    <w:rsid w:val="001F6667"/>
    <w:rsid w:val="001F6978"/>
    <w:rsid w:val="001F7541"/>
    <w:rsid w:val="001F78D3"/>
    <w:rsid w:val="001F7B4D"/>
    <w:rsid w:val="001F7D9C"/>
    <w:rsid w:val="0020018A"/>
    <w:rsid w:val="00200205"/>
    <w:rsid w:val="002005C0"/>
    <w:rsid w:val="0020064A"/>
    <w:rsid w:val="00200837"/>
    <w:rsid w:val="0020102C"/>
    <w:rsid w:val="0020102D"/>
    <w:rsid w:val="00201041"/>
    <w:rsid w:val="00201E48"/>
    <w:rsid w:val="00202751"/>
    <w:rsid w:val="00202B07"/>
    <w:rsid w:val="00202E57"/>
    <w:rsid w:val="00202F79"/>
    <w:rsid w:val="00203B8C"/>
    <w:rsid w:val="00203C43"/>
    <w:rsid w:val="0020493E"/>
    <w:rsid w:val="00204B30"/>
    <w:rsid w:val="00204C5A"/>
    <w:rsid w:val="002063F8"/>
    <w:rsid w:val="00206A13"/>
    <w:rsid w:val="0020703F"/>
    <w:rsid w:val="0020708D"/>
    <w:rsid w:val="00207678"/>
    <w:rsid w:val="00207F2D"/>
    <w:rsid w:val="0021055D"/>
    <w:rsid w:val="00210F10"/>
    <w:rsid w:val="00211626"/>
    <w:rsid w:val="00211CA9"/>
    <w:rsid w:val="002127E6"/>
    <w:rsid w:val="0021297B"/>
    <w:rsid w:val="00212B13"/>
    <w:rsid w:val="00212C8E"/>
    <w:rsid w:val="00213149"/>
    <w:rsid w:val="00213514"/>
    <w:rsid w:val="0021380B"/>
    <w:rsid w:val="002148D2"/>
    <w:rsid w:val="002156D5"/>
    <w:rsid w:val="00216755"/>
    <w:rsid w:val="00217991"/>
    <w:rsid w:val="00217A6A"/>
    <w:rsid w:val="00217E4E"/>
    <w:rsid w:val="00221756"/>
    <w:rsid w:val="00221B68"/>
    <w:rsid w:val="00221CE3"/>
    <w:rsid w:val="00221F08"/>
    <w:rsid w:val="00222293"/>
    <w:rsid w:val="002223F5"/>
    <w:rsid w:val="0022336B"/>
    <w:rsid w:val="00223764"/>
    <w:rsid w:val="002240BD"/>
    <w:rsid w:val="00224322"/>
    <w:rsid w:val="00224417"/>
    <w:rsid w:val="00225816"/>
    <w:rsid w:val="00226063"/>
    <w:rsid w:val="002262CD"/>
    <w:rsid w:val="00226BD4"/>
    <w:rsid w:val="00227333"/>
    <w:rsid w:val="00227859"/>
    <w:rsid w:val="00227E1E"/>
    <w:rsid w:val="00230B58"/>
    <w:rsid w:val="00230C32"/>
    <w:rsid w:val="00231EE8"/>
    <w:rsid w:val="0023300B"/>
    <w:rsid w:val="002338D9"/>
    <w:rsid w:val="00234822"/>
    <w:rsid w:val="00235D12"/>
    <w:rsid w:val="00235EA4"/>
    <w:rsid w:val="0023600D"/>
    <w:rsid w:val="0023661B"/>
    <w:rsid w:val="00237216"/>
    <w:rsid w:val="002377C0"/>
    <w:rsid w:val="0023797D"/>
    <w:rsid w:val="00237CC7"/>
    <w:rsid w:val="00240060"/>
    <w:rsid w:val="002401AF"/>
    <w:rsid w:val="002403A3"/>
    <w:rsid w:val="0024059B"/>
    <w:rsid w:val="0024111C"/>
    <w:rsid w:val="00241A74"/>
    <w:rsid w:val="00241D7E"/>
    <w:rsid w:val="002420D6"/>
    <w:rsid w:val="0024274C"/>
    <w:rsid w:val="0024286B"/>
    <w:rsid w:val="0024330C"/>
    <w:rsid w:val="002435F7"/>
    <w:rsid w:val="0024371A"/>
    <w:rsid w:val="002449ED"/>
    <w:rsid w:val="0024548C"/>
    <w:rsid w:val="00245BDD"/>
    <w:rsid w:val="00245F44"/>
    <w:rsid w:val="00247F16"/>
    <w:rsid w:val="00250B54"/>
    <w:rsid w:val="00251448"/>
    <w:rsid w:val="00251C4C"/>
    <w:rsid w:val="00251CAD"/>
    <w:rsid w:val="002520AC"/>
    <w:rsid w:val="00252378"/>
    <w:rsid w:val="00252857"/>
    <w:rsid w:val="00252BCE"/>
    <w:rsid w:val="0025310E"/>
    <w:rsid w:val="00253889"/>
    <w:rsid w:val="0025461B"/>
    <w:rsid w:val="00254BDA"/>
    <w:rsid w:val="002557ED"/>
    <w:rsid w:val="002558F2"/>
    <w:rsid w:val="00255CB1"/>
    <w:rsid w:val="002572BE"/>
    <w:rsid w:val="00257A65"/>
    <w:rsid w:val="002601AD"/>
    <w:rsid w:val="002609FC"/>
    <w:rsid w:val="002619CB"/>
    <w:rsid w:val="00262256"/>
    <w:rsid w:val="002625D8"/>
    <w:rsid w:val="00262CF0"/>
    <w:rsid w:val="0026302C"/>
    <w:rsid w:val="00264BC6"/>
    <w:rsid w:val="00264CF6"/>
    <w:rsid w:val="0026506A"/>
    <w:rsid w:val="002654D7"/>
    <w:rsid w:val="002656B8"/>
    <w:rsid w:val="00265AFB"/>
    <w:rsid w:val="002661D0"/>
    <w:rsid w:val="002663FE"/>
    <w:rsid w:val="002667EA"/>
    <w:rsid w:val="00266F58"/>
    <w:rsid w:val="002678F7"/>
    <w:rsid w:val="0027000C"/>
    <w:rsid w:val="00270579"/>
    <w:rsid w:val="0027094E"/>
    <w:rsid w:val="0027105D"/>
    <w:rsid w:val="002712D7"/>
    <w:rsid w:val="0027135B"/>
    <w:rsid w:val="0027145A"/>
    <w:rsid w:val="0027223A"/>
    <w:rsid w:val="00272579"/>
    <w:rsid w:val="002727F1"/>
    <w:rsid w:val="00272CBD"/>
    <w:rsid w:val="0027311C"/>
    <w:rsid w:val="0027346F"/>
    <w:rsid w:val="002736A2"/>
    <w:rsid w:val="002738BC"/>
    <w:rsid w:val="002740A4"/>
    <w:rsid w:val="002740F2"/>
    <w:rsid w:val="00274319"/>
    <w:rsid w:val="00274642"/>
    <w:rsid w:val="00275406"/>
    <w:rsid w:val="00275E82"/>
    <w:rsid w:val="0027690B"/>
    <w:rsid w:val="00276CA4"/>
    <w:rsid w:val="00277CB1"/>
    <w:rsid w:val="002807AD"/>
    <w:rsid w:val="00282158"/>
    <w:rsid w:val="00282A0D"/>
    <w:rsid w:val="00282BCD"/>
    <w:rsid w:val="00282FEE"/>
    <w:rsid w:val="00284574"/>
    <w:rsid w:val="0028461B"/>
    <w:rsid w:val="00284B2A"/>
    <w:rsid w:val="00284F1C"/>
    <w:rsid w:val="00286832"/>
    <w:rsid w:val="002868EF"/>
    <w:rsid w:val="00286FA0"/>
    <w:rsid w:val="002879BD"/>
    <w:rsid w:val="00287BBF"/>
    <w:rsid w:val="00287BF2"/>
    <w:rsid w:val="00290C0D"/>
    <w:rsid w:val="00291011"/>
    <w:rsid w:val="00291A49"/>
    <w:rsid w:val="00291FED"/>
    <w:rsid w:val="0029232F"/>
    <w:rsid w:val="00292613"/>
    <w:rsid w:val="00292D4A"/>
    <w:rsid w:val="00293160"/>
    <w:rsid w:val="002931D5"/>
    <w:rsid w:val="0029331D"/>
    <w:rsid w:val="0029349E"/>
    <w:rsid w:val="00294208"/>
    <w:rsid w:val="00294F8E"/>
    <w:rsid w:val="00295A7B"/>
    <w:rsid w:val="00295CB0"/>
    <w:rsid w:val="00295FC6"/>
    <w:rsid w:val="002960B0"/>
    <w:rsid w:val="00296A2D"/>
    <w:rsid w:val="00296C6F"/>
    <w:rsid w:val="00296DDC"/>
    <w:rsid w:val="00297253"/>
    <w:rsid w:val="00297C1A"/>
    <w:rsid w:val="002A0E46"/>
    <w:rsid w:val="002A1023"/>
    <w:rsid w:val="002A19FD"/>
    <w:rsid w:val="002A1AD0"/>
    <w:rsid w:val="002A1CCE"/>
    <w:rsid w:val="002A1D3A"/>
    <w:rsid w:val="002A2F6F"/>
    <w:rsid w:val="002A32B3"/>
    <w:rsid w:val="002A351A"/>
    <w:rsid w:val="002A395F"/>
    <w:rsid w:val="002A3DB6"/>
    <w:rsid w:val="002A428E"/>
    <w:rsid w:val="002A483B"/>
    <w:rsid w:val="002A4906"/>
    <w:rsid w:val="002A516C"/>
    <w:rsid w:val="002A54DE"/>
    <w:rsid w:val="002A56FC"/>
    <w:rsid w:val="002A5F09"/>
    <w:rsid w:val="002A6253"/>
    <w:rsid w:val="002A6D27"/>
    <w:rsid w:val="002A78B9"/>
    <w:rsid w:val="002B0202"/>
    <w:rsid w:val="002B0EF1"/>
    <w:rsid w:val="002B0F87"/>
    <w:rsid w:val="002B11DE"/>
    <w:rsid w:val="002B16D7"/>
    <w:rsid w:val="002B2811"/>
    <w:rsid w:val="002B2AAA"/>
    <w:rsid w:val="002B3079"/>
    <w:rsid w:val="002B3313"/>
    <w:rsid w:val="002B352F"/>
    <w:rsid w:val="002B38A7"/>
    <w:rsid w:val="002B3A92"/>
    <w:rsid w:val="002B3B21"/>
    <w:rsid w:val="002B3EA7"/>
    <w:rsid w:val="002B4579"/>
    <w:rsid w:val="002B49DB"/>
    <w:rsid w:val="002B4E76"/>
    <w:rsid w:val="002B5099"/>
    <w:rsid w:val="002B5E0C"/>
    <w:rsid w:val="002B6AA1"/>
    <w:rsid w:val="002B6E80"/>
    <w:rsid w:val="002B755C"/>
    <w:rsid w:val="002B7FF5"/>
    <w:rsid w:val="002C0835"/>
    <w:rsid w:val="002C1199"/>
    <w:rsid w:val="002C11D5"/>
    <w:rsid w:val="002C1683"/>
    <w:rsid w:val="002C203F"/>
    <w:rsid w:val="002C25D5"/>
    <w:rsid w:val="002C2A62"/>
    <w:rsid w:val="002C3C8F"/>
    <w:rsid w:val="002C476B"/>
    <w:rsid w:val="002C4DBC"/>
    <w:rsid w:val="002C5314"/>
    <w:rsid w:val="002C5C8D"/>
    <w:rsid w:val="002C5E80"/>
    <w:rsid w:val="002C6C25"/>
    <w:rsid w:val="002C6CFE"/>
    <w:rsid w:val="002C7275"/>
    <w:rsid w:val="002C7C10"/>
    <w:rsid w:val="002C7DA5"/>
    <w:rsid w:val="002D065C"/>
    <w:rsid w:val="002D0995"/>
    <w:rsid w:val="002D1452"/>
    <w:rsid w:val="002D16AF"/>
    <w:rsid w:val="002D1C19"/>
    <w:rsid w:val="002D1D10"/>
    <w:rsid w:val="002D1E1A"/>
    <w:rsid w:val="002D2015"/>
    <w:rsid w:val="002D20A6"/>
    <w:rsid w:val="002D2177"/>
    <w:rsid w:val="002D339A"/>
    <w:rsid w:val="002D4488"/>
    <w:rsid w:val="002D4A9C"/>
    <w:rsid w:val="002D4C48"/>
    <w:rsid w:val="002D5124"/>
    <w:rsid w:val="002D543E"/>
    <w:rsid w:val="002D578F"/>
    <w:rsid w:val="002D57C2"/>
    <w:rsid w:val="002D5AC5"/>
    <w:rsid w:val="002D643B"/>
    <w:rsid w:val="002D736D"/>
    <w:rsid w:val="002D7711"/>
    <w:rsid w:val="002D7D22"/>
    <w:rsid w:val="002E07CC"/>
    <w:rsid w:val="002E0CEF"/>
    <w:rsid w:val="002E1657"/>
    <w:rsid w:val="002E1F09"/>
    <w:rsid w:val="002E26C0"/>
    <w:rsid w:val="002E3022"/>
    <w:rsid w:val="002E33F6"/>
    <w:rsid w:val="002E3E63"/>
    <w:rsid w:val="002E475D"/>
    <w:rsid w:val="002E4F36"/>
    <w:rsid w:val="002E544F"/>
    <w:rsid w:val="002E5578"/>
    <w:rsid w:val="002E5668"/>
    <w:rsid w:val="002E60FC"/>
    <w:rsid w:val="002E64FC"/>
    <w:rsid w:val="002E6BBD"/>
    <w:rsid w:val="002E70D6"/>
    <w:rsid w:val="002E78CF"/>
    <w:rsid w:val="002F06B4"/>
    <w:rsid w:val="002F088D"/>
    <w:rsid w:val="002F1431"/>
    <w:rsid w:val="002F1C21"/>
    <w:rsid w:val="002F22CF"/>
    <w:rsid w:val="002F2471"/>
    <w:rsid w:val="002F321D"/>
    <w:rsid w:val="002F3C79"/>
    <w:rsid w:val="002F4281"/>
    <w:rsid w:val="002F463E"/>
    <w:rsid w:val="002F4718"/>
    <w:rsid w:val="002F4AF1"/>
    <w:rsid w:val="002F4ECA"/>
    <w:rsid w:val="002F54FD"/>
    <w:rsid w:val="002F5EA0"/>
    <w:rsid w:val="002F6F41"/>
    <w:rsid w:val="002F7081"/>
    <w:rsid w:val="002F77AB"/>
    <w:rsid w:val="002F7D48"/>
    <w:rsid w:val="00300874"/>
    <w:rsid w:val="00300FDE"/>
    <w:rsid w:val="00300FF8"/>
    <w:rsid w:val="00301A20"/>
    <w:rsid w:val="003020BF"/>
    <w:rsid w:val="003022DC"/>
    <w:rsid w:val="00302462"/>
    <w:rsid w:val="0030356B"/>
    <w:rsid w:val="003042BC"/>
    <w:rsid w:val="003046B8"/>
    <w:rsid w:val="0030489E"/>
    <w:rsid w:val="00305356"/>
    <w:rsid w:val="003055F8"/>
    <w:rsid w:val="00305F59"/>
    <w:rsid w:val="0030683A"/>
    <w:rsid w:val="00306935"/>
    <w:rsid w:val="00306D80"/>
    <w:rsid w:val="00310286"/>
    <w:rsid w:val="003105DC"/>
    <w:rsid w:val="00310ACB"/>
    <w:rsid w:val="0031156D"/>
    <w:rsid w:val="0031164D"/>
    <w:rsid w:val="003120C3"/>
    <w:rsid w:val="003125AA"/>
    <w:rsid w:val="0031325C"/>
    <w:rsid w:val="003142CA"/>
    <w:rsid w:val="003144D4"/>
    <w:rsid w:val="00314A1F"/>
    <w:rsid w:val="0031584A"/>
    <w:rsid w:val="00316335"/>
    <w:rsid w:val="00316364"/>
    <w:rsid w:val="00317AE0"/>
    <w:rsid w:val="00317D17"/>
    <w:rsid w:val="003207AF"/>
    <w:rsid w:val="003208DD"/>
    <w:rsid w:val="00321135"/>
    <w:rsid w:val="003215F7"/>
    <w:rsid w:val="0032178B"/>
    <w:rsid w:val="00322CA4"/>
    <w:rsid w:val="00322F4B"/>
    <w:rsid w:val="003244BC"/>
    <w:rsid w:val="003249CD"/>
    <w:rsid w:val="00324DB3"/>
    <w:rsid w:val="003254B2"/>
    <w:rsid w:val="0032591B"/>
    <w:rsid w:val="00325A85"/>
    <w:rsid w:val="00325E78"/>
    <w:rsid w:val="00325E88"/>
    <w:rsid w:val="00326026"/>
    <w:rsid w:val="003269E0"/>
    <w:rsid w:val="00326DA7"/>
    <w:rsid w:val="0032711F"/>
    <w:rsid w:val="003312BA"/>
    <w:rsid w:val="003312FE"/>
    <w:rsid w:val="00331DF9"/>
    <w:rsid w:val="00332456"/>
    <w:rsid w:val="00332FBB"/>
    <w:rsid w:val="003331AC"/>
    <w:rsid w:val="003333A5"/>
    <w:rsid w:val="003337E7"/>
    <w:rsid w:val="0033404B"/>
    <w:rsid w:val="00334773"/>
    <w:rsid w:val="00334CB6"/>
    <w:rsid w:val="00336369"/>
    <w:rsid w:val="003368FE"/>
    <w:rsid w:val="00337215"/>
    <w:rsid w:val="003378DA"/>
    <w:rsid w:val="00340974"/>
    <w:rsid w:val="00340B50"/>
    <w:rsid w:val="00340BD8"/>
    <w:rsid w:val="003414AD"/>
    <w:rsid w:val="00341BE2"/>
    <w:rsid w:val="00342119"/>
    <w:rsid w:val="003426B5"/>
    <w:rsid w:val="00342A24"/>
    <w:rsid w:val="00342CF8"/>
    <w:rsid w:val="00342F5D"/>
    <w:rsid w:val="00343A9C"/>
    <w:rsid w:val="00343B06"/>
    <w:rsid w:val="00344188"/>
    <w:rsid w:val="003444C4"/>
    <w:rsid w:val="00344F6C"/>
    <w:rsid w:val="00344FBB"/>
    <w:rsid w:val="00345115"/>
    <w:rsid w:val="003457F2"/>
    <w:rsid w:val="0034580F"/>
    <w:rsid w:val="00345A96"/>
    <w:rsid w:val="0034601A"/>
    <w:rsid w:val="00346CA3"/>
    <w:rsid w:val="003471BA"/>
    <w:rsid w:val="0034747E"/>
    <w:rsid w:val="0034765A"/>
    <w:rsid w:val="0034766C"/>
    <w:rsid w:val="00347D08"/>
    <w:rsid w:val="003506E8"/>
    <w:rsid w:val="00350CB2"/>
    <w:rsid w:val="00350F32"/>
    <w:rsid w:val="00351458"/>
    <w:rsid w:val="003514F6"/>
    <w:rsid w:val="00351F48"/>
    <w:rsid w:val="0035335A"/>
    <w:rsid w:val="00354535"/>
    <w:rsid w:val="00354724"/>
    <w:rsid w:val="00354731"/>
    <w:rsid w:val="00354E50"/>
    <w:rsid w:val="00355264"/>
    <w:rsid w:val="0035571D"/>
    <w:rsid w:val="00355ED2"/>
    <w:rsid w:val="003576CE"/>
    <w:rsid w:val="00357C6B"/>
    <w:rsid w:val="003608AD"/>
    <w:rsid w:val="00360B88"/>
    <w:rsid w:val="00360DAD"/>
    <w:rsid w:val="003613D3"/>
    <w:rsid w:val="003626F5"/>
    <w:rsid w:val="00362F02"/>
    <w:rsid w:val="00363464"/>
    <w:rsid w:val="00363947"/>
    <w:rsid w:val="0036396D"/>
    <w:rsid w:val="00363A9A"/>
    <w:rsid w:val="00363ED2"/>
    <w:rsid w:val="00365972"/>
    <w:rsid w:val="00365A02"/>
    <w:rsid w:val="00366155"/>
    <w:rsid w:val="0036669F"/>
    <w:rsid w:val="0036683D"/>
    <w:rsid w:val="00367315"/>
    <w:rsid w:val="00367908"/>
    <w:rsid w:val="00367B74"/>
    <w:rsid w:val="00367D8B"/>
    <w:rsid w:val="00367DBC"/>
    <w:rsid w:val="00367F7F"/>
    <w:rsid w:val="00370A88"/>
    <w:rsid w:val="00370E63"/>
    <w:rsid w:val="00370EEB"/>
    <w:rsid w:val="003727A0"/>
    <w:rsid w:val="0037419D"/>
    <w:rsid w:val="0037436C"/>
    <w:rsid w:val="00375778"/>
    <w:rsid w:val="003761D8"/>
    <w:rsid w:val="0037629E"/>
    <w:rsid w:val="0037637B"/>
    <w:rsid w:val="00376E26"/>
    <w:rsid w:val="0037757F"/>
    <w:rsid w:val="00377EA6"/>
    <w:rsid w:val="0038026D"/>
    <w:rsid w:val="00380490"/>
    <w:rsid w:val="003807C9"/>
    <w:rsid w:val="00380C67"/>
    <w:rsid w:val="00380E62"/>
    <w:rsid w:val="00380F3B"/>
    <w:rsid w:val="003810A1"/>
    <w:rsid w:val="003810C1"/>
    <w:rsid w:val="00381D45"/>
    <w:rsid w:val="003827B6"/>
    <w:rsid w:val="003835F5"/>
    <w:rsid w:val="0038374E"/>
    <w:rsid w:val="00383E6B"/>
    <w:rsid w:val="00383EB2"/>
    <w:rsid w:val="003851DA"/>
    <w:rsid w:val="00386203"/>
    <w:rsid w:val="00386518"/>
    <w:rsid w:val="00387360"/>
    <w:rsid w:val="00387C64"/>
    <w:rsid w:val="003913E4"/>
    <w:rsid w:val="003916F8"/>
    <w:rsid w:val="00391ED4"/>
    <w:rsid w:val="003922D7"/>
    <w:rsid w:val="0039266F"/>
    <w:rsid w:val="00392816"/>
    <w:rsid w:val="00392B6B"/>
    <w:rsid w:val="003931E9"/>
    <w:rsid w:val="003933AC"/>
    <w:rsid w:val="00394087"/>
    <w:rsid w:val="0039475A"/>
    <w:rsid w:val="0039567E"/>
    <w:rsid w:val="00395907"/>
    <w:rsid w:val="00395CA2"/>
    <w:rsid w:val="00395DA8"/>
    <w:rsid w:val="00395F50"/>
    <w:rsid w:val="00395F80"/>
    <w:rsid w:val="003962FC"/>
    <w:rsid w:val="003965B3"/>
    <w:rsid w:val="00396CB1"/>
    <w:rsid w:val="00397420"/>
    <w:rsid w:val="00397729"/>
    <w:rsid w:val="00397BD2"/>
    <w:rsid w:val="003A0090"/>
    <w:rsid w:val="003A022F"/>
    <w:rsid w:val="003A031C"/>
    <w:rsid w:val="003A0746"/>
    <w:rsid w:val="003A086F"/>
    <w:rsid w:val="003A173D"/>
    <w:rsid w:val="003A1D73"/>
    <w:rsid w:val="003A203E"/>
    <w:rsid w:val="003A2060"/>
    <w:rsid w:val="003A2A1C"/>
    <w:rsid w:val="003A2A46"/>
    <w:rsid w:val="003A2EAC"/>
    <w:rsid w:val="003A3178"/>
    <w:rsid w:val="003A3315"/>
    <w:rsid w:val="003A3B79"/>
    <w:rsid w:val="003A3CD5"/>
    <w:rsid w:val="003A3D48"/>
    <w:rsid w:val="003A56D2"/>
    <w:rsid w:val="003A681C"/>
    <w:rsid w:val="003A6DEE"/>
    <w:rsid w:val="003A7C4E"/>
    <w:rsid w:val="003B02A1"/>
    <w:rsid w:val="003B0847"/>
    <w:rsid w:val="003B10F9"/>
    <w:rsid w:val="003B1527"/>
    <w:rsid w:val="003B196A"/>
    <w:rsid w:val="003B1A5E"/>
    <w:rsid w:val="003B230B"/>
    <w:rsid w:val="003B23EF"/>
    <w:rsid w:val="003B2747"/>
    <w:rsid w:val="003B36FD"/>
    <w:rsid w:val="003B3778"/>
    <w:rsid w:val="003B3883"/>
    <w:rsid w:val="003B3A11"/>
    <w:rsid w:val="003B3AC4"/>
    <w:rsid w:val="003B406A"/>
    <w:rsid w:val="003B44A6"/>
    <w:rsid w:val="003B5248"/>
    <w:rsid w:val="003B61BF"/>
    <w:rsid w:val="003B6309"/>
    <w:rsid w:val="003B6560"/>
    <w:rsid w:val="003B679F"/>
    <w:rsid w:val="003B6DE3"/>
    <w:rsid w:val="003B7D3A"/>
    <w:rsid w:val="003C11B9"/>
    <w:rsid w:val="003C11D6"/>
    <w:rsid w:val="003C125A"/>
    <w:rsid w:val="003C16B0"/>
    <w:rsid w:val="003C26E5"/>
    <w:rsid w:val="003C3639"/>
    <w:rsid w:val="003C42B5"/>
    <w:rsid w:val="003C469E"/>
    <w:rsid w:val="003C4E24"/>
    <w:rsid w:val="003C4E60"/>
    <w:rsid w:val="003C4E63"/>
    <w:rsid w:val="003C6308"/>
    <w:rsid w:val="003C6786"/>
    <w:rsid w:val="003C67DA"/>
    <w:rsid w:val="003C6EF7"/>
    <w:rsid w:val="003C7319"/>
    <w:rsid w:val="003C75A6"/>
    <w:rsid w:val="003C7606"/>
    <w:rsid w:val="003D02D5"/>
    <w:rsid w:val="003D0424"/>
    <w:rsid w:val="003D05F3"/>
    <w:rsid w:val="003D09E0"/>
    <w:rsid w:val="003D0EFC"/>
    <w:rsid w:val="003D117B"/>
    <w:rsid w:val="003D1836"/>
    <w:rsid w:val="003D19F7"/>
    <w:rsid w:val="003D1CA4"/>
    <w:rsid w:val="003D1EA0"/>
    <w:rsid w:val="003D2890"/>
    <w:rsid w:val="003D2D7F"/>
    <w:rsid w:val="003D30C3"/>
    <w:rsid w:val="003D3545"/>
    <w:rsid w:val="003D52EB"/>
    <w:rsid w:val="003D5EC0"/>
    <w:rsid w:val="003D613D"/>
    <w:rsid w:val="003D644C"/>
    <w:rsid w:val="003D6530"/>
    <w:rsid w:val="003D6939"/>
    <w:rsid w:val="003D6C29"/>
    <w:rsid w:val="003D6E91"/>
    <w:rsid w:val="003D7111"/>
    <w:rsid w:val="003D7197"/>
    <w:rsid w:val="003D72E9"/>
    <w:rsid w:val="003D7C45"/>
    <w:rsid w:val="003E05AE"/>
    <w:rsid w:val="003E070B"/>
    <w:rsid w:val="003E0B26"/>
    <w:rsid w:val="003E1777"/>
    <w:rsid w:val="003E208D"/>
    <w:rsid w:val="003E2459"/>
    <w:rsid w:val="003E2C7C"/>
    <w:rsid w:val="003E3398"/>
    <w:rsid w:val="003E4CF7"/>
    <w:rsid w:val="003E4ED1"/>
    <w:rsid w:val="003E4F00"/>
    <w:rsid w:val="003E50C1"/>
    <w:rsid w:val="003E6143"/>
    <w:rsid w:val="003E66D1"/>
    <w:rsid w:val="003E7134"/>
    <w:rsid w:val="003E71FD"/>
    <w:rsid w:val="003E7759"/>
    <w:rsid w:val="003E779B"/>
    <w:rsid w:val="003E7886"/>
    <w:rsid w:val="003E7AD6"/>
    <w:rsid w:val="003F069E"/>
    <w:rsid w:val="003F0A6E"/>
    <w:rsid w:val="003F1378"/>
    <w:rsid w:val="003F1444"/>
    <w:rsid w:val="003F175D"/>
    <w:rsid w:val="003F20A3"/>
    <w:rsid w:val="003F22AC"/>
    <w:rsid w:val="003F2602"/>
    <w:rsid w:val="003F2822"/>
    <w:rsid w:val="003F2871"/>
    <w:rsid w:val="003F2B80"/>
    <w:rsid w:val="003F3312"/>
    <w:rsid w:val="003F373C"/>
    <w:rsid w:val="003F3FC2"/>
    <w:rsid w:val="003F4E1B"/>
    <w:rsid w:val="003F5186"/>
    <w:rsid w:val="003F6439"/>
    <w:rsid w:val="003F6494"/>
    <w:rsid w:val="003F6CA4"/>
    <w:rsid w:val="003F7455"/>
    <w:rsid w:val="004003D2"/>
    <w:rsid w:val="0040067D"/>
    <w:rsid w:val="004011F1"/>
    <w:rsid w:val="00401AC1"/>
    <w:rsid w:val="00401CE6"/>
    <w:rsid w:val="004021F3"/>
    <w:rsid w:val="00402F89"/>
    <w:rsid w:val="00403217"/>
    <w:rsid w:val="00403388"/>
    <w:rsid w:val="00403D1B"/>
    <w:rsid w:val="00404CCC"/>
    <w:rsid w:val="00405D98"/>
    <w:rsid w:val="00406013"/>
    <w:rsid w:val="00407857"/>
    <w:rsid w:val="00410C36"/>
    <w:rsid w:val="0041153F"/>
    <w:rsid w:val="00411BF4"/>
    <w:rsid w:val="00411CE7"/>
    <w:rsid w:val="00411E9A"/>
    <w:rsid w:val="004120C4"/>
    <w:rsid w:val="0041311D"/>
    <w:rsid w:val="00413D48"/>
    <w:rsid w:val="00414103"/>
    <w:rsid w:val="0041498C"/>
    <w:rsid w:val="00414C21"/>
    <w:rsid w:val="004151EF"/>
    <w:rsid w:val="00415715"/>
    <w:rsid w:val="00416114"/>
    <w:rsid w:val="004167E7"/>
    <w:rsid w:val="00416AB5"/>
    <w:rsid w:val="00416C5A"/>
    <w:rsid w:val="004174DA"/>
    <w:rsid w:val="00417834"/>
    <w:rsid w:val="00420048"/>
    <w:rsid w:val="004208DB"/>
    <w:rsid w:val="00420C12"/>
    <w:rsid w:val="00421283"/>
    <w:rsid w:val="004213F7"/>
    <w:rsid w:val="004214BA"/>
    <w:rsid w:val="00422189"/>
    <w:rsid w:val="00422192"/>
    <w:rsid w:val="0042221C"/>
    <w:rsid w:val="0042254D"/>
    <w:rsid w:val="00422757"/>
    <w:rsid w:val="0042298C"/>
    <w:rsid w:val="00422C94"/>
    <w:rsid w:val="00423610"/>
    <w:rsid w:val="0042399B"/>
    <w:rsid w:val="00423BB2"/>
    <w:rsid w:val="004250DD"/>
    <w:rsid w:val="0042576C"/>
    <w:rsid w:val="00425C17"/>
    <w:rsid w:val="00426190"/>
    <w:rsid w:val="004268FB"/>
    <w:rsid w:val="00426A90"/>
    <w:rsid w:val="00426BD4"/>
    <w:rsid w:val="00427EC8"/>
    <w:rsid w:val="004305DA"/>
    <w:rsid w:val="00430B5D"/>
    <w:rsid w:val="00430BD4"/>
    <w:rsid w:val="00430D7F"/>
    <w:rsid w:val="00430E76"/>
    <w:rsid w:val="00430F2B"/>
    <w:rsid w:val="0043164F"/>
    <w:rsid w:val="00432D5A"/>
    <w:rsid w:val="00433260"/>
    <w:rsid w:val="004339F4"/>
    <w:rsid w:val="00433A99"/>
    <w:rsid w:val="00433B47"/>
    <w:rsid w:val="00433DFF"/>
    <w:rsid w:val="00434351"/>
    <w:rsid w:val="004344B6"/>
    <w:rsid w:val="004357D6"/>
    <w:rsid w:val="00436585"/>
    <w:rsid w:val="004368B3"/>
    <w:rsid w:val="0043783B"/>
    <w:rsid w:val="00437E6A"/>
    <w:rsid w:val="00440196"/>
    <w:rsid w:val="004407A9"/>
    <w:rsid w:val="00440A72"/>
    <w:rsid w:val="00440CD4"/>
    <w:rsid w:val="004411A7"/>
    <w:rsid w:val="00441844"/>
    <w:rsid w:val="00442061"/>
    <w:rsid w:val="0044207F"/>
    <w:rsid w:val="004424B4"/>
    <w:rsid w:val="00442BB2"/>
    <w:rsid w:val="00442BF5"/>
    <w:rsid w:val="0044361D"/>
    <w:rsid w:val="004440E6"/>
    <w:rsid w:val="00444EFA"/>
    <w:rsid w:val="00445D06"/>
    <w:rsid w:val="00445FF3"/>
    <w:rsid w:val="004468FB"/>
    <w:rsid w:val="00446C04"/>
    <w:rsid w:val="00450628"/>
    <w:rsid w:val="0045170E"/>
    <w:rsid w:val="00451CCA"/>
    <w:rsid w:val="00451D40"/>
    <w:rsid w:val="00451E84"/>
    <w:rsid w:val="00452202"/>
    <w:rsid w:val="0045249E"/>
    <w:rsid w:val="00452803"/>
    <w:rsid w:val="00452809"/>
    <w:rsid w:val="00452845"/>
    <w:rsid w:val="00452882"/>
    <w:rsid w:val="004537DB"/>
    <w:rsid w:val="00453EA2"/>
    <w:rsid w:val="004540F0"/>
    <w:rsid w:val="00454A88"/>
    <w:rsid w:val="00454EE4"/>
    <w:rsid w:val="0045610D"/>
    <w:rsid w:val="00457023"/>
    <w:rsid w:val="004572A8"/>
    <w:rsid w:val="00457796"/>
    <w:rsid w:val="00457E8A"/>
    <w:rsid w:val="0046071E"/>
    <w:rsid w:val="0046089B"/>
    <w:rsid w:val="00461262"/>
    <w:rsid w:val="00462AAA"/>
    <w:rsid w:val="0046332A"/>
    <w:rsid w:val="004638F8"/>
    <w:rsid w:val="00464143"/>
    <w:rsid w:val="00464691"/>
    <w:rsid w:val="00465243"/>
    <w:rsid w:val="00465612"/>
    <w:rsid w:val="00466ED3"/>
    <w:rsid w:val="004701C6"/>
    <w:rsid w:val="004703A5"/>
    <w:rsid w:val="00470BA1"/>
    <w:rsid w:val="00471003"/>
    <w:rsid w:val="004711CF"/>
    <w:rsid w:val="00471516"/>
    <w:rsid w:val="00471FAB"/>
    <w:rsid w:val="00472218"/>
    <w:rsid w:val="00472330"/>
    <w:rsid w:val="0047248E"/>
    <w:rsid w:val="00472577"/>
    <w:rsid w:val="004727B8"/>
    <w:rsid w:val="00473559"/>
    <w:rsid w:val="00473E76"/>
    <w:rsid w:val="00474943"/>
    <w:rsid w:val="00474A13"/>
    <w:rsid w:val="00474AE6"/>
    <w:rsid w:val="00474CDD"/>
    <w:rsid w:val="00474D9A"/>
    <w:rsid w:val="004761E5"/>
    <w:rsid w:val="00476A93"/>
    <w:rsid w:val="004777BC"/>
    <w:rsid w:val="0048063D"/>
    <w:rsid w:val="004810D7"/>
    <w:rsid w:val="00482994"/>
    <w:rsid w:val="004841C4"/>
    <w:rsid w:val="00484344"/>
    <w:rsid w:val="00484541"/>
    <w:rsid w:val="004845DB"/>
    <w:rsid w:val="00484A25"/>
    <w:rsid w:val="00484B46"/>
    <w:rsid w:val="004854A7"/>
    <w:rsid w:val="004858CC"/>
    <w:rsid w:val="004859C9"/>
    <w:rsid w:val="00486254"/>
    <w:rsid w:val="004863CD"/>
    <w:rsid w:val="00486E99"/>
    <w:rsid w:val="00486F9A"/>
    <w:rsid w:val="00487BF9"/>
    <w:rsid w:val="00490590"/>
    <w:rsid w:val="00490715"/>
    <w:rsid w:val="00490A4F"/>
    <w:rsid w:val="00490BF6"/>
    <w:rsid w:val="00490EBE"/>
    <w:rsid w:val="00494639"/>
    <w:rsid w:val="00494F47"/>
    <w:rsid w:val="004957CF"/>
    <w:rsid w:val="00495CCE"/>
    <w:rsid w:val="00496A27"/>
    <w:rsid w:val="00496F63"/>
    <w:rsid w:val="00497D0F"/>
    <w:rsid w:val="00497D5E"/>
    <w:rsid w:val="00497E51"/>
    <w:rsid w:val="00497FB4"/>
    <w:rsid w:val="004A09E2"/>
    <w:rsid w:val="004A0B06"/>
    <w:rsid w:val="004A1CBA"/>
    <w:rsid w:val="004A32D5"/>
    <w:rsid w:val="004A3523"/>
    <w:rsid w:val="004A3546"/>
    <w:rsid w:val="004A3839"/>
    <w:rsid w:val="004A407C"/>
    <w:rsid w:val="004A412D"/>
    <w:rsid w:val="004A491F"/>
    <w:rsid w:val="004A4C8E"/>
    <w:rsid w:val="004A5AFE"/>
    <w:rsid w:val="004A62AD"/>
    <w:rsid w:val="004A6ACC"/>
    <w:rsid w:val="004A6AF5"/>
    <w:rsid w:val="004A6BA9"/>
    <w:rsid w:val="004A6EC0"/>
    <w:rsid w:val="004A7176"/>
    <w:rsid w:val="004A730A"/>
    <w:rsid w:val="004A7ABF"/>
    <w:rsid w:val="004A7E16"/>
    <w:rsid w:val="004A7FFE"/>
    <w:rsid w:val="004B098C"/>
    <w:rsid w:val="004B18C1"/>
    <w:rsid w:val="004B1B82"/>
    <w:rsid w:val="004B2A04"/>
    <w:rsid w:val="004B2B7E"/>
    <w:rsid w:val="004B34DA"/>
    <w:rsid w:val="004B34E2"/>
    <w:rsid w:val="004B4208"/>
    <w:rsid w:val="004B42EA"/>
    <w:rsid w:val="004B509E"/>
    <w:rsid w:val="004B53A1"/>
    <w:rsid w:val="004B5612"/>
    <w:rsid w:val="004B5A2D"/>
    <w:rsid w:val="004B5C74"/>
    <w:rsid w:val="004B5F34"/>
    <w:rsid w:val="004B6592"/>
    <w:rsid w:val="004B698E"/>
    <w:rsid w:val="004B6AAC"/>
    <w:rsid w:val="004B6EC6"/>
    <w:rsid w:val="004B73E2"/>
    <w:rsid w:val="004B7ACA"/>
    <w:rsid w:val="004C0006"/>
    <w:rsid w:val="004C03D0"/>
    <w:rsid w:val="004C0CA3"/>
    <w:rsid w:val="004C0E8F"/>
    <w:rsid w:val="004C1CBC"/>
    <w:rsid w:val="004C227F"/>
    <w:rsid w:val="004C349B"/>
    <w:rsid w:val="004C3699"/>
    <w:rsid w:val="004C3BE4"/>
    <w:rsid w:val="004C3EEC"/>
    <w:rsid w:val="004C52A8"/>
    <w:rsid w:val="004C5D78"/>
    <w:rsid w:val="004C6667"/>
    <w:rsid w:val="004C6A9C"/>
    <w:rsid w:val="004C77D4"/>
    <w:rsid w:val="004C7B8D"/>
    <w:rsid w:val="004C7CE5"/>
    <w:rsid w:val="004D00FC"/>
    <w:rsid w:val="004D05CC"/>
    <w:rsid w:val="004D0A46"/>
    <w:rsid w:val="004D22CB"/>
    <w:rsid w:val="004D29D4"/>
    <w:rsid w:val="004D2F10"/>
    <w:rsid w:val="004D319F"/>
    <w:rsid w:val="004D3579"/>
    <w:rsid w:val="004D4418"/>
    <w:rsid w:val="004D4616"/>
    <w:rsid w:val="004D485E"/>
    <w:rsid w:val="004D59EA"/>
    <w:rsid w:val="004D5AB9"/>
    <w:rsid w:val="004D6020"/>
    <w:rsid w:val="004D6026"/>
    <w:rsid w:val="004D6695"/>
    <w:rsid w:val="004D6CC1"/>
    <w:rsid w:val="004D6EA0"/>
    <w:rsid w:val="004D761F"/>
    <w:rsid w:val="004D7A88"/>
    <w:rsid w:val="004D7C54"/>
    <w:rsid w:val="004E0721"/>
    <w:rsid w:val="004E181A"/>
    <w:rsid w:val="004E1EB1"/>
    <w:rsid w:val="004E29C5"/>
    <w:rsid w:val="004E2E41"/>
    <w:rsid w:val="004E316C"/>
    <w:rsid w:val="004E3753"/>
    <w:rsid w:val="004E3A0E"/>
    <w:rsid w:val="004E3FD5"/>
    <w:rsid w:val="004E449F"/>
    <w:rsid w:val="004E457A"/>
    <w:rsid w:val="004E45BC"/>
    <w:rsid w:val="004E4D67"/>
    <w:rsid w:val="004E54AB"/>
    <w:rsid w:val="004E5C9D"/>
    <w:rsid w:val="004E5E69"/>
    <w:rsid w:val="004E5F12"/>
    <w:rsid w:val="004E6D6A"/>
    <w:rsid w:val="004E7066"/>
    <w:rsid w:val="004E789E"/>
    <w:rsid w:val="004F023A"/>
    <w:rsid w:val="004F035C"/>
    <w:rsid w:val="004F05FA"/>
    <w:rsid w:val="004F067A"/>
    <w:rsid w:val="004F12BA"/>
    <w:rsid w:val="004F167B"/>
    <w:rsid w:val="004F171C"/>
    <w:rsid w:val="004F1D5C"/>
    <w:rsid w:val="004F240A"/>
    <w:rsid w:val="004F282F"/>
    <w:rsid w:val="004F2FD4"/>
    <w:rsid w:val="004F3206"/>
    <w:rsid w:val="004F3EBB"/>
    <w:rsid w:val="004F43E0"/>
    <w:rsid w:val="004F4875"/>
    <w:rsid w:val="004F651D"/>
    <w:rsid w:val="004F6838"/>
    <w:rsid w:val="004F6877"/>
    <w:rsid w:val="004F72ED"/>
    <w:rsid w:val="004F7847"/>
    <w:rsid w:val="00500023"/>
    <w:rsid w:val="00500F6B"/>
    <w:rsid w:val="005011A8"/>
    <w:rsid w:val="005020DA"/>
    <w:rsid w:val="005025D5"/>
    <w:rsid w:val="00502820"/>
    <w:rsid w:val="005037A8"/>
    <w:rsid w:val="00503935"/>
    <w:rsid w:val="0050406A"/>
    <w:rsid w:val="00504198"/>
    <w:rsid w:val="005044A0"/>
    <w:rsid w:val="00504524"/>
    <w:rsid w:val="00504EB9"/>
    <w:rsid w:val="00505061"/>
    <w:rsid w:val="00505417"/>
    <w:rsid w:val="00505982"/>
    <w:rsid w:val="00506E13"/>
    <w:rsid w:val="00506E8A"/>
    <w:rsid w:val="00506F54"/>
    <w:rsid w:val="00506FF4"/>
    <w:rsid w:val="005070C3"/>
    <w:rsid w:val="00511F37"/>
    <w:rsid w:val="00512366"/>
    <w:rsid w:val="00513341"/>
    <w:rsid w:val="00513811"/>
    <w:rsid w:val="00513CA5"/>
    <w:rsid w:val="00514AEB"/>
    <w:rsid w:val="005152FD"/>
    <w:rsid w:val="0051675B"/>
    <w:rsid w:val="00516ADD"/>
    <w:rsid w:val="00516ECF"/>
    <w:rsid w:val="005179D3"/>
    <w:rsid w:val="0052070D"/>
    <w:rsid w:val="00520738"/>
    <w:rsid w:val="00520E6E"/>
    <w:rsid w:val="00520F2F"/>
    <w:rsid w:val="0052108F"/>
    <w:rsid w:val="00522473"/>
    <w:rsid w:val="005235BF"/>
    <w:rsid w:val="005238C0"/>
    <w:rsid w:val="00523B4C"/>
    <w:rsid w:val="00524506"/>
    <w:rsid w:val="00524A55"/>
    <w:rsid w:val="00525FF6"/>
    <w:rsid w:val="00526135"/>
    <w:rsid w:val="00526620"/>
    <w:rsid w:val="0052678F"/>
    <w:rsid w:val="005271F9"/>
    <w:rsid w:val="00527252"/>
    <w:rsid w:val="0052749B"/>
    <w:rsid w:val="005278BD"/>
    <w:rsid w:val="0053016E"/>
    <w:rsid w:val="00530595"/>
    <w:rsid w:val="00530DFE"/>
    <w:rsid w:val="005319E6"/>
    <w:rsid w:val="00531CCA"/>
    <w:rsid w:val="00531F83"/>
    <w:rsid w:val="00532892"/>
    <w:rsid w:val="00532FDE"/>
    <w:rsid w:val="005330DD"/>
    <w:rsid w:val="00533108"/>
    <w:rsid w:val="0053391A"/>
    <w:rsid w:val="00533A98"/>
    <w:rsid w:val="005349A9"/>
    <w:rsid w:val="00534C54"/>
    <w:rsid w:val="00535702"/>
    <w:rsid w:val="00536D74"/>
    <w:rsid w:val="0053704F"/>
    <w:rsid w:val="005377D7"/>
    <w:rsid w:val="0053796B"/>
    <w:rsid w:val="005404C4"/>
    <w:rsid w:val="005408F7"/>
    <w:rsid w:val="00541661"/>
    <w:rsid w:val="00541989"/>
    <w:rsid w:val="00541C92"/>
    <w:rsid w:val="00541E1E"/>
    <w:rsid w:val="0054270A"/>
    <w:rsid w:val="00542713"/>
    <w:rsid w:val="00542927"/>
    <w:rsid w:val="00542F37"/>
    <w:rsid w:val="00543041"/>
    <w:rsid w:val="0054370E"/>
    <w:rsid w:val="00543EEA"/>
    <w:rsid w:val="0054463D"/>
    <w:rsid w:val="005461D4"/>
    <w:rsid w:val="0054639D"/>
    <w:rsid w:val="00546417"/>
    <w:rsid w:val="00546459"/>
    <w:rsid w:val="00546E6C"/>
    <w:rsid w:val="00546E75"/>
    <w:rsid w:val="005500B9"/>
    <w:rsid w:val="00550A89"/>
    <w:rsid w:val="0055121B"/>
    <w:rsid w:val="00551294"/>
    <w:rsid w:val="00551301"/>
    <w:rsid w:val="00551B3D"/>
    <w:rsid w:val="00551D09"/>
    <w:rsid w:val="00552433"/>
    <w:rsid w:val="00552B95"/>
    <w:rsid w:val="00553057"/>
    <w:rsid w:val="005533A0"/>
    <w:rsid w:val="00553525"/>
    <w:rsid w:val="005538A0"/>
    <w:rsid w:val="00554125"/>
    <w:rsid w:val="005541F0"/>
    <w:rsid w:val="00554E03"/>
    <w:rsid w:val="005550B9"/>
    <w:rsid w:val="00555D10"/>
    <w:rsid w:val="005561A1"/>
    <w:rsid w:val="00556638"/>
    <w:rsid w:val="005569AB"/>
    <w:rsid w:val="00556B7D"/>
    <w:rsid w:val="00556DBB"/>
    <w:rsid w:val="00557694"/>
    <w:rsid w:val="00557773"/>
    <w:rsid w:val="00557BB2"/>
    <w:rsid w:val="005605F1"/>
    <w:rsid w:val="0056091B"/>
    <w:rsid w:val="00560E55"/>
    <w:rsid w:val="00560E90"/>
    <w:rsid w:val="005617F8"/>
    <w:rsid w:val="00562258"/>
    <w:rsid w:val="005624BC"/>
    <w:rsid w:val="005632A4"/>
    <w:rsid w:val="0056331D"/>
    <w:rsid w:val="00563D59"/>
    <w:rsid w:val="00563EF8"/>
    <w:rsid w:val="0056427C"/>
    <w:rsid w:val="00564B83"/>
    <w:rsid w:val="00564C34"/>
    <w:rsid w:val="00565CDD"/>
    <w:rsid w:val="00565DD7"/>
    <w:rsid w:val="00565E2B"/>
    <w:rsid w:val="005660BA"/>
    <w:rsid w:val="0056675F"/>
    <w:rsid w:val="005668F5"/>
    <w:rsid w:val="005673CE"/>
    <w:rsid w:val="00567D83"/>
    <w:rsid w:val="005701E2"/>
    <w:rsid w:val="005704B9"/>
    <w:rsid w:val="0057086C"/>
    <w:rsid w:val="00570CA3"/>
    <w:rsid w:val="00570DFD"/>
    <w:rsid w:val="00571481"/>
    <w:rsid w:val="00571679"/>
    <w:rsid w:val="00571FAF"/>
    <w:rsid w:val="00571FE6"/>
    <w:rsid w:val="00572171"/>
    <w:rsid w:val="005724E1"/>
    <w:rsid w:val="00572726"/>
    <w:rsid w:val="005733C9"/>
    <w:rsid w:val="005734F3"/>
    <w:rsid w:val="00573629"/>
    <w:rsid w:val="005738D2"/>
    <w:rsid w:val="00573AAB"/>
    <w:rsid w:val="00573B11"/>
    <w:rsid w:val="005740D6"/>
    <w:rsid w:val="0057441D"/>
    <w:rsid w:val="0057537E"/>
    <w:rsid w:val="00575565"/>
    <w:rsid w:val="00575700"/>
    <w:rsid w:val="00575AD1"/>
    <w:rsid w:val="00575B25"/>
    <w:rsid w:val="005769BF"/>
    <w:rsid w:val="00576BA8"/>
    <w:rsid w:val="00576C86"/>
    <w:rsid w:val="005770C5"/>
    <w:rsid w:val="005772C9"/>
    <w:rsid w:val="00581802"/>
    <w:rsid w:val="00582067"/>
    <w:rsid w:val="00582BAF"/>
    <w:rsid w:val="00582E9A"/>
    <w:rsid w:val="005832A9"/>
    <w:rsid w:val="0058387D"/>
    <w:rsid w:val="00583A97"/>
    <w:rsid w:val="00583DC8"/>
    <w:rsid w:val="0058445E"/>
    <w:rsid w:val="00584AB1"/>
    <w:rsid w:val="005851D3"/>
    <w:rsid w:val="00585347"/>
    <w:rsid w:val="00586261"/>
    <w:rsid w:val="00587351"/>
    <w:rsid w:val="00587389"/>
    <w:rsid w:val="0058742F"/>
    <w:rsid w:val="00587AA5"/>
    <w:rsid w:val="00587D28"/>
    <w:rsid w:val="00590103"/>
    <w:rsid w:val="005904C3"/>
    <w:rsid w:val="005907B3"/>
    <w:rsid w:val="0059110D"/>
    <w:rsid w:val="005911A6"/>
    <w:rsid w:val="005911E6"/>
    <w:rsid w:val="005919FE"/>
    <w:rsid w:val="00592003"/>
    <w:rsid w:val="00592494"/>
    <w:rsid w:val="005927F1"/>
    <w:rsid w:val="005933CC"/>
    <w:rsid w:val="0059510E"/>
    <w:rsid w:val="00596626"/>
    <w:rsid w:val="00597008"/>
    <w:rsid w:val="005979D6"/>
    <w:rsid w:val="00597D1A"/>
    <w:rsid w:val="005A0068"/>
    <w:rsid w:val="005A018A"/>
    <w:rsid w:val="005A0728"/>
    <w:rsid w:val="005A0767"/>
    <w:rsid w:val="005A0B36"/>
    <w:rsid w:val="005A13B1"/>
    <w:rsid w:val="005A1604"/>
    <w:rsid w:val="005A18C8"/>
    <w:rsid w:val="005A1A89"/>
    <w:rsid w:val="005A2459"/>
    <w:rsid w:val="005A37BF"/>
    <w:rsid w:val="005A385A"/>
    <w:rsid w:val="005A39B3"/>
    <w:rsid w:val="005A3A13"/>
    <w:rsid w:val="005A3DF7"/>
    <w:rsid w:val="005A5362"/>
    <w:rsid w:val="005A5BFA"/>
    <w:rsid w:val="005A672A"/>
    <w:rsid w:val="005A6A77"/>
    <w:rsid w:val="005A6A8E"/>
    <w:rsid w:val="005A7403"/>
    <w:rsid w:val="005A7B2D"/>
    <w:rsid w:val="005A7B9E"/>
    <w:rsid w:val="005A7E78"/>
    <w:rsid w:val="005A7EF1"/>
    <w:rsid w:val="005B04A6"/>
    <w:rsid w:val="005B084D"/>
    <w:rsid w:val="005B0E73"/>
    <w:rsid w:val="005B14E1"/>
    <w:rsid w:val="005B1684"/>
    <w:rsid w:val="005B17A1"/>
    <w:rsid w:val="005B1B69"/>
    <w:rsid w:val="005B2108"/>
    <w:rsid w:val="005B2B48"/>
    <w:rsid w:val="005B2BBB"/>
    <w:rsid w:val="005B3523"/>
    <w:rsid w:val="005B3EA9"/>
    <w:rsid w:val="005B4417"/>
    <w:rsid w:val="005B45A3"/>
    <w:rsid w:val="005B49D2"/>
    <w:rsid w:val="005B5377"/>
    <w:rsid w:val="005B65C5"/>
    <w:rsid w:val="005B6F48"/>
    <w:rsid w:val="005B7075"/>
    <w:rsid w:val="005B7175"/>
    <w:rsid w:val="005B722C"/>
    <w:rsid w:val="005B7280"/>
    <w:rsid w:val="005B72F5"/>
    <w:rsid w:val="005B7941"/>
    <w:rsid w:val="005C1CEB"/>
    <w:rsid w:val="005C1D3B"/>
    <w:rsid w:val="005C1D7C"/>
    <w:rsid w:val="005C2200"/>
    <w:rsid w:val="005C2F34"/>
    <w:rsid w:val="005C3036"/>
    <w:rsid w:val="005C3C2A"/>
    <w:rsid w:val="005C3EF0"/>
    <w:rsid w:val="005C610B"/>
    <w:rsid w:val="005C6164"/>
    <w:rsid w:val="005C68D3"/>
    <w:rsid w:val="005C7D10"/>
    <w:rsid w:val="005D0978"/>
    <w:rsid w:val="005D0EF3"/>
    <w:rsid w:val="005D136E"/>
    <w:rsid w:val="005D1410"/>
    <w:rsid w:val="005D1F4E"/>
    <w:rsid w:val="005D2800"/>
    <w:rsid w:val="005D2ACC"/>
    <w:rsid w:val="005D3551"/>
    <w:rsid w:val="005D35CF"/>
    <w:rsid w:val="005D3A88"/>
    <w:rsid w:val="005D3B71"/>
    <w:rsid w:val="005D40CE"/>
    <w:rsid w:val="005D5353"/>
    <w:rsid w:val="005D5B29"/>
    <w:rsid w:val="005D5BEB"/>
    <w:rsid w:val="005D6FF1"/>
    <w:rsid w:val="005D7D6C"/>
    <w:rsid w:val="005D7E4A"/>
    <w:rsid w:val="005E0103"/>
    <w:rsid w:val="005E0297"/>
    <w:rsid w:val="005E1E9D"/>
    <w:rsid w:val="005E2557"/>
    <w:rsid w:val="005E2775"/>
    <w:rsid w:val="005E3EC1"/>
    <w:rsid w:val="005E4539"/>
    <w:rsid w:val="005E4C41"/>
    <w:rsid w:val="005E5393"/>
    <w:rsid w:val="005E5D4D"/>
    <w:rsid w:val="005E5DD1"/>
    <w:rsid w:val="005E6FDD"/>
    <w:rsid w:val="005E7DD1"/>
    <w:rsid w:val="005F1658"/>
    <w:rsid w:val="005F30A1"/>
    <w:rsid w:val="005F3114"/>
    <w:rsid w:val="005F400B"/>
    <w:rsid w:val="005F4073"/>
    <w:rsid w:val="005F426E"/>
    <w:rsid w:val="005F44AF"/>
    <w:rsid w:val="005F4E63"/>
    <w:rsid w:val="005F5BE4"/>
    <w:rsid w:val="005F5C76"/>
    <w:rsid w:val="005F5F41"/>
    <w:rsid w:val="005F6194"/>
    <w:rsid w:val="005F776E"/>
    <w:rsid w:val="005F77DA"/>
    <w:rsid w:val="006001D6"/>
    <w:rsid w:val="006005D6"/>
    <w:rsid w:val="006005F5"/>
    <w:rsid w:val="0060169C"/>
    <w:rsid w:val="00601F00"/>
    <w:rsid w:val="00602343"/>
    <w:rsid w:val="0060265C"/>
    <w:rsid w:val="006026CA"/>
    <w:rsid w:val="00602963"/>
    <w:rsid w:val="00602B8D"/>
    <w:rsid w:val="0060370D"/>
    <w:rsid w:val="00603F1D"/>
    <w:rsid w:val="0060476D"/>
    <w:rsid w:val="006047FE"/>
    <w:rsid w:val="00604ACE"/>
    <w:rsid w:val="00605559"/>
    <w:rsid w:val="0060594D"/>
    <w:rsid w:val="00605F57"/>
    <w:rsid w:val="006061D8"/>
    <w:rsid w:val="0060647B"/>
    <w:rsid w:val="00607381"/>
    <w:rsid w:val="006073D4"/>
    <w:rsid w:val="0060791E"/>
    <w:rsid w:val="00607F07"/>
    <w:rsid w:val="006107CD"/>
    <w:rsid w:val="0061084B"/>
    <w:rsid w:val="00610C03"/>
    <w:rsid w:val="00611D08"/>
    <w:rsid w:val="00612148"/>
    <w:rsid w:val="00612ABE"/>
    <w:rsid w:val="00612C17"/>
    <w:rsid w:val="0061368A"/>
    <w:rsid w:val="00613C80"/>
    <w:rsid w:val="00614A60"/>
    <w:rsid w:val="00614D60"/>
    <w:rsid w:val="00614FCD"/>
    <w:rsid w:val="00615067"/>
    <w:rsid w:val="00615DC4"/>
    <w:rsid w:val="00616312"/>
    <w:rsid w:val="006165CB"/>
    <w:rsid w:val="006166C2"/>
    <w:rsid w:val="006166E8"/>
    <w:rsid w:val="0061692A"/>
    <w:rsid w:val="00617391"/>
    <w:rsid w:val="006205B5"/>
    <w:rsid w:val="0062067B"/>
    <w:rsid w:val="006207A3"/>
    <w:rsid w:val="00621774"/>
    <w:rsid w:val="00622797"/>
    <w:rsid w:val="00622847"/>
    <w:rsid w:val="006232F2"/>
    <w:rsid w:val="0062351B"/>
    <w:rsid w:val="0062398B"/>
    <w:rsid w:val="00623CBF"/>
    <w:rsid w:val="00624019"/>
    <w:rsid w:val="00624462"/>
    <w:rsid w:val="006244BD"/>
    <w:rsid w:val="00625CD0"/>
    <w:rsid w:val="00625D1B"/>
    <w:rsid w:val="00626007"/>
    <w:rsid w:val="0062614E"/>
    <w:rsid w:val="00626231"/>
    <w:rsid w:val="00626904"/>
    <w:rsid w:val="00626A87"/>
    <w:rsid w:val="006270C5"/>
    <w:rsid w:val="006272B9"/>
    <w:rsid w:val="00627CFF"/>
    <w:rsid w:val="00627F2F"/>
    <w:rsid w:val="00630940"/>
    <w:rsid w:val="006311C5"/>
    <w:rsid w:val="00631AE2"/>
    <w:rsid w:val="00631EF7"/>
    <w:rsid w:val="00632393"/>
    <w:rsid w:val="006334B2"/>
    <w:rsid w:val="00633873"/>
    <w:rsid w:val="00633A6D"/>
    <w:rsid w:val="00633DBE"/>
    <w:rsid w:val="00634AF0"/>
    <w:rsid w:val="006361B3"/>
    <w:rsid w:val="00636D08"/>
    <w:rsid w:val="00637468"/>
    <w:rsid w:val="00637CB6"/>
    <w:rsid w:val="00640632"/>
    <w:rsid w:val="006408D7"/>
    <w:rsid w:val="0064132C"/>
    <w:rsid w:val="006413D4"/>
    <w:rsid w:val="0064163A"/>
    <w:rsid w:val="00641D89"/>
    <w:rsid w:val="00642809"/>
    <w:rsid w:val="006435AF"/>
    <w:rsid w:val="006446BB"/>
    <w:rsid w:val="00644D01"/>
    <w:rsid w:val="0064538E"/>
    <w:rsid w:val="006454CA"/>
    <w:rsid w:val="00645844"/>
    <w:rsid w:val="00646765"/>
    <w:rsid w:val="00646ECB"/>
    <w:rsid w:val="0064702D"/>
    <w:rsid w:val="0064766F"/>
    <w:rsid w:val="00647A2A"/>
    <w:rsid w:val="00650B16"/>
    <w:rsid w:val="00651354"/>
    <w:rsid w:val="006515BF"/>
    <w:rsid w:val="00652070"/>
    <w:rsid w:val="006524D3"/>
    <w:rsid w:val="00652B88"/>
    <w:rsid w:val="00652BA8"/>
    <w:rsid w:val="00652D08"/>
    <w:rsid w:val="00653533"/>
    <w:rsid w:val="0065358F"/>
    <w:rsid w:val="0065383A"/>
    <w:rsid w:val="0065549D"/>
    <w:rsid w:val="00655DB8"/>
    <w:rsid w:val="0065618C"/>
    <w:rsid w:val="006566B2"/>
    <w:rsid w:val="00656BEF"/>
    <w:rsid w:val="00656D2A"/>
    <w:rsid w:val="00656EA5"/>
    <w:rsid w:val="00656F6D"/>
    <w:rsid w:val="0065721E"/>
    <w:rsid w:val="0065745A"/>
    <w:rsid w:val="006575A3"/>
    <w:rsid w:val="006575E4"/>
    <w:rsid w:val="00660B2D"/>
    <w:rsid w:val="00660DE6"/>
    <w:rsid w:val="00661E7E"/>
    <w:rsid w:val="006620BB"/>
    <w:rsid w:val="0066242E"/>
    <w:rsid w:val="00663920"/>
    <w:rsid w:val="006640FE"/>
    <w:rsid w:val="00664345"/>
    <w:rsid w:val="00664873"/>
    <w:rsid w:val="0066498D"/>
    <w:rsid w:val="006658FF"/>
    <w:rsid w:val="00666685"/>
    <w:rsid w:val="006666B5"/>
    <w:rsid w:val="00666BD7"/>
    <w:rsid w:val="00666CD7"/>
    <w:rsid w:val="0066709A"/>
    <w:rsid w:val="00667694"/>
    <w:rsid w:val="00667B59"/>
    <w:rsid w:val="006700AE"/>
    <w:rsid w:val="006700AF"/>
    <w:rsid w:val="00670338"/>
    <w:rsid w:val="006703C4"/>
    <w:rsid w:val="00670BFA"/>
    <w:rsid w:val="00671AF7"/>
    <w:rsid w:val="00671C61"/>
    <w:rsid w:val="00672112"/>
    <w:rsid w:val="0067260E"/>
    <w:rsid w:val="00672DB0"/>
    <w:rsid w:val="00672E89"/>
    <w:rsid w:val="00673297"/>
    <w:rsid w:val="0067343D"/>
    <w:rsid w:val="00673770"/>
    <w:rsid w:val="00673BA5"/>
    <w:rsid w:val="0067428D"/>
    <w:rsid w:val="0067486E"/>
    <w:rsid w:val="00674F4C"/>
    <w:rsid w:val="00675C62"/>
    <w:rsid w:val="006760C1"/>
    <w:rsid w:val="006768A8"/>
    <w:rsid w:val="006768E0"/>
    <w:rsid w:val="00676B7A"/>
    <w:rsid w:val="00676DF8"/>
    <w:rsid w:val="00677170"/>
    <w:rsid w:val="00677A43"/>
    <w:rsid w:val="006802B1"/>
    <w:rsid w:val="00680FA2"/>
    <w:rsid w:val="00681232"/>
    <w:rsid w:val="006817D7"/>
    <w:rsid w:val="006818BA"/>
    <w:rsid w:val="00681B7A"/>
    <w:rsid w:val="00681F16"/>
    <w:rsid w:val="0068263B"/>
    <w:rsid w:val="00683144"/>
    <w:rsid w:val="0068326E"/>
    <w:rsid w:val="00684041"/>
    <w:rsid w:val="006847DD"/>
    <w:rsid w:val="006851A9"/>
    <w:rsid w:val="00685FD4"/>
    <w:rsid w:val="00686575"/>
    <w:rsid w:val="006871CB"/>
    <w:rsid w:val="0068787B"/>
    <w:rsid w:val="00687B4A"/>
    <w:rsid w:val="00687F99"/>
    <w:rsid w:val="00690133"/>
    <w:rsid w:val="006905C7"/>
    <w:rsid w:val="0069062A"/>
    <w:rsid w:val="00690B28"/>
    <w:rsid w:val="0069140D"/>
    <w:rsid w:val="006915F3"/>
    <w:rsid w:val="00691929"/>
    <w:rsid w:val="00692266"/>
    <w:rsid w:val="00692DD1"/>
    <w:rsid w:val="00692FF7"/>
    <w:rsid w:val="006930CB"/>
    <w:rsid w:val="006934F5"/>
    <w:rsid w:val="00693D0E"/>
    <w:rsid w:val="00693EC0"/>
    <w:rsid w:val="00694317"/>
    <w:rsid w:val="006943A3"/>
    <w:rsid w:val="006945B1"/>
    <w:rsid w:val="0069475F"/>
    <w:rsid w:val="00694956"/>
    <w:rsid w:val="00694FF0"/>
    <w:rsid w:val="00695F0F"/>
    <w:rsid w:val="00697267"/>
    <w:rsid w:val="0069767B"/>
    <w:rsid w:val="00697840"/>
    <w:rsid w:val="006A00F9"/>
    <w:rsid w:val="006A03D6"/>
    <w:rsid w:val="006A0786"/>
    <w:rsid w:val="006A18ED"/>
    <w:rsid w:val="006A2083"/>
    <w:rsid w:val="006A26A5"/>
    <w:rsid w:val="006A28EF"/>
    <w:rsid w:val="006A3919"/>
    <w:rsid w:val="006A40B6"/>
    <w:rsid w:val="006A4178"/>
    <w:rsid w:val="006A45AD"/>
    <w:rsid w:val="006A4697"/>
    <w:rsid w:val="006A57C5"/>
    <w:rsid w:val="006A5CB2"/>
    <w:rsid w:val="006A5D9B"/>
    <w:rsid w:val="006A5FFD"/>
    <w:rsid w:val="006A60F3"/>
    <w:rsid w:val="006A654E"/>
    <w:rsid w:val="006A672C"/>
    <w:rsid w:val="006A6A46"/>
    <w:rsid w:val="006A6E11"/>
    <w:rsid w:val="006A6EFA"/>
    <w:rsid w:val="006A73CC"/>
    <w:rsid w:val="006A76C9"/>
    <w:rsid w:val="006A78BC"/>
    <w:rsid w:val="006A7D1E"/>
    <w:rsid w:val="006B091E"/>
    <w:rsid w:val="006B0E0D"/>
    <w:rsid w:val="006B1033"/>
    <w:rsid w:val="006B12C2"/>
    <w:rsid w:val="006B17E4"/>
    <w:rsid w:val="006B201E"/>
    <w:rsid w:val="006B21BD"/>
    <w:rsid w:val="006B24B9"/>
    <w:rsid w:val="006B2857"/>
    <w:rsid w:val="006B2D3E"/>
    <w:rsid w:val="006B2F31"/>
    <w:rsid w:val="006B2F5B"/>
    <w:rsid w:val="006B328C"/>
    <w:rsid w:val="006B32F5"/>
    <w:rsid w:val="006B3428"/>
    <w:rsid w:val="006B3978"/>
    <w:rsid w:val="006B4043"/>
    <w:rsid w:val="006B552B"/>
    <w:rsid w:val="006B7503"/>
    <w:rsid w:val="006B7728"/>
    <w:rsid w:val="006B7A44"/>
    <w:rsid w:val="006B7F7E"/>
    <w:rsid w:val="006C1E99"/>
    <w:rsid w:val="006C207B"/>
    <w:rsid w:val="006C21D3"/>
    <w:rsid w:val="006C2569"/>
    <w:rsid w:val="006C3296"/>
    <w:rsid w:val="006C47D6"/>
    <w:rsid w:val="006C4857"/>
    <w:rsid w:val="006C4997"/>
    <w:rsid w:val="006C5AC2"/>
    <w:rsid w:val="006C5AFB"/>
    <w:rsid w:val="006C60CC"/>
    <w:rsid w:val="006C66A4"/>
    <w:rsid w:val="006C687F"/>
    <w:rsid w:val="006C7CCF"/>
    <w:rsid w:val="006D12E4"/>
    <w:rsid w:val="006D196E"/>
    <w:rsid w:val="006D25DA"/>
    <w:rsid w:val="006D30D0"/>
    <w:rsid w:val="006D3C60"/>
    <w:rsid w:val="006D3CEE"/>
    <w:rsid w:val="006D3ECA"/>
    <w:rsid w:val="006D3F3B"/>
    <w:rsid w:val="006D4340"/>
    <w:rsid w:val="006D45A1"/>
    <w:rsid w:val="006D4EC7"/>
    <w:rsid w:val="006D503A"/>
    <w:rsid w:val="006D6086"/>
    <w:rsid w:val="006D6C64"/>
    <w:rsid w:val="006D732C"/>
    <w:rsid w:val="006D76F0"/>
    <w:rsid w:val="006E062D"/>
    <w:rsid w:val="006E08FC"/>
    <w:rsid w:val="006E0B3F"/>
    <w:rsid w:val="006E0C6B"/>
    <w:rsid w:val="006E1E74"/>
    <w:rsid w:val="006E2D59"/>
    <w:rsid w:val="006E39B1"/>
    <w:rsid w:val="006E3CAF"/>
    <w:rsid w:val="006E49A5"/>
    <w:rsid w:val="006E4CEF"/>
    <w:rsid w:val="006E506D"/>
    <w:rsid w:val="006E5EBD"/>
    <w:rsid w:val="006E6A2D"/>
    <w:rsid w:val="006E6CAC"/>
    <w:rsid w:val="006E6EB5"/>
    <w:rsid w:val="006E745E"/>
    <w:rsid w:val="006F06E1"/>
    <w:rsid w:val="006F0C17"/>
    <w:rsid w:val="006F11FF"/>
    <w:rsid w:val="006F1B3B"/>
    <w:rsid w:val="006F2AF1"/>
    <w:rsid w:val="006F3132"/>
    <w:rsid w:val="006F31FF"/>
    <w:rsid w:val="006F370A"/>
    <w:rsid w:val="006F398A"/>
    <w:rsid w:val="006F3E71"/>
    <w:rsid w:val="006F56DD"/>
    <w:rsid w:val="006F5810"/>
    <w:rsid w:val="006F587A"/>
    <w:rsid w:val="006F58A8"/>
    <w:rsid w:val="006F5D63"/>
    <w:rsid w:val="006F655D"/>
    <w:rsid w:val="006F707E"/>
    <w:rsid w:val="006F708B"/>
    <w:rsid w:val="007008AE"/>
    <w:rsid w:val="00700F65"/>
    <w:rsid w:val="007012A1"/>
    <w:rsid w:val="00702373"/>
    <w:rsid w:val="0070338D"/>
    <w:rsid w:val="00703641"/>
    <w:rsid w:val="00703700"/>
    <w:rsid w:val="00703CE3"/>
    <w:rsid w:val="00704D5E"/>
    <w:rsid w:val="007050D0"/>
    <w:rsid w:val="00705158"/>
    <w:rsid w:val="00705724"/>
    <w:rsid w:val="007057F0"/>
    <w:rsid w:val="00705A51"/>
    <w:rsid w:val="0070611D"/>
    <w:rsid w:val="0070646F"/>
    <w:rsid w:val="00706C88"/>
    <w:rsid w:val="00706E0A"/>
    <w:rsid w:val="00710087"/>
    <w:rsid w:val="0071156C"/>
    <w:rsid w:val="00711848"/>
    <w:rsid w:val="00711FE6"/>
    <w:rsid w:val="0071255F"/>
    <w:rsid w:val="00712F07"/>
    <w:rsid w:val="0071384E"/>
    <w:rsid w:val="0071394A"/>
    <w:rsid w:val="00713DE3"/>
    <w:rsid w:val="00714281"/>
    <w:rsid w:val="00714A06"/>
    <w:rsid w:val="00714FE6"/>
    <w:rsid w:val="00715CC8"/>
    <w:rsid w:val="007164DF"/>
    <w:rsid w:val="007167AF"/>
    <w:rsid w:val="007177F5"/>
    <w:rsid w:val="00717910"/>
    <w:rsid w:val="007201D5"/>
    <w:rsid w:val="0072063E"/>
    <w:rsid w:val="00720C13"/>
    <w:rsid w:val="00720C4D"/>
    <w:rsid w:val="00721D10"/>
    <w:rsid w:val="00722620"/>
    <w:rsid w:val="007227A2"/>
    <w:rsid w:val="00722D50"/>
    <w:rsid w:val="00723125"/>
    <w:rsid w:val="007235F0"/>
    <w:rsid w:val="00724474"/>
    <w:rsid w:val="00725146"/>
    <w:rsid w:val="007261F5"/>
    <w:rsid w:val="00726941"/>
    <w:rsid w:val="00726CC5"/>
    <w:rsid w:val="007276A8"/>
    <w:rsid w:val="00727B26"/>
    <w:rsid w:val="00727B27"/>
    <w:rsid w:val="0073017A"/>
    <w:rsid w:val="00730459"/>
    <w:rsid w:val="0073157C"/>
    <w:rsid w:val="00731C68"/>
    <w:rsid w:val="00731C7E"/>
    <w:rsid w:val="00732E17"/>
    <w:rsid w:val="0073311F"/>
    <w:rsid w:val="00733474"/>
    <w:rsid w:val="007337FC"/>
    <w:rsid w:val="007354F0"/>
    <w:rsid w:val="00735627"/>
    <w:rsid w:val="00735723"/>
    <w:rsid w:val="00736A91"/>
    <w:rsid w:val="00736AB1"/>
    <w:rsid w:val="0073799D"/>
    <w:rsid w:val="00740089"/>
    <w:rsid w:val="007406E0"/>
    <w:rsid w:val="00740F62"/>
    <w:rsid w:val="0074131C"/>
    <w:rsid w:val="007413B7"/>
    <w:rsid w:val="00741873"/>
    <w:rsid w:val="007419AF"/>
    <w:rsid w:val="00741D32"/>
    <w:rsid w:val="00741D43"/>
    <w:rsid w:val="00742FED"/>
    <w:rsid w:val="007438A1"/>
    <w:rsid w:val="00743B69"/>
    <w:rsid w:val="007440B2"/>
    <w:rsid w:val="0074416F"/>
    <w:rsid w:val="007444B0"/>
    <w:rsid w:val="00744724"/>
    <w:rsid w:val="00744E18"/>
    <w:rsid w:val="00745BA4"/>
    <w:rsid w:val="00745C60"/>
    <w:rsid w:val="00746776"/>
    <w:rsid w:val="007468C2"/>
    <w:rsid w:val="00747472"/>
    <w:rsid w:val="007500C3"/>
    <w:rsid w:val="00751A0D"/>
    <w:rsid w:val="00751E26"/>
    <w:rsid w:val="00751E8F"/>
    <w:rsid w:val="00751EC0"/>
    <w:rsid w:val="0075289F"/>
    <w:rsid w:val="0075401F"/>
    <w:rsid w:val="00754BBA"/>
    <w:rsid w:val="00754D9C"/>
    <w:rsid w:val="007559FE"/>
    <w:rsid w:val="00755DD2"/>
    <w:rsid w:val="007575ED"/>
    <w:rsid w:val="0076015F"/>
    <w:rsid w:val="007602B0"/>
    <w:rsid w:val="007627CF"/>
    <w:rsid w:val="00762885"/>
    <w:rsid w:val="00762E60"/>
    <w:rsid w:val="007634CB"/>
    <w:rsid w:val="00763D0A"/>
    <w:rsid w:val="00763EEA"/>
    <w:rsid w:val="007646FA"/>
    <w:rsid w:val="0076481B"/>
    <w:rsid w:val="00764907"/>
    <w:rsid w:val="00764CD4"/>
    <w:rsid w:val="00765AD3"/>
    <w:rsid w:val="00765BAB"/>
    <w:rsid w:val="00765CB5"/>
    <w:rsid w:val="00766599"/>
    <w:rsid w:val="007665BF"/>
    <w:rsid w:val="00766815"/>
    <w:rsid w:val="00766BA5"/>
    <w:rsid w:val="0076707D"/>
    <w:rsid w:val="00770F69"/>
    <w:rsid w:val="0077150E"/>
    <w:rsid w:val="00771E0B"/>
    <w:rsid w:val="0077219B"/>
    <w:rsid w:val="007732CA"/>
    <w:rsid w:val="007750FB"/>
    <w:rsid w:val="00775714"/>
    <w:rsid w:val="00775875"/>
    <w:rsid w:val="00775C97"/>
    <w:rsid w:val="0077610C"/>
    <w:rsid w:val="0077734C"/>
    <w:rsid w:val="00780864"/>
    <w:rsid w:val="007809C2"/>
    <w:rsid w:val="00780B0A"/>
    <w:rsid w:val="00781450"/>
    <w:rsid w:val="007819B9"/>
    <w:rsid w:val="00781FF8"/>
    <w:rsid w:val="007830EB"/>
    <w:rsid w:val="007834E5"/>
    <w:rsid w:val="00783E36"/>
    <w:rsid w:val="00784800"/>
    <w:rsid w:val="00784D57"/>
    <w:rsid w:val="00785065"/>
    <w:rsid w:val="0078512E"/>
    <w:rsid w:val="00785927"/>
    <w:rsid w:val="007869E9"/>
    <w:rsid w:val="00786AB4"/>
    <w:rsid w:val="00786B32"/>
    <w:rsid w:val="00786EC1"/>
    <w:rsid w:val="007875C6"/>
    <w:rsid w:val="00787AFE"/>
    <w:rsid w:val="00787D1A"/>
    <w:rsid w:val="00787D32"/>
    <w:rsid w:val="00790F93"/>
    <w:rsid w:val="00791059"/>
    <w:rsid w:val="00791321"/>
    <w:rsid w:val="00792075"/>
    <w:rsid w:val="00792389"/>
    <w:rsid w:val="00792C59"/>
    <w:rsid w:val="00792F4E"/>
    <w:rsid w:val="007945E5"/>
    <w:rsid w:val="00794727"/>
    <w:rsid w:val="007949F1"/>
    <w:rsid w:val="00795E1A"/>
    <w:rsid w:val="007962CD"/>
    <w:rsid w:val="007967BF"/>
    <w:rsid w:val="00796CDB"/>
    <w:rsid w:val="0079746E"/>
    <w:rsid w:val="007977CA"/>
    <w:rsid w:val="00797995"/>
    <w:rsid w:val="00797B38"/>
    <w:rsid w:val="00797BF3"/>
    <w:rsid w:val="00797D93"/>
    <w:rsid w:val="007A0458"/>
    <w:rsid w:val="007A0987"/>
    <w:rsid w:val="007A145D"/>
    <w:rsid w:val="007A148C"/>
    <w:rsid w:val="007A149B"/>
    <w:rsid w:val="007A1F75"/>
    <w:rsid w:val="007A1FF0"/>
    <w:rsid w:val="007A2010"/>
    <w:rsid w:val="007A2435"/>
    <w:rsid w:val="007A2E16"/>
    <w:rsid w:val="007A2F2C"/>
    <w:rsid w:val="007A30C6"/>
    <w:rsid w:val="007A3497"/>
    <w:rsid w:val="007A46B3"/>
    <w:rsid w:val="007A4771"/>
    <w:rsid w:val="007A4844"/>
    <w:rsid w:val="007A4D03"/>
    <w:rsid w:val="007A518E"/>
    <w:rsid w:val="007A54D9"/>
    <w:rsid w:val="007A5970"/>
    <w:rsid w:val="007A5C3D"/>
    <w:rsid w:val="007A6198"/>
    <w:rsid w:val="007A65E4"/>
    <w:rsid w:val="007A7035"/>
    <w:rsid w:val="007A70C2"/>
    <w:rsid w:val="007A75CF"/>
    <w:rsid w:val="007A7CBF"/>
    <w:rsid w:val="007B02C6"/>
    <w:rsid w:val="007B03EC"/>
    <w:rsid w:val="007B0530"/>
    <w:rsid w:val="007B1013"/>
    <w:rsid w:val="007B1643"/>
    <w:rsid w:val="007B1D08"/>
    <w:rsid w:val="007B3385"/>
    <w:rsid w:val="007B3804"/>
    <w:rsid w:val="007B3A5E"/>
    <w:rsid w:val="007B43F4"/>
    <w:rsid w:val="007B5D68"/>
    <w:rsid w:val="007B5EB8"/>
    <w:rsid w:val="007B5EC9"/>
    <w:rsid w:val="007B6428"/>
    <w:rsid w:val="007B67AB"/>
    <w:rsid w:val="007B6A2C"/>
    <w:rsid w:val="007B6F2F"/>
    <w:rsid w:val="007B6FA0"/>
    <w:rsid w:val="007B7C29"/>
    <w:rsid w:val="007B7D1C"/>
    <w:rsid w:val="007B7FFD"/>
    <w:rsid w:val="007C09CD"/>
    <w:rsid w:val="007C0B17"/>
    <w:rsid w:val="007C16E4"/>
    <w:rsid w:val="007C2225"/>
    <w:rsid w:val="007C22F9"/>
    <w:rsid w:val="007C266C"/>
    <w:rsid w:val="007C3127"/>
    <w:rsid w:val="007C327C"/>
    <w:rsid w:val="007C39ED"/>
    <w:rsid w:val="007C3DA9"/>
    <w:rsid w:val="007C3E26"/>
    <w:rsid w:val="007C3F27"/>
    <w:rsid w:val="007C4883"/>
    <w:rsid w:val="007C5556"/>
    <w:rsid w:val="007C5574"/>
    <w:rsid w:val="007C5751"/>
    <w:rsid w:val="007C5973"/>
    <w:rsid w:val="007C5A5B"/>
    <w:rsid w:val="007C5F10"/>
    <w:rsid w:val="007C617C"/>
    <w:rsid w:val="007C62D8"/>
    <w:rsid w:val="007C6569"/>
    <w:rsid w:val="007C6784"/>
    <w:rsid w:val="007C713D"/>
    <w:rsid w:val="007C71EC"/>
    <w:rsid w:val="007C736D"/>
    <w:rsid w:val="007D1582"/>
    <w:rsid w:val="007D1C1B"/>
    <w:rsid w:val="007D21A0"/>
    <w:rsid w:val="007D2682"/>
    <w:rsid w:val="007D27C9"/>
    <w:rsid w:val="007D2996"/>
    <w:rsid w:val="007D2D97"/>
    <w:rsid w:val="007D3213"/>
    <w:rsid w:val="007D3D64"/>
    <w:rsid w:val="007D5051"/>
    <w:rsid w:val="007D553D"/>
    <w:rsid w:val="007D5567"/>
    <w:rsid w:val="007D6720"/>
    <w:rsid w:val="007D699D"/>
    <w:rsid w:val="007D7121"/>
    <w:rsid w:val="007D7DBD"/>
    <w:rsid w:val="007E05AC"/>
    <w:rsid w:val="007E07F1"/>
    <w:rsid w:val="007E0C90"/>
    <w:rsid w:val="007E0D35"/>
    <w:rsid w:val="007E1032"/>
    <w:rsid w:val="007E1216"/>
    <w:rsid w:val="007E1ADB"/>
    <w:rsid w:val="007E2EC4"/>
    <w:rsid w:val="007E3908"/>
    <w:rsid w:val="007E3931"/>
    <w:rsid w:val="007E3C43"/>
    <w:rsid w:val="007E3FFB"/>
    <w:rsid w:val="007E4016"/>
    <w:rsid w:val="007E41FB"/>
    <w:rsid w:val="007E5536"/>
    <w:rsid w:val="007E564D"/>
    <w:rsid w:val="007E56EB"/>
    <w:rsid w:val="007E59AB"/>
    <w:rsid w:val="007E5A16"/>
    <w:rsid w:val="007E6006"/>
    <w:rsid w:val="007E61B9"/>
    <w:rsid w:val="007E6BA7"/>
    <w:rsid w:val="007E727D"/>
    <w:rsid w:val="007E7630"/>
    <w:rsid w:val="007E7CB8"/>
    <w:rsid w:val="007F047B"/>
    <w:rsid w:val="007F06E8"/>
    <w:rsid w:val="007F0D82"/>
    <w:rsid w:val="007F0EE0"/>
    <w:rsid w:val="007F0FA3"/>
    <w:rsid w:val="007F1679"/>
    <w:rsid w:val="007F28A3"/>
    <w:rsid w:val="007F2C67"/>
    <w:rsid w:val="007F2EDA"/>
    <w:rsid w:val="007F2F71"/>
    <w:rsid w:val="007F2F80"/>
    <w:rsid w:val="007F3404"/>
    <w:rsid w:val="007F373D"/>
    <w:rsid w:val="007F378D"/>
    <w:rsid w:val="007F3A93"/>
    <w:rsid w:val="007F41A6"/>
    <w:rsid w:val="007F4583"/>
    <w:rsid w:val="007F4B90"/>
    <w:rsid w:val="007F4C03"/>
    <w:rsid w:val="007F4C35"/>
    <w:rsid w:val="007F5243"/>
    <w:rsid w:val="007F59D2"/>
    <w:rsid w:val="007F7427"/>
    <w:rsid w:val="007F75BC"/>
    <w:rsid w:val="007F75F6"/>
    <w:rsid w:val="007F798D"/>
    <w:rsid w:val="0080057F"/>
    <w:rsid w:val="008008CF"/>
    <w:rsid w:val="008012E6"/>
    <w:rsid w:val="00801414"/>
    <w:rsid w:val="00801B47"/>
    <w:rsid w:val="00801DA9"/>
    <w:rsid w:val="008028A9"/>
    <w:rsid w:val="00802DED"/>
    <w:rsid w:val="00802FB4"/>
    <w:rsid w:val="008030CF"/>
    <w:rsid w:val="00803418"/>
    <w:rsid w:val="008035B9"/>
    <w:rsid w:val="00803F75"/>
    <w:rsid w:val="0080458F"/>
    <w:rsid w:val="00804C12"/>
    <w:rsid w:val="00805288"/>
    <w:rsid w:val="0080615E"/>
    <w:rsid w:val="0080661C"/>
    <w:rsid w:val="00806FDD"/>
    <w:rsid w:val="008071E4"/>
    <w:rsid w:val="00807218"/>
    <w:rsid w:val="00807265"/>
    <w:rsid w:val="008079CA"/>
    <w:rsid w:val="00807E65"/>
    <w:rsid w:val="00810E34"/>
    <w:rsid w:val="008111DC"/>
    <w:rsid w:val="008113F5"/>
    <w:rsid w:val="00811E74"/>
    <w:rsid w:val="00812D4F"/>
    <w:rsid w:val="008133FB"/>
    <w:rsid w:val="0081490C"/>
    <w:rsid w:val="00815554"/>
    <w:rsid w:val="00815734"/>
    <w:rsid w:val="00815940"/>
    <w:rsid w:val="00815AFC"/>
    <w:rsid w:val="008162A9"/>
    <w:rsid w:val="00816541"/>
    <w:rsid w:val="008166B7"/>
    <w:rsid w:val="00817080"/>
    <w:rsid w:val="00817CFC"/>
    <w:rsid w:val="0082040B"/>
    <w:rsid w:val="00820AC1"/>
    <w:rsid w:val="00820AF3"/>
    <w:rsid w:val="00820B88"/>
    <w:rsid w:val="00821692"/>
    <w:rsid w:val="008216FE"/>
    <w:rsid w:val="00822EE8"/>
    <w:rsid w:val="00823CF2"/>
    <w:rsid w:val="00824072"/>
    <w:rsid w:val="0082438F"/>
    <w:rsid w:val="00824AB8"/>
    <w:rsid w:val="00824D45"/>
    <w:rsid w:val="0082556F"/>
    <w:rsid w:val="00825ED6"/>
    <w:rsid w:val="00825F78"/>
    <w:rsid w:val="00826B99"/>
    <w:rsid w:val="00826D09"/>
    <w:rsid w:val="00827524"/>
    <w:rsid w:val="00827AD3"/>
    <w:rsid w:val="00827B7C"/>
    <w:rsid w:val="00827D65"/>
    <w:rsid w:val="00830375"/>
    <w:rsid w:val="00830C8A"/>
    <w:rsid w:val="008311D0"/>
    <w:rsid w:val="008316F6"/>
    <w:rsid w:val="00831916"/>
    <w:rsid w:val="00831BC9"/>
    <w:rsid w:val="0083281A"/>
    <w:rsid w:val="00832979"/>
    <w:rsid w:val="00833787"/>
    <w:rsid w:val="008339BC"/>
    <w:rsid w:val="0083450B"/>
    <w:rsid w:val="008355B7"/>
    <w:rsid w:val="00835AB4"/>
    <w:rsid w:val="00836748"/>
    <w:rsid w:val="00836D72"/>
    <w:rsid w:val="00836D76"/>
    <w:rsid w:val="00837C20"/>
    <w:rsid w:val="00837FC1"/>
    <w:rsid w:val="008402D8"/>
    <w:rsid w:val="0084058E"/>
    <w:rsid w:val="00840AC0"/>
    <w:rsid w:val="00840B4D"/>
    <w:rsid w:val="00840C18"/>
    <w:rsid w:val="00840EBC"/>
    <w:rsid w:val="00841DB3"/>
    <w:rsid w:val="00842A8C"/>
    <w:rsid w:val="00842F16"/>
    <w:rsid w:val="00844273"/>
    <w:rsid w:val="00844439"/>
    <w:rsid w:val="008448F2"/>
    <w:rsid w:val="0084530E"/>
    <w:rsid w:val="008470F6"/>
    <w:rsid w:val="00847155"/>
    <w:rsid w:val="008474C5"/>
    <w:rsid w:val="008479B9"/>
    <w:rsid w:val="00847D60"/>
    <w:rsid w:val="00847DEE"/>
    <w:rsid w:val="0085033C"/>
    <w:rsid w:val="00851A22"/>
    <w:rsid w:val="00851B21"/>
    <w:rsid w:val="0085257A"/>
    <w:rsid w:val="008525EC"/>
    <w:rsid w:val="00853544"/>
    <w:rsid w:val="00854B23"/>
    <w:rsid w:val="00854D04"/>
    <w:rsid w:val="00855782"/>
    <w:rsid w:val="00855903"/>
    <w:rsid w:val="00855BDC"/>
    <w:rsid w:val="00855F8E"/>
    <w:rsid w:val="0085635E"/>
    <w:rsid w:val="008569D4"/>
    <w:rsid w:val="00856E79"/>
    <w:rsid w:val="00857B0D"/>
    <w:rsid w:val="00860119"/>
    <w:rsid w:val="00860228"/>
    <w:rsid w:val="00860332"/>
    <w:rsid w:val="00860A62"/>
    <w:rsid w:val="00860B4C"/>
    <w:rsid w:val="00860F81"/>
    <w:rsid w:val="00861137"/>
    <w:rsid w:val="0086125C"/>
    <w:rsid w:val="008613A5"/>
    <w:rsid w:val="008613E3"/>
    <w:rsid w:val="00861620"/>
    <w:rsid w:val="008619D9"/>
    <w:rsid w:val="00862603"/>
    <w:rsid w:val="00862623"/>
    <w:rsid w:val="00862D59"/>
    <w:rsid w:val="00862F82"/>
    <w:rsid w:val="00863104"/>
    <w:rsid w:val="0086366F"/>
    <w:rsid w:val="00863CF1"/>
    <w:rsid w:val="00864555"/>
    <w:rsid w:val="008645C0"/>
    <w:rsid w:val="008647DD"/>
    <w:rsid w:val="00864A22"/>
    <w:rsid w:val="00864A57"/>
    <w:rsid w:val="00864CF1"/>
    <w:rsid w:val="00865BA0"/>
    <w:rsid w:val="00866336"/>
    <w:rsid w:val="00866448"/>
    <w:rsid w:val="008669C9"/>
    <w:rsid w:val="00866CB2"/>
    <w:rsid w:val="00867513"/>
    <w:rsid w:val="008675FF"/>
    <w:rsid w:val="008676C3"/>
    <w:rsid w:val="00870592"/>
    <w:rsid w:val="00870CDE"/>
    <w:rsid w:val="00870E77"/>
    <w:rsid w:val="0087107F"/>
    <w:rsid w:val="008713E8"/>
    <w:rsid w:val="00871791"/>
    <w:rsid w:val="00871F8A"/>
    <w:rsid w:val="00872251"/>
    <w:rsid w:val="00873621"/>
    <w:rsid w:val="00874BCF"/>
    <w:rsid w:val="00875013"/>
    <w:rsid w:val="00875BDA"/>
    <w:rsid w:val="008767A5"/>
    <w:rsid w:val="00877B72"/>
    <w:rsid w:val="00877FE9"/>
    <w:rsid w:val="008806D1"/>
    <w:rsid w:val="008813BD"/>
    <w:rsid w:val="00881A04"/>
    <w:rsid w:val="00881AD8"/>
    <w:rsid w:val="00882549"/>
    <w:rsid w:val="0088276B"/>
    <w:rsid w:val="0088278A"/>
    <w:rsid w:val="00882F92"/>
    <w:rsid w:val="00883190"/>
    <w:rsid w:val="008838B0"/>
    <w:rsid w:val="00883C6E"/>
    <w:rsid w:val="00883DEF"/>
    <w:rsid w:val="00883EA2"/>
    <w:rsid w:val="00884E49"/>
    <w:rsid w:val="00884ED7"/>
    <w:rsid w:val="008852EC"/>
    <w:rsid w:val="0088589E"/>
    <w:rsid w:val="00885959"/>
    <w:rsid w:val="00886457"/>
    <w:rsid w:val="0088744A"/>
    <w:rsid w:val="0089094A"/>
    <w:rsid w:val="00890BD4"/>
    <w:rsid w:val="008913D6"/>
    <w:rsid w:val="00891612"/>
    <w:rsid w:val="0089297E"/>
    <w:rsid w:val="008929BC"/>
    <w:rsid w:val="00893B89"/>
    <w:rsid w:val="00893D27"/>
    <w:rsid w:val="0089424D"/>
    <w:rsid w:val="0089454F"/>
    <w:rsid w:val="0089540A"/>
    <w:rsid w:val="00895936"/>
    <w:rsid w:val="00895990"/>
    <w:rsid w:val="00896777"/>
    <w:rsid w:val="00896CC5"/>
    <w:rsid w:val="008972D8"/>
    <w:rsid w:val="008978ED"/>
    <w:rsid w:val="00897D35"/>
    <w:rsid w:val="008A0437"/>
    <w:rsid w:val="008A12C1"/>
    <w:rsid w:val="008A1415"/>
    <w:rsid w:val="008A27A3"/>
    <w:rsid w:val="008A2812"/>
    <w:rsid w:val="008A2FCF"/>
    <w:rsid w:val="008A31E4"/>
    <w:rsid w:val="008A3776"/>
    <w:rsid w:val="008A3A63"/>
    <w:rsid w:val="008A42C3"/>
    <w:rsid w:val="008A43C0"/>
    <w:rsid w:val="008A45B3"/>
    <w:rsid w:val="008A47CD"/>
    <w:rsid w:val="008A4F3C"/>
    <w:rsid w:val="008A4F41"/>
    <w:rsid w:val="008A51A2"/>
    <w:rsid w:val="008A5957"/>
    <w:rsid w:val="008A6078"/>
    <w:rsid w:val="008A6546"/>
    <w:rsid w:val="008A6632"/>
    <w:rsid w:val="008A6D88"/>
    <w:rsid w:val="008A722C"/>
    <w:rsid w:val="008A7489"/>
    <w:rsid w:val="008A749B"/>
    <w:rsid w:val="008A7C13"/>
    <w:rsid w:val="008B03B2"/>
    <w:rsid w:val="008B088F"/>
    <w:rsid w:val="008B0D15"/>
    <w:rsid w:val="008B0F6A"/>
    <w:rsid w:val="008B0F7D"/>
    <w:rsid w:val="008B12F4"/>
    <w:rsid w:val="008B133F"/>
    <w:rsid w:val="008B13C2"/>
    <w:rsid w:val="008B14FD"/>
    <w:rsid w:val="008B15A4"/>
    <w:rsid w:val="008B1A4D"/>
    <w:rsid w:val="008B1BED"/>
    <w:rsid w:val="008B2989"/>
    <w:rsid w:val="008B36C8"/>
    <w:rsid w:val="008B3FD9"/>
    <w:rsid w:val="008B4281"/>
    <w:rsid w:val="008B46A0"/>
    <w:rsid w:val="008B475F"/>
    <w:rsid w:val="008B4CAE"/>
    <w:rsid w:val="008B4F5E"/>
    <w:rsid w:val="008B5ACA"/>
    <w:rsid w:val="008B67F6"/>
    <w:rsid w:val="008B6ABD"/>
    <w:rsid w:val="008B731A"/>
    <w:rsid w:val="008B7E9F"/>
    <w:rsid w:val="008C02AC"/>
    <w:rsid w:val="008C0390"/>
    <w:rsid w:val="008C064C"/>
    <w:rsid w:val="008C0971"/>
    <w:rsid w:val="008C0A78"/>
    <w:rsid w:val="008C0C2B"/>
    <w:rsid w:val="008C1008"/>
    <w:rsid w:val="008C1838"/>
    <w:rsid w:val="008C230A"/>
    <w:rsid w:val="008C2386"/>
    <w:rsid w:val="008C2486"/>
    <w:rsid w:val="008C2ECD"/>
    <w:rsid w:val="008C3AE6"/>
    <w:rsid w:val="008C4340"/>
    <w:rsid w:val="008C462A"/>
    <w:rsid w:val="008C473A"/>
    <w:rsid w:val="008C5A72"/>
    <w:rsid w:val="008C6810"/>
    <w:rsid w:val="008C6AAE"/>
    <w:rsid w:val="008C6B0A"/>
    <w:rsid w:val="008C7281"/>
    <w:rsid w:val="008C771C"/>
    <w:rsid w:val="008C78AA"/>
    <w:rsid w:val="008C7C1B"/>
    <w:rsid w:val="008D0164"/>
    <w:rsid w:val="008D12A4"/>
    <w:rsid w:val="008D14D6"/>
    <w:rsid w:val="008D1BC5"/>
    <w:rsid w:val="008D24C0"/>
    <w:rsid w:val="008D32C6"/>
    <w:rsid w:val="008D3AD3"/>
    <w:rsid w:val="008D4AC6"/>
    <w:rsid w:val="008D54D8"/>
    <w:rsid w:val="008D7339"/>
    <w:rsid w:val="008D7482"/>
    <w:rsid w:val="008D7838"/>
    <w:rsid w:val="008D78FD"/>
    <w:rsid w:val="008E09FC"/>
    <w:rsid w:val="008E0DFF"/>
    <w:rsid w:val="008E1279"/>
    <w:rsid w:val="008E1373"/>
    <w:rsid w:val="008E154E"/>
    <w:rsid w:val="008E1A8C"/>
    <w:rsid w:val="008E1CAE"/>
    <w:rsid w:val="008E25D2"/>
    <w:rsid w:val="008E350F"/>
    <w:rsid w:val="008E395C"/>
    <w:rsid w:val="008E3AB5"/>
    <w:rsid w:val="008E48EA"/>
    <w:rsid w:val="008E4D03"/>
    <w:rsid w:val="008E592C"/>
    <w:rsid w:val="008E5C84"/>
    <w:rsid w:val="008E5CDB"/>
    <w:rsid w:val="008E6B0B"/>
    <w:rsid w:val="008E6B7A"/>
    <w:rsid w:val="008E6B90"/>
    <w:rsid w:val="008E6D59"/>
    <w:rsid w:val="008E7037"/>
    <w:rsid w:val="008E70BA"/>
    <w:rsid w:val="008E7C57"/>
    <w:rsid w:val="008F085D"/>
    <w:rsid w:val="008F0AE4"/>
    <w:rsid w:val="008F14B0"/>
    <w:rsid w:val="008F1BA4"/>
    <w:rsid w:val="008F1E58"/>
    <w:rsid w:val="008F1F71"/>
    <w:rsid w:val="008F1F85"/>
    <w:rsid w:val="008F257A"/>
    <w:rsid w:val="008F2ABE"/>
    <w:rsid w:val="008F2AEE"/>
    <w:rsid w:val="008F2C20"/>
    <w:rsid w:val="008F38AF"/>
    <w:rsid w:val="008F3D5A"/>
    <w:rsid w:val="008F3E49"/>
    <w:rsid w:val="008F3FB6"/>
    <w:rsid w:val="008F427D"/>
    <w:rsid w:val="008F4938"/>
    <w:rsid w:val="008F571F"/>
    <w:rsid w:val="008F5AAB"/>
    <w:rsid w:val="008F5D43"/>
    <w:rsid w:val="008F6622"/>
    <w:rsid w:val="008F6C85"/>
    <w:rsid w:val="008F740F"/>
    <w:rsid w:val="008F776C"/>
    <w:rsid w:val="008F7A7B"/>
    <w:rsid w:val="008F7FD6"/>
    <w:rsid w:val="0090024C"/>
    <w:rsid w:val="00901250"/>
    <w:rsid w:val="0090139A"/>
    <w:rsid w:val="00901FED"/>
    <w:rsid w:val="0090249D"/>
    <w:rsid w:val="0090262E"/>
    <w:rsid w:val="00902C01"/>
    <w:rsid w:val="009034E3"/>
    <w:rsid w:val="009044D7"/>
    <w:rsid w:val="00904E56"/>
    <w:rsid w:val="00905E4E"/>
    <w:rsid w:val="00906279"/>
    <w:rsid w:val="0090723E"/>
    <w:rsid w:val="009073F6"/>
    <w:rsid w:val="00907F32"/>
    <w:rsid w:val="00910043"/>
    <w:rsid w:val="00910FF3"/>
    <w:rsid w:val="0091132B"/>
    <w:rsid w:val="00912201"/>
    <w:rsid w:val="00912990"/>
    <w:rsid w:val="00912D64"/>
    <w:rsid w:val="0091331C"/>
    <w:rsid w:val="0091380C"/>
    <w:rsid w:val="00913A6C"/>
    <w:rsid w:val="00913B6F"/>
    <w:rsid w:val="00914236"/>
    <w:rsid w:val="0091450A"/>
    <w:rsid w:val="009148B7"/>
    <w:rsid w:val="00914F7A"/>
    <w:rsid w:val="00915A48"/>
    <w:rsid w:val="00915AB6"/>
    <w:rsid w:val="00915D2C"/>
    <w:rsid w:val="0091659A"/>
    <w:rsid w:val="00916E37"/>
    <w:rsid w:val="00916EBF"/>
    <w:rsid w:val="009202F3"/>
    <w:rsid w:val="00920714"/>
    <w:rsid w:val="009207AF"/>
    <w:rsid w:val="00920828"/>
    <w:rsid w:val="00920B12"/>
    <w:rsid w:val="00920FB1"/>
    <w:rsid w:val="00921A36"/>
    <w:rsid w:val="00921F95"/>
    <w:rsid w:val="00922A18"/>
    <w:rsid w:val="00922FE3"/>
    <w:rsid w:val="00924089"/>
    <w:rsid w:val="009242EC"/>
    <w:rsid w:val="00924375"/>
    <w:rsid w:val="00924535"/>
    <w:rsid w:val="00924539"/>
    <w:rsid w:val="0092475A"/>
    <w:rsid w:val="00924AF2"/>
    <w:rsid w:val="00924B6D"/>
    <w:rsid w:val="009259F9"/>
    <w:rsid w:val="00926321"/>
    <w:rsid w:val="00926C37"/>
    <w:rsid w:val="009279FA"/>
    <w:rsid w:val="00927B39"/>
    <w:rsid w:val="00927C4D"/>
    <w:rsid w:val="00927D5E"/>
    <w:rsid w:val="00930156"/>
    <w:rsid w:val="00930A43"/>
    <w:rsid w:val="00931522"/>
    <w:rsid w:val="00931F98"/>
    <w:rsid w:val="009327CC"/>
    <w:rsid w:val="00933809"/>
    <w:rsid w:val="009342C4"/>
    <w:rsid w:val="009344A0"/>
    <w:rsid w:val="00934906"/>
    <w:rsid w:val="00934C6D"/>
    <w:rsid w:val="00935082"/>
    <w:rsid w:val="00935C13"/>
    <w:rsid w:val="0093710E"/>
    <w:rsid w:val="00937190"/>
    <w:rsid w:val="00937AB4"/>
    <w:rsid w:val="009400D1"/>
    <w:rsid w:val="00940151"/>
    <w:rsid w:val="00940482"/>
    <w:rsid w:val="0094057B"/>
    <w:rsid w:val="00940DB8"/>
    <w:rsid w:val="009410EA"/>
    <w:rsid w:val="00941F74"/>
    <w:rsid w:val="00941FDF"/>
    <w:rsid w:val="00942ED3"/>
    <w:rsid w:val="009436C1"/>
    <w:rsid w:val="00943CFC"/>
    <w:rsid w:val="00943DCE"/>
    <w:rsid w:val="009443E9"/>
    <w:rsid w:val="00944718"/>
    <w:rsid w:val="009449E3"/>
    <w:rsid w:val="00945A89"/>
    <w:rsid w:val="0094621B"/>
    <w:rsid w:val="00947356"/>
    <w:rsid w:val="00947A13"/>
    <w:rsid w:val="00947DF5"/>
    <w:rsid w:val="00950476"/>
    <w:rsid w:val="009508AA"/>
    <w:rsid w:val="00950AEF"/>
    <w:rsid w:val="00951315"/>
    <w:rsid w:val="009514E2"/>
    <w:rsid w:val="00951568"/>
    <w:rsid w:val="00951F0C"/>
    <w:rsid w:val="0095350B"/>
    <w:rsid w:val="00953A26"/>
    <w:rsid w:val="0095499C"/>
    <w:rsid w:val="00954A4D"/>
    <w:rsid w:val="00954AA1"/>
    <w:rsid w:val="00954EB8"/>
    <w:rsid w:val="0095609B"/>
    <w:rsid w:val="009566DE"/>
    <w:rsid w:val="009572B8"/>
    <w:rsid w:val="00957CFA"/>
    <w:rsid w:val="00960558"/>
    <w:rsid w:val="009605E5"/>
    <w:rsid w:val="00960763"/>
    <w:rsid w:val="00960B24"/>
    <w:rsid w:val="00960D56"/>
    <w:rsid w:val="00961788"/>
    <w:rsid w:val="009621E4"/>
    <w:rsid w:val="0096275C"/>
    <w:rsid w:val="00962FA8"/>
    <w:rsid w:val="009634B4"/>
    <w:rsid w:val="00963FF9"/>
    <w:rsid w:val="009646EE"/>
    <w:rsid w:val="00964A85"/>
    <w:rsid w:val="00964BCD"/>
    <w:rsid w:val="00964D82"/>
    <w:rsid w:val="00964FEE"/>
    <w:rsid w:val="009653FE"/>
    <w:rsid w:val="0096552A"/>
    <w:rsid w:val="00966BF9"/>
    <w:rsid w:val="00966D81"/>
    <w:rsid w:val="00970879"/>
    <w:rsid w:val="009709F7"/>
    <w:rsid w:val="00971889"/>
    <w:rsid w:val="009725A9"/>
    <w:rsid w:val="009727C2"/>
    <w:rsid w:val="00972903"/>
    <w:rsid w:val="00972F62"/>
    <w:rsid w:val="0097333C"/>
    <w:rsid w:val="009734AA"/>
    <w:rsid w:val="00973693"/>
    <w:rsid w:val="00973739"/>
    <w:rsid w:val="00973AF8"/>
    <w:rsid w:val="00973CD8"/>
    <w:rsid w:val="00973E44"/>
    <w:rsid w:val="00974541"/>
    <w:rsid w:val="00974D28"/>
    <w:rsid w:val="00974FB1"/>
    <w:rsid w:val="009752F9"/>
    <w:rsid w:val="009757A6"/>
    <w:rsid w:val="00975DEE"/>
    <w:rsid w:val="0097606F"/>
    <w:rsid w:val="0097691D"/>
    <w:rsid w:val="00977F8E"/>
    <w:rsid w:val="00980C2C"/>
    <w:rsid w:val="00980EAD"/>
    <w:rsid w:val="0098140B"/>
    <w:rsid w:val="00981C4B"/>
    <w:rsid w:val="00981CA5"/>
    <w:rsid w:val="00981F46"/>
    <w:rsid w:val="0098201D"/>
    <w:rsid w:val="009821CD"/>
    <w:rsid w:val="009822BD"/>
    <w:rsid w:val="009823AE"/>
    <w:rsid w:val="009825BE"/>
    <w:rsid w:val="00983897"/>
    <w:rsid w:val="00983B55"/>
    <w:rsid w:val="00983DC7"/>
    <w:rsid w:val="009842E4"/>
    <w:rsid w:val="0098473A"/>
    <w:rsid w:val="0098482D"/>
    <w:rsid w:val="00984A6B"/>
    <w:rsid w:val="00984D4A"/>
    <w:rsid w:val="00986B0E"/>
    <w:rsid w:val="00991300"/>
    <w:rsid w:val="009913F7"/>
    <w:rsid w:val="009919BA"/>
    <w:rsid w:val="009924CA"/>
    <w:rsid w:val="00992C4B"/>
    <w:rsid w:val="009931F5"/>
    <w:rsid w:val="009936B1"/>
    <w:rsid w:val="0099375D"/>
    <w:rsid w:val="009942D5"/>
    <w:rsid w:val="0099491B"/>
    <w:rsid w:val="009949BB"/>
    <w:rsid w:val="00994A43"/>
    <w:rsid w:val="00994E01"/>
    <w:rsid w:val="009951CE"/>
    <w:rsid w:val="009954A5"/>
    <w:rsid w:val="009954E8"/>
    <w:rsid w:val="00995E3D"/>
    <w:rsid w:val="009960D6"/>
    <w:rsid w:val="0099624C"/>
    <w:rsid w:val="00996C88"/>
    <w:rsid w:val="00996E15"/>
    <w:rsid w:val="00996F3C"/>
    <w:rsid w:val="00997E22"/>
    <w:rsid w:val="009A0099"/>
    <w:rsid w:val="009A0D16"/>
    <w:rsid w:val="009A139C"/>
    <w:rsid w:val="009A1ACA"/>
    <w:rsid w:val="009A1E6B"/>
    <w:rsid w:val="009A1EF8"/>
    <w:rsid w:val="009A26A8"/>
    <w:rsid w:val="009A4436"/>
    <w:rsid w:val="009A4505"/>
    <w:rsid w:val="009A4B77"/>
    <w:rsid w:val="009A5C51"/>
    <w:rsid w:val="009A60AD"/>
    <w:rsid w:val="009A634B"/>
    <w:rsid w:val="009A6E84"/>
    <w:rsid w:val="009A7216"/>
    <w:rsid w:val="009A7B97"/>
    <w:rsid w:val="009B08B1"/>
    <w:rsid w:val="009B0D2C"/>
    <w:rsid w:val="009B1916"/>
    <w:rsid w:val="009B2679"/>
    <w:rsid w:val="009B2682"/>
    <w:rsid w:val="009B2727"/>
    <w:rsid w:val="009B27D1"/>
    <w:rsid w:val="009B2926"/>
    <w:rsid w:val="009B2A02"/>
    <w:rsid w:val="009B2E5B"/>
    <w:rsid w:val="009B3931"/>
    <w:rsid w:val="009B4683"/>
    <w:rsid w:val="009B47BA"/>
    <w:rsid w:val="009B48A7"/>
    <w:rsid w:val="009B5181"/>
    <w:rsid w:val="009B5807"/>
    <w:rsid w:val="009B5858"/>
    <w:rsid w:val="009B5E98"/>
    <w:rsid w:val="009B63B4"/>
    <w:rsid w:val="009B6E1F"/>
    <w:rsid w:val="009B7CA4"/>
    <w:rsid w:val="009C04E3"/>
    <w:rsid w:val="009C091F"/>
    <w:rsid w:val="009C0995"/>
    <w:rsid w:val="009C1598"/>
    <w:rsid w:val="009C15DB"/>
    <w:rsid w:val="009C1C14"/>
    <w:rsid w:val="009C1E80"/>
    <w:rsid w:val="009C1F39"/>
    <w:rsid w:val="009C2349"/>
    <w:rsid w:val="009C29F9"/>
    <w:rsid w:val="009C2ECF"/>
    <w:rsid w:val="009C3CF6"/>
    <w:rsid w:val="009C4B5C"/>
    <w:rsid w:val="009C4DA1"/>
    <w:rsid w:val="009C5A95"/>
    <w:rsid w:val="009C5ED0"/>
    <w:rsid w:val="009C672E"/>
    <w:rsid w:val="009C6D92"/>
    <w:rsid w:val="009C744E"/>
    <w:rsid w:val="009D0143"/>
    <w:rsid w:val="009D0A16"/>
    <w:rsid w:val="009D0A6F"/>
    <w:rsid w:val="009D0D4E"/>
    <w:rsid w:val="009D1D07"/>
    <w:rsid w:val="009D2432"/>
    <w:rsid w:val="009D2FD2"/>
    <w:rsid w:val="009D3F8B"/>
    <w:rsid w:val="009D40F2"/>
    <w:rsid w:val="009D4269"/>
    <w:rsid w:val="009D4692"/>
    <w:rsid w:val="009D47CE"/>
    <w:rsid w:val="009D4AF0"/>
    <w:rsid w:val="009D4E91"/>
    <w:rsid w:val="009D54BE"/>
    <w:rsid w:val="009D58C7"/>
    <w:rsid w:val="009D5D5F"/>
    <w:rsid w:val="009D64C7"/>
    <w:rsid w:val="009D686F"/>
    <w:rsid w:val="009E0092"/>
    <w:rsid w:val="009E02C6"/>
    <w:rsid w:val="009E060B"/>
    <w:rsid w:val="009E081B"/>
    <w:rsid w:val="009E0EC3"/>
    <w:rsid w:val="009E122A"/>
    <w:rsid w:val="009E1BFE"/>
    <w:rsid w:val="009E1FFF"/>
    <w:rsid w:val="009E211A"/>
    <w:rsid w:val="009E21A8"/>
    <w:rsid w:val="009E22C4"/>
    <w:rsid w:val="009E28B8"/>
    <w:rsid w:val="009E2925"/>
    <w:rsid w:val="009E2B08"/>
    <w:rsid w:val="009E2DED"/>
    <w:rsid w:val="009E35E0"/>
    <w:rsid w:val="009E3746"/>
    <w:rsid w:val="009E40A1"/>
    <w:rsid w:val="009E5E15"/>
    <w:rsid w:val="009E64FB"/>
    <w:rsid w:val="009E6585"/>
    <w:rsid w:val="009E6755"/>
    <w:rsid w:val="009E7376"/>
    <w:rsid w:val="009F15BC"/>
    <w:rsid w:val="009F164E"/>
    <w:rsid w:val="009F18CB"/>
    <w:rsid w:val="009F3394"/>
    <w:rsid w:val="009F4111"/>
    <w:rsid w:val="009F413B"/>
    <w:rsid w:val="009F41FD"/>
    <w:rsid w:val="009F4587"/>
    <w:rsid w:val="009F4670"/>
    <w:rsid w:val="009F49A7"/>
    <w:rsid w:val="009F5816"/>
    <w:rsid w:val="009F5AA1"/>
    <w:rsid w:val="009F5D17"/>
    <w:rsid w:val="009F5FE9"/>
    <w:rsid w:val="009F66C5"/>
    <w:rsid w:val="009F6FBC"/>
    <w:rsid w:val="009F70BF"/>
    <w:rsid w:val="009F7B16"/>
    <w:rsid w:val="009F7B51"/>
    <w:rsid w:val="009F7F17"/>
    <w:rsid w:val="009F7F22"/>
    <w:rsid w:val="00A00274"/>
    <w:rsid w:val="00A00E81"/>
    <w:rsid w:val="00A01EDB"/>
    <w:rsid w:val="00A0251B"/>
    <w:rsid w:val="00A02942"/>
    <w:rsid w:val="00A029CC"/>
    <w:rsid w:val="00A02F83"/>
    <w:rsid w:val="00A030A2"/>
    <w:rsid w:val="00A0331D"/>
    <w:rsid w:val="00A058E4"/>
    <w:rsid w:val="00A05D93"/>
    <w:rsid w:val="00A065B7"/>
    <w:rsid w:val="00A06778"/>
    <w:rsid w:val="00A06B6F"/>
    <w:rsid w:val="00A101D4"/>
    <w:rsid w:val="00A11004"/>
    <w:rsid w:val="00A11F48"/>
    <w:rsid w:val="00A129EA"/>
    <w:rsid w:val="00A132B6"/>
    <w:rsid w:val="00A13CBF"/>
    <w:rsid w:val="00A1478E"/>
    <w:rsid w:val="00A14ED3"/>
    <w:rsid w:val="00A15071"/>
    <w:rsid w:val="00A150FA"/>
    <w:rsid w:val="00A15806"/>
    <w:rsid w:val="00A15897"/>
    <w:rsid w:val="00A15A2D"/>
    <w:rsid w:val="00A15F18"/>
    <w:rsid w:val="00A16A9D"/>
    <w:rsid w:val="00A16BC2"/>
    <w:rsid w:val="00A173B0"/>
    <w:rsid w:val="00A17EF8"/>
    <w:rsid w:val="00A17FA7"/>
    <w:rsid w:val="00A22555"/>
    <w:rsid w:val="00A228FC"/>
    <w:rsid w:val="00A23B3D"/>
    <w:rsid w:val="00A242D2"/>
    <w:rsid w:val="00A24D2D"/>
    <w:rsid w:val="00A25AA5"/>
    <w:rsid w:val="00A25B5A"/>
    <w:rsid w:val="00A26906"/>
    <w:rsid w:val="00A26D8A"/>
    <w:rsid w:val="00A27008"/>
    <w:rsid w:val="00A2754D"/>
    <w:rsid w:val="00A27FA9"/>
    <w:rsid w:val="00A30134"/>
    <w:rsid w:val="00A30199"/>
    <w:rsid w:val="00A3139D"/>
    <w:rsid w:val="00A31C5E"/>
    <w:rsid w:val="00A3253D"/>
    <w:rsid w:val="00A3278A"/>
    <w:rsid w:val="00A33955"/>
    <w:rsid w:val="00A34835"/>
    <w:rsid w:val="00A34E9D"/>
    <w:rsid w:val="00A35731"/>
    <w:rsid w:val="00A36EE3"/>
    <w:rsid w:val="00A37961"/>
    <w:rsid w:val="00A37C05"/>
    <w:rsid w:val="00A37FAE"/>
    <w:rsid w:val="00A40C0E"/>
    <w:rsid w:val="00A40D93"/>
    <w:rsid w:val="00A40DCB"/>
    <w:rsid w:val="00A41D38"/>
    <w:rsid w:val="00A4282F"/>
    <w:rsid w:val="00A42934"/>
    <w:rsid w:val="00A434BC"/>
    <w:rsid w:val="00A43D58"/>
    <w:rsid w:val="00A46AEC"/>
    <w:rsid w:val="00A46E6A"/>
    <w:rsid w:val="00A47133"/>
    <w:rsid w:val="00A47EA4"/>
    <w:rsid w:val="00A50827"/>
    <w:rsid w:val="00A509F8"/>
    <w:rsid w:val="00A50C22"/>
    <w:rsid w:val="00A50C82"/>
    <w:rsid w:val="00A510FD"/>
    <w:rsid w:val="00A51D7A"/>
    <w:rsid w:val="00A51FFF"/>
    <w:rsid w:val="00A52AB1"/>
    <w:rsid w:val="00A5362A"/>
    <w:rsid w:val="00A5396F"/>
    <w:rsid w:val="00A53E8B"/>
    <w:rsid w:val="00A54416"/>
    <w:rsid w:val="00A545F6"/>
    <w:rsid w:val="00A5467F"/>
    <w:rsid w:val="00A5499F"/>
    <w:rsid w:val="00A55E2E"/>
    <w:rsid w:val="00A568F9"/>
    <w:rsid w:val="00A57118"/>
    <w:rsid w:val="00A5712B"/>
    <w:rsid w:val="00A60B00"/>
    <w:rsid w:val="00A60ED1"/>
    <w:rsid w:val="00A61212"/>
    <w:rsid w:val="00A6167E"/>
    <w:rsid w:val="00A6252B"/>
    <w:rsid w:val="00A62B92"/>
    <w:rsid w:val="00A62F0A"/>
    <w:rsid w:val="00A62F32"/>
    <w:rsid w:val="00A634F6"/>
    <w:rsid w:val="00A63C65"/>
    <w:rsid w:val="00A63D68"/>
    <w:rsid w:val="00A63F29"/>
    <w:rsid w:val="00A6451B"/>
    <w:rsid w:val="00A650B3"/>
    <w:rsid w:val="00A6546F"/>
    <w:rsid w:val="00A6552E"/>
    <w:rsid w:val="00A65703"/>
    <w:rsid w:val="00A659AF"/>
    <w:rsid w:val="00A66685"/>
    <w:rsid w:val="00A675D0"/>
    <w:rsid w:val="00A67B67"/>
    <w:rsid w:val="00A67D45"/>
    <w:rsid w:val="00A67F93"/>
    <w:rsid w:val="00A70780"/>
    <w:rsid w:val="00A70A52"/>
    <w:rsid w:val="00A712B8"/>
    <w:rsid w:val="00A71F65"/>
    <w:rsid w:val="00A724A5"/>
    <w:rsid w:val="00A725C3"/>
    <w:rsid w:val="00A728E8"/>
    <w:rsid w:val="00A72A52"/>
    <w:rsid w:val="00A72D0A"/>
    <w:rsid w:val="00A7309F"/>
    <w:rsid w:val="00A75281"/>
    <w:rsid w:val="00A76240"/>
    <w:rsid w:val="00A76643"/>
    <w:rsid w:val="00A774A6"/>
    <w:rsid w:val="00A77B32"/>
    <w:rsid w:val="00A801C5"/>
    <w:rsid w:val="00A80408"/>
    <w:rsid w:val="00A806F3"/>
    <w:rsid w:val="00A80FA4"/>
    <w:rsid w:val="00A817FB"/>
    <w:rsid w:val="00A824CE"/>
    <w:rsid w:val="00A82541"/>
    <w:rsid w:val="00A829EE"/>
    <w:rsid w:val="00A82A92"/>
    <w:rsid w:val="00A82E04"/>
    <w:rsid w:val="00A83B96"/>
    <w:rsid w:val="00A84148"/>
    <w:rsid w:val="00A842D3"/>
    <w:rsid w:val="00A848BC"/>
    <w:rsid w:val="00A84FB6"/>
    <w:rsid w:val="00A857A3"/>
    <w:rsid w:val="00A85973"/>
    <w:rsid w:val="00A8664B"/>
    <w:rsid w:val="00A8689A"/>
    <w:rsid w:val="00A86A36"/>
    <w:rsid w:val="00A87F2B"/>
    <w:rsid w:val="00A901B8"/>
    <w:rsid w:val="00A90C15"/>
    <w:rsid w:val="00A90C70"/>
    <w:rsid w:val="00A913EE"/>
    <w:rsid w:val="00A91651"/>
    <w:rsid w:val="00A91E82"/>
    <w:rsid w:val="00A92EF0"/>
    <w:rsid w:val="00A92F8D"/>
    <w:rsid w:val="00A93370"/>
    <w:rsid w:val="00A93CE8"/>
    <w:rsid w:val="00A9533A"/>
    <w:rsid w:val="00A97C22"/>
    <w:rsid w:val="00AA0A3A"/>
    <w:rsid w:val="00AA0FFC"/>
    <w:rsid w:val="00AA1A3B"/>
    <w:rsid w:val="00AA1F71"/>
    <w:rsid w:val="00AA2301"/>
    <w:rsid w:val="00AA2344"/>
    <w:rsid w:val="00AA2708"/>
    <w:rsid w:val="00AA2F0B"/>
    <w:rsid w:val="00AA31F8"/>
    <w:rsid w:val="00AA3863"/>
    <w:rsid w:val="00AA46AF"/>
    <w:rsid w:val="00AA531A"/>
    <w:rsid w:val="00AA5677"/>
    <w:rsid w:val="00AA5882"/>
    <w:rsid w:val="00AA5963"/>
    <w:rsid w:val="00AA5EAF"/>
    <w:rsid w:val="00AA5F4C"/>
    <w:rsid w:val="00AA60D4"/>
    <w:rsid w:val="00AA6BEF"/>
    <w:rsid w:val="00AA6F37"/>
    <w:rsid w:val="00AA7AFF"/>
    <w:rsid w:val="00AB0AEE"/>
    <w:rsid w:val="00AB0E70"/>
    <w:rsid w:val="00AB1A04"/>
    <w:rsid w:val="00AB3198"/>
    <w:rsid w:val="00AB3AC8"/>
    <w:rsid w:val="00AB3E90"/>
    <w:rsid w:val="00AB418D"/>
    <w:rsid w:val="00AB4E6A"/>
    <w:rsid w:val="00AB4E89"/>
    <w:rsid w:val="00AB4F14"/>
    <w:rsid w:val="00AB4F1A"/>
    <w:rsid w:val="00AB514F"/>
    <w:rsid w:val="00AB53F6"/>
    <w:rsid w:val="00AB5A84"/>
    <w:rsid w:val="00AB5CD9"/>
    <w:rsid w:val="00AB6259"/>
    <w:rsid w:val="00AB6926"/>
    <w:rsid w:val="00AB7D99"/>
    <w:rsid w:val="00AC0991"/>
    <w:rsid w:val="00AC0CAF"/>
    <w:rsid w:val="00AC0D44"/>
    <w:rsid w:val="00AC1274"/>
    <w:rsid w:val="00AC19FA"/>
    <w:rsid w:val="00AC1BD7"/>
    <w:rsid w:val="00AC1E06"/>
    <w:rsid w:val="00AC291A"/>
    <w:rsid w:val="00AC3010"/>
    <w:rsid w:val="00AC3DB9"/>
    <w:rsid w:val="00AC4153"/>
    <w:rsid w:val="00AC4207"/>
    <w:rsid w:val="00AC4EA9"/>
    <w:rsid w:val="00AC5C3F"/>
    <w:rsid w:val="00AC5C53"/>
    <w:rsid w:val="00AC6433"/>
    <w:rsid w:val="00AC6733"/>
    <w:rsid w:val="00AC6C3C"/>
    <w:rsid w:val="00AC7BF2"/>
    <w:rsid w:val="00AC7D7F"/>
    <w:rsid w:val="00AC7E90"/>
    <w:rsid w:val="00AD11D1"/>
    <w:rsid w:val="00AD1774"/>
    <w:rsid w:val="00AD196C"/>
    <w:rsid w:val="00AD20BF"/>
    <w:rsid w:val="00AD2171"/>
    <w:rsid w:val="00AD2B27"/>
    <w:rsid w:val="00AD2B33"/>
    <w:rsid w:val="00AD2D10"/>
    <w:rsid w:val="00AD2F96"/>
    <w:rsid w:val="00AD4007"/>
    <w:rsid w:val="00AD4377"/>
    <w:rsid w:val="00AD529D"/>
    <w:rsid w:val="00AD52FE"/>
    <w:rsid w:val="00AD56E5"/>
    <w:rsid w:val="00AD5B80"/>
    <w:rsid w:val="00AD6154"/>
    <w:rsid w:val="00AD6820"/>
    <w:rsid w:val="00AD6E73"/>
    <w:rsid w:val="00AD7E30"/>
    <w:rsid w:val="00AE1184"/>
    <w:rsid w:val="00AE1A91"/>
    <w:rsid w:val="00AE1B5F"/>
    <w:rsid w:val="00AE1BD6"/>
    <w:rsid w:val="00AE229D"/>
    <w:rsid w:val="00AE2B18"/>
    <w:rsid w:val="00AE4634"/>
    <w:rsid w:val="00AE48E0"/>
    <w:rsid w:val="00AE50BB"/>
    <w:rsid w:val="00AE5B42"/>
    <w:rsid w:val="00AE5E35"/>
    <w:rsid w:val="00AE5F8E"/>
    <w:rsid w:val="00AE621B"/>
    <w:rsid w:val="00AE69F1"/>
    <w:rsid w:val="00AE6B42"/>
    <w:rsid w:val="00AE7BB9"/>
    <w:rsid w:val="00AF0161"/>
    <w:rsid w:val="00AF01D6"/>
    <w:rsid w:val="00AF18CF"/>
    <w:rsid w:val="00AF1AA9"/>
    <w:rsid w:val="00AF1C6D"/>
    <w:rsid w:val="00AF210A"/>
    <w:rsid w:val="00AF41E3"/>
    <w:rsid w:val="00AF43D8"/>
    <w:rsid w:val="00AF448C"/>
    <w:rsid w:val="00AF46C4"/>
    <w:rsid w:val="00AF57ED"/>
    <w:rsid w:val="00AF59F2"/>
    <w:rsid w:val="00AF6CA7"/>
    <w:rsid w:val="00AF76B7"/>
    <w:rsid w:val="00AF7DD9"/>
    <w:rsid w:val="00AF7E55"/>
    <w:rsid w:val="00B002BA"/>
    <w:rsid w:val="00B0042C"/>
    <w:rsid w:val="00B00957"/>
    <w:rsid w:val="00B01517"/>
    <w:rsid w:val="00B01C0B"/>
    <w:rsid w:val="00B01CFC"/>
    <w:rsid w:val="00B023A2"/>
    <w:rsid w:val="00B023A9"/>
    <w:rsid w:val="00B0258C"/>
    <w:rsid w:val="00B0301A"/>
    <w:rsid w:val="00B0431A"/>
    <w:rsid w:val="00B04920"/>
    <w:rsid w:val="00B052B9"/>
    <w:rsid w:val="00B055D8"/>
    <w:rsid w:val="00B059C8"/>
    <w:rsid w:val="00B06457"/>
    <w:rsid w:val="00B06591"/>
    <w:rsid w:val="00B068F8"/>
    <w:rsid w:val="00B06AE8"/>
    <w:rsid w:val="00B06EED"/>
    <w:rsid w:val="00B07E11"/>
    <w:rsid w:val="00B07F5E"/>
    <w:rsid w:val="00B10560"/>
    <w:rsid w:val="00B109F5"/>
    <w:rsid w:val="00B10BA2"/>
    <w:rsid w:val="00B10BBC"/>
    <w:rsid w:val="00B112E6"/>
    <w:rsid w:val="00B1143D"/>
    <w:rsid w:val="00B11E05"/>
    <w:rsid w:val="00B11F57"/>
    <w:rsid w:val="00B130E7"/>
    <w:rsid w:val="00B131A7"/>
    <w:rsid w:val="00B13337"/>
    <w:rsid w:val="00B13446"/>
    <w:rsid w:val="00B1359A"/>
    <w:rsid w:val="00B13627"/>
    <w:rsid w:val="00B136D1"/>
    <w:rsid w:val="00B13763"/>
    <w:rsid w:val="00B13DDC"/>
    <w:rsid w:val="00B16CEB"/>
    <w:rsid w:val="00B178A3"/>
    <w:rsid w:val="00B17BBE"/>
    <w:rsid w:val="00B20603"/>
    <w:rsid w:val="00B20DF0"/>
    <w:rsid w:val="00B20EEA"/>
    <w:rsid w:val="00B22382"/>
    <w:rsid w:val="00B22770"/>
    <w:rsid w:val="00B227C7"/>
    <w:rsid w:val="00B23C50"/>
    <w:rsid w:val="00B23FC3"/>
    <w:rsid w:val="00B24194"/>
    <w:rsid w:val="00B24F5D"/>
    <w:rsid w:val="00B257AA"/>
    <w:rsid w:val="00B25B8D"/>
    <w:rsid w:val="00B26DD8"/>
    <w:rsid w:val="00B27624"/>
    <w:rsid w:val="00B27DB2"/>
    <w:rsid w:val="00B301E3"/>
    <w:rsid w:val="00B30856"/>
    <w:rsid w:val="00B316CE"/>
    <w:rsid w:val="00B317FA"/>
    <w:rsid w:val="00B34080"/>
    <w:rsid w:val="00B353D5"/>
    <w:rsid w:val="00B3557F"/>
    <w:rsid w:val="00B35DFF"/>
    <w:rsid w:val="00B361A0"/>
    <w:rsid w:val="00B365FE"/>
    <w:rsid w:val="00B36EEA"/>
    <w:rsid w:val="00B377CD"/>
    <w:rsid w:val="00B3797B"/>
    <w:rsid w:val="00B37C1D"/>
    <w:rsid w:val="00B40559"/>
    <w:rsid w:val="00B40DB9"/>
    <w:rsid w:val="00B41365"/>
    <w:rsid w:val="00B41B4E"/>
    <w:rsid w:val="00B41DBB"/>
    <w:rsid w:val="00B4304A"/>
    <w:rsid w:val="00B4314E"/>
    <w:rsid w:val="00B432D4"/>
    <w:rsid w:val="00B437BB"/>
    <w:rsid w:val="00B43CA7"/>
    <w:rsid w:val="00B4405B"/>
    <w:rsid w:val="00B4410B"/>
    <w:rsid w:val="00B44774"/>
    <w:rsid w:val="00B44A12"/>
    <w:rsid w:val="00B44BC3"/>
    <w:rsid w:val="00B44C31"/>
    <w:rsid w:val="00B450ED"/>
    <w:rsid w:val="00B4592C"/>
    <w:rsid w:val="00B460CD"/>
    <w:rsid w:val="00B46300"/>
    <w:rsid w:val="00B465AE"/>
    <w:rsid w:val="00B46684"/>
    <w:rsid w:val="00B4675A"/>
    <w:rsid w:val="00B46B4C"/>
    <w:rsid w:val="00B47525"/>
    <w:rsid w:val="00B4796D"/>
    <w:rsid w:val="00B47B68"/>
    <w:rsid w:val="00B47E1A"/>
    <w:rsid w:val="00B505CB"/>
    <w:rsid w:val="00B505F5"/>
    <w:rsid w:val="00B50A1B"/>
    <w:rsid w:val="00B51067"/>
    <w:rsid w:val="00B515E6"/>
    <w:rsid w:val="00B519BC"/>
    <w:rsid w:val="00B5221E"/>
    <w:rsid w:val="00B5235A"/>
    <w:rsid w:val="00B524E0"/>
    <w:rsid w:val="00B5296F"/>
    <w:rsid w:val="00B53EA4"/>
    <w:rsid w:val="00B541C9"/>
    <w:rsid w:val="00B5456A"/>
    <w:rsid w:val="00B54D33"/>
    <w:rsid w:val="00B54F30"/>
    <w:rsid w:val="00B557BA"/>
    <w:rsid w:val="00B5606D"/>
    <w:rsid w:val="00B56872"/>
    <w:rsid w:val="00B573EA"/>
    <w:rsid w:val="00B573FB"/>
    <w:rsid w:val="00B57C9E"/>
    <w:rsid w:val="00B60166"/>
    <w:rsid w:val="00B609CB"/>
    <w:rsid w:val="00B60A4E"/>
    <w:rsid w:val="00B615A0"/>
    <w:rsid w:val="00B61756"/>
    <w:rsid w:val="00B617BF"/>
    <w:rsid w:val="00B61DA0"/>
    <w:rsid w:val="00B627C0"/>
    <w:rsid w:val="00B6293A"/>
    <w:rsid w:val="00B62B0C"/>
    <w:rsid w:val="00B62D15"/>
    <w:rsid w:val="00B62D81"/>
    <w:rsid w:val="00B64D76"/>
    <w:rsid w:val="00B65903"/>
    <w:rsid w:val="00B6615C"/>
    <w:rsid w:val="00B666F6"/>
    <w:rsid w:val="00B667CC"/>
    <w:rsid w:val="00B66B56"/>
    <w:rsid w:val="00B67480"/>
    <w:rsid w:val="00B67594"/>
    <w:rsid w:val="00B679BA"/>
    <w:rsid w:val="00B67B18"/>
    <w:rsid w:val="00B70277"/>
    <w:rsid w:val="00B70B0F"/>
    <w:rsid w:val="00B71A28"/>
    <w:rsid w:val="00B71E5B"/>
    <w:rsid w:val="00B71F45"/>
    <w:rsid w:val="00B73499"/>
    <w:rsid w:val="00B73A82"/>
    <w:rsid w:val="00B73ABE"/>
    <w:rsid w:val="00B74294"/>
    <w:rsid w:val="00B746C4"/>
    <w:rsid w:val="00B7511D"/>
    <w:rsid w:val="00B763A4"/>
    <w:rsid w:val="00B76763"/>
    <w:rsid w:val="00B768C6"/>
    <w:rsid w:val="00B77379"/>
    <w:rsid w:val="00B778FF"/>
    <w:rsid w:val="00B801B4"/>
    <w:rsid w:val="00B8041C"/>
    <w:rsid w:val="00B8042C"/>
    <w:rsid w:val="00B80E5C"/>
    <w:rsid w:val="00B829C7"/>
    <w:rsid w:val="00B83839"/>
    <w:rsid w:val="00B8399E"/>
    <w:rsid w:val="00B847E4"/>
    <w:rsid w:val="00B84F4E"/>
    <w:rsid w:val="00B85B95"/>
    <w:rsid w:val="00B8617C"/>
    <w:rsid w:val="00B86327"/>
    <w:rsid w:val="00B866C6"/>
    <w:rsid w:val="00B86D29"/>
    <w:rsid w:val="00B8714F"/>
    <w:rsid w:val="00B87841"/>
    <w:rsid w:val="00B87C29"/>
    <w:rsid w:val="00B918A5"/>
    <w:rsid w:val="00B91D85"/>
    <w:rsid w:val="00B92216"/>
    <w:rsid w:val="00B92D39"/>
    <w:rsid w:val="00B93997"/>
    <w:rsid w:val="00B93CA3"/>
    <w:rsid w:val="00B949FF"/>
    <w:rsid w:val="00B94C7A"/>
    <w:rsid w:val="00B95E34"/>
    <w:rsid w:val="00B96027"/>
    <w:rsid w:val="00B96374"/>
    <w:rsid w:val="00B963A8"/>
    <w:rsid w:val="00B9672E"/>
    <w:rsid w:val="00B96B3C"/>
    <w:rsid w:val="00B97FB0"/>
    <w:rsid w:val="00BA013C"/>
    <w:rsid w:val="00BA02FC"/>
    <w:rsid w:val="00BA0724"/>
    <w:rsid w:val="00BA0F36"/>
    <w:rsid w:val="00BA1672"/>
    <w:rsid w:val="00BA1BEF"/>
    <w:rsid w:val="00BA1D05"/>
    <w:rsid w:val="00BA2790"/>
    <w:rsid w:val="00BA2CB6"/>
    <w:rsid w:val="00BA2E70"/>
    <w:rsid w:val="00BA32B6"/>
    <w:rsid w:val="00BA38E1"/>
    <w:rsid w:val="00BA4164"/>
    <w:rsid w:val="00BA43FC"/>
    <w:rsid w:val="00BA45A4"/>
    <w:rsid w:val="00BA4DD3"/>
    <w:rsid w:val="00BA4FB8"/>
    <w:rsid w:val="00BA5534"/>
    <w:rsid w:val="00BA58A6"/>
    <w:rsid w:val="00BA5DA9"/>
    <w:rsid w:val="00BA6412"/>
    <w:rsid w:val="00BA6B20"/>
    <w:rsid w:val="00BA6CDA"/>
    <w:rsid w:val="00BA7471"/>
    <w:rsid w:val="00BA7C84"/>
    <w:rsid w:val="00BA7EAF"/>
    <w:rsid w:val="00BA7EB6"/>
    <w:rsid w:val="00BA7FD2"/>
    <w:rsid w:val="00BB0229"/>
    <w:rsid w:val="00BB0336"/>
    <w:rsid w:val="00BB0B50"/>
    <w:rsid w:val="00BB0F9D"/>
    <w:rsid w:val="00BB1176"/>
    <w:rsid w:val="00BB147A"/>
    <w:rsid w:val="00BB15F8"/>
    <w:rsid w:val="00BB1D07"/>
    <w:rsid w:val="00BB1E53"/>
    <w:rsid w:val="00BB22CF"/>
    <w:rsid w:val="00BB24F3"/>
    <w:rsid w:val="00BB2E27"/>
    <w:rsid w:val="00BB32BF"/>
    <w:rsid w:val="00BB3318"/>
    <w:rsid w:val="00BB37B1"/>
    <w:rsid w:val="00BB3CEC"/>
    <w:rsid w:val="00BB45DC"/>
    <w:rsid w:val="00BB50AE"/>
    <w:rsid w:val="00BB714E"/>
    <w:rsid w:val="00BB788F"/>
    <w:rsid w:val="00BB7C99"/>
    <w:rsid w:val="00BC071B"/>
    <w:rsid w:val="00BC0826"/>
    <w:rsid w:val="00BC0F12"/>
    <w:rsid w:val="00BC0FD0"/>
    <w:rsid w:val="00BC0FED"/>
    <w:rsid w:val="00BC106F"/>
    <w:rsid w:val="00BC11FB"/>
    <w:rsid w:val="00BC1495"/>
    <w:rsid w:val="00BC1884"/>
    <w:rsid w:val="00BC1FA8"/>
    <w:rsid w:val="00BC24FC"/>
    <w:rsid w:val="00BC3A77"/>
    <w:rsid w:val="00BC3BC8"/>
    <w:rsid w:val="00BC3D66"/>
    <w:rsid w:val="00BC4CBE"/>
    <w:rsid w:val="00BC5166"/>
    <w:rsid w:val="00BC51B7"/>
    <w:rsid w:val="00BC5928"/>
    <w:rsid w:val="00BC5F6D"/>
    <w:rsid w:val="00BC63AD"/>
    <w:rsid w:val="00BC6736"/>
    <w:rsid w:val="00BC7298"/>
    <w:rsid w:val="00BC72EF"/>
    <w:rsid w:val="00BC78A9"/>
    <w:rsid w:val="00BC7BDC"/>
    <w:rsid w:val="00BD0875"/>
    <w:rsid w:val="00BD0B2E"/>
    <w:rsid w:val="00BD10F9"/>
    <w:rsid w:val="00BD17B6"/>
    <w:rsid w:val="00BD1A0C"/>
    <w:rsid w:val="00BD1E00"/>
    <w:rsid w:val="00BD2185"/>
    <w:rsid w:val="00BD2A54"/>
    <w:rsid w:val="00BD2B50"/>
    <w:rsid w:val="00BD3364"/>
    <w:rsid w:val="00BD3F86"/>
    <w:rsid w:val="00BD4386"/>
    <w:rsid w:val="00BD43F9"/>
    <w:rsid w:val="00BD4BDA"/>
    <w:rsid w:val="00BD4D81"/>
    <w:rsid w:val="00BD4E04"/>
    <w:rsid w:val="00BD54EC"/>
    <w:rsid w:val="00BD5808"/>
    <w:rsid w:val="00BD7097"/>
    <w:rsid w:val="00BD716F"/>
    <w:rsid w:val="00BD736B"/>
    <w:rsid w:val="00BD7B19"/>
    <w:rsid w:val="00BD7F2B"/>
    <w:rsid w:val="00BE0235"/>
    <w:rsid w:val="00BE06E0"/>
    <w:rsid w:val="00BE1484"/>
    <w:rsid w:val="00BE173F"/>
    <w:rsid w:val="00BE1D59"/>
    <w:rsid w:val="00BE1E5A"/>
    <w:rsid w:val="00BE2102"/>
    <w:rsid w:val="00BE2B04"/>
    <w:rsid w:val="00BE31D9"/>
    <w:rsid w:val="00BE405F"/>
    <w:rsid w:val="00BE40CB"/>
    <w:rsid w:val="00BE4603"/>
    <w:rsid w:val="00BE47D2"/>
    <w:rsid w:val="00BE5676"/>
    <w:rsid w:val="00BE7723"/>
    <w:rsid w:val="00BE7A55"/>
    <w:rsid w:val="00BE7D2A"/>
    <w:rsid w:val="00BF0190"/>
    <w:rsid w:val="00BF0DB9"/>
    <w:rsid w:val="00BF0F03"/>
    <w:rsid w:val="00BF105C"/>
    <w:rsid w:val="00BF15F9"/>
    <w:rsid w:val="00BF15FD"/>
    <w:rsid w:val="00BF1606"/>
    <w:rsid w:val="00BF1D27"/>
    <w:rsid w:val="00BF2580"/>
    <w:rsid w:val="00BF2612"/>
    <w:rsid w:val="00BF31E1"/>
    <w:rsid w:val="00BF4C0F"/>
    <w:rsid w:val="00BF57D2"/>
    <w:rsid w:val="00BF7236"/>
    <w:rsid w:val="00BF724F"/>
    <w:rsid w:val="00BF7BB8"/>
    <w:rsid w:val="00C00021"/>
    <w:rsid w:val="00C015FC"/>
    <w:rsid w:val="00C01D62"/>
    <w:rsid w:val="00C02469"/>
    <w:rsid w:val="00C03B68"/>
    <w:rsid w:val="00C044CF"/>
    <w:rsid w:val="00C04517"/>
    <w:rsid w:val="00C047EA"/>
    <w:rsid w:val="00C04D64"/>
    <w:rsid w:val="00C05480"/>
    <w:rsid w:val="00C058C5"/>
    <w:rsid w:val="00C05960"/>
    <w:rsid w:val="00C06167"/>
    <w:rsid w:val="00C063F8"/>
    <w:rsid w:val="00C06BDF"/>
    <w:rsid w:val="00C07022"/>
    <w:rsid w:val="00C07D5E"/>
    <w:rsid w:val="00C100C4"/>
    <w:rsid w:val="00C112F6"/>
    <w:rsid w:val="00C12025"/>
    <w:rsid w:val="00C127CA"/>
    <w:rsid w:val="00C12F01"/>
    <w:rsid w:val="00C13077"/>
    <w:rsid w:val="00C131CA"/>
    <w:rsid w:val="00C132F9"/>
    <w:rsid w:val="00C13E76"/>
    <w:rsid w:val="00C145F7"/>
    <w:rsid w:val="00C147AD"/>
    <w:rsid w:val="00C14997"/>
    <w:rsid w:val="00C14BDA"/>
    <w:rsid w:val="00C14CBA"/>
    <w:rsid w:val="00C14EFF"/>
    <w:rsid w:val="00C15503"/>
    <w:rsid w:val="00C15804"/>
    <w:rsid w:val="00C15BE2"/>
    <w:rsid w:val="00C16027"/>
    <w:rsid w:val="00C1629D"/>
    <w:rsid w:val="00C16A21"/>
    <w:rsid w:val="00C21606"/>
    <w:rsid w:val="00C21B9C"/>
    <w:rsid w:val="00C21C2F"/>
    <w:rsid w:val="00C21FCC"/>
    <w:rsid w:val="00C2256B"/>
    <w:rsid w:val="00C2260B"/>
    <w:rsid w:val="00C22CE9"/>
    <w:rsid w:val="00C23006"/>
    <w:rsid w:val="00C23471"/>
    <w:rsid w:val="00C23C53"/>
    <w:rsid w:val="00C2426F"/>
    <w:rsid w:val="00C2427A"/>
    <w:rsid w:val="00C2499B"/>
    <w:rsid w:val="00C26278"/>
    <w:rsid w:val="00C26C96"/>
    <w:rsid w:val="00C27076"/>
    <w:rsid w:val="00C27FBE"/>
    <w:rsid w:val="00C300CA"/>
    <w:rsid w:val="00C307EF"/>
    <w:rsid w:val="00C30840"/>
    <w:rsid w:val="00C311F1"/>
    <w:rsid w:val="00C3128F"/>
    <w:rsid w:val="00C313C3"/>
    <w:rsid w:val="00C317DF"/>
    <w:rsid w:val="00C31DBF"/>
    <w:rsid w:val="00C31E32"/>
    <w:rsid w:val="00C32320"/>
    <w:rsid w:val="00C3290B"/>
    <w:rsid w:val="00C33105"/>
    <w:rsid w:val="00C34263"/>
    <w:rsid w:val="00C35172"/>
    <w:rsid w:val="00C35AFC"/>
    <w:rsid w:val="00C3617B"/>
    <w:rsid w:val="00C36220"/>
    <w:rsid w:val="00C36253"/>
    <w:rsid w:val="00C363F0"/>
    <w:rsid w:val="00C364BD"/>
    <w:rsid w:val="00C369FC"/>
    <w:rsid w:val="00C36C1D"/>
    <w:rsid w:val="00C37C78"/>
    <w:rsid w:val="00C37CFF"/>
    <w:rsid w:val="00C402AA"/>
    <w:rsid w:val="00C40815"/>
    <w:rsid w:val="00C40E67"/>
    <w:rsid w:val="00C415C2"/>
    <w:rsid w:val="00C415E1"/>
    <w:rsid w:val="00C415F4"/>
    <w:rsid w:val="00C418BA"/>
    <w:rsid w:val="00C41DCC"/>
    <w:rsid w:val="00C41DF9"/>
    <w:rsid w:val="00C4206C"/>
    <w:rsid w:val="00C42AAF"/>
    <w:rsid w:val="00C42B4C"/>
    <w:rsid w:val="00C4354E"/>
    <w:rsid w:val="00C44008"/>
    <w:rsid w:val="00C44756"/>
    <w:rsid w:val="00C45BB9"/>
    <w:rsid w:val="00C46488"/>
    <w:rsid w:val="00C467B6"/>
    <w:rsid w:val="00C46835"/>
    <w:rsid w:val="00C4693D"/>
    <w:rsid w:val="00C46954"/>
    <w:rsid w:val="00C47E64"/>
    <w:rsid w:val="00C51030"/>
    <w:rsid w:val="00C51890"/>
    <w:rsid w:val="00C51B0F"/>
    <w:rsid w:val="00C528CA"/>
    <w:rsid w:val="00C52E7C"/>
    <w:rsid w:val="00C53450"/>
    <w:rsid w:val="00C53D5F"/>
    <w:rsid w:val="00C5431E"/>
    <w:rsid w:val="00C54D75"/>
    <w:rsid w:val="00C55201"/>
    <w:rsid w:val="00C552DD"/>
    <w:rsid w:val="00C55341"/>
    <w:rsid w:val="00C55D30"/>
    <w:rsid w:val="00C56CC5"/>
    <w:rsid w:val="00C5741F"/>
    <w:rsid w:val="00C60770"/>
    <w:rsid w:val="00C60AF5"/>
    <w:rsid w:val="00C6179D"/>
    <w:rsid w:val="00C61815"/>
    <w:rsid w:val="00C61D6A"/>
    <w:rsid w:val="00C62003"/>
    <w:rsid w:val="00C623D8"/>
    <w:rsid w:val="00C626D8"/>
    <w:rsid w:val="00C627E4"/>
    <w:rsid w:val="00C6283D"/>
    <w:rsid w:val="00C6296D"/>
    <w:rsid w:val="00C62A90"/>
    <w:rsid w:val="00C631FD"/>
    <w:rsid w:val="00C63FD8"/>
    <w:rsid w:val="00C64072"/>
    <w:rsid w:val="00C65153"/>
    <w:rsid w:val="00C6542E"/>
    <w:rsid w:val="00C6588E"/>
    <w:rsid w:val="00C66CA3"/>
    <w:rsid w:val="00C6725A"/>
    <w:rsid w:val="00C6761E"/>
    <w:rsid w:val="00C67F59"/>
    <w:rsid w:val="00C70012"/>
    <w:rsid w:val="00C70529"/>
    <w:rsid w:val="00C71DAB"/>
    <w:rsid w:val="00C72648"/>
    <w:rsid w:val="00C72845"/>
    <w:rsid w:val="00C72B56"/>
    <w:rsid w:val="00C747B4"/>
    <w:rsid w:val="00C747F1"/>
    <w:rsid w:val="00C74D38"/>
    <w:rsid w:val="00C74E6E"/>
    <w:rsid w:val="00C76107"/>
    <w:rsid w:val="00C761A7"/>
    <w:rsid w:val="00C762AE"/>
    <w:rsid w:val="00C764A3"/>
    <w:rsid w:val="00C76C68"/>
    <w:rsid w:val="00C771E4"/>
    <w:rsid w:val="00C7744F"/>
    <w:rsid w:val="00C77C45"/>
    <w:rsid w:val="00C77D9E"/>
    <w:rsid w:val="00C77FCE"/>
    <w:rsid w:val="00C80ACC"/>
    <w:rsid w:val="00C80D44"/>
    <w:rsid w:val="00C8135A"/>
    <w:rsid w:val="00C816E0"/>
    <w:rsid w:val="00C816FA"/>
    <w:rsid w:val="00C81D39"/>
    <w:rsid w:val="00C81F61"/>
    <w:rsid w:val="00C8200B"/>
    <w:rsid w:val="00C834DC"/>
    <w:rsid w:val="00C8506C"/>
    <w:rsid w:val="00C858F4"/>
    <w:rsid w:val="00C85A96"/>
    <w:rsid w:val="00C86243"/>
    <w:rsid w:val="00C87B76"/>
    <w:rsid w:val="00C908AA"/>
    <w:rsid w:val="00C91288"/>
    <w:rsid w:val="00C9143A"/>
    <w:rsid w:val="00C91B15"/>
    <w:rsid w:val="00C920B6"/>
    <w:rsid w:val="00C9228C"/>
    <w:rsid w:val="00C927FE"/>
    <w:rsid w:val="00C932EA"/>
    <w:rsid w:val="00C93619"/>
    <w:rsid w:val="00C936E7"/>
    <w:rsid w:val="00C936EE"/>
    <w:rsid w:val="00C93791"/>
    <w:rsid w:val="00C93E31"/>
    <w:rsid w:val="00C93FE3"/>
    <w:rsid w:val="00C94074"/>
    <w:rsid w:val="00C9447C"/>
    <w:rsid w:val="00C9473F"/>
    <w:rsid w:val="00C94869"/>
    <w:rsid w:val="00C94B84"/>
    <w:rsid w:val="00C94EBA"/>
    <w:rsid w:val="00C95BD6"/>
    <w:rsid w:val="00C95DF5"/>
    <w:rsid w:val="00C95F40"/>
    <w:rsid w:val="00C97162"/>
    <w:rsid w:val="00C97429"/>
    <w:rsid w:val="00C9759E"/>
    <w:rsid w:val="00C9776A"/>
    <w:rsid w:val="00C97D88"/>
    <w:rsid w:val="00CA0304"/>
    <w:rsid w:val="00CA0550"/>
    <w:rsid w:val="00CA09DD"/>
    <w:rsid w:val="00CA1358"/>
    <w:rsid w:val="00CA147D"/>
    <w:rsid w:val="00CA1664"/>
    <w:rsid w:val="00CA1B79"/>
    <w:rsid w:val="00CA1C9D"/>
    <w:rsid w:val="00CA2387"/>
    <w:rsid w:val="00CA2E86"/>
    <w:rsid w:val="00CA3627"/>
    <w:rsid w:val="00CA3B96"/>
    <w:rsid w:val="00CA3E0E"/>
    <w:rsid w:val="00CA41E3"/>
    <w:rsid w:val="00CA4A4C"/>
    <w:rsid w:val="00CA4F51"/>
    <w:rsid w:val="00CA59C9"/>
    <w:rsid w:val="00CA660B"/>
    <w:rsid w:val="00CA6641"/>
    <w:rsid w:val="00CA6A6C"/>
    <w:rsid w:val="00CA7249"/>
    <w:rsid w:val="00CA785C"/>
    <w:rsid w:val="00CB036B"/>
    <w:rsid w:val="00CB1D45"/>
    <w:rsid w:val="00CB24DD"/>
    <w:rsid w:val="00CB27B7"/>
    <w:rsid w:val="00CB37A1"/>
    <w:rsid w:val="00CB3ED0"/>
    <w:rsid w:val="00CB4A18"/>
    <w:rsid w:val="00CB4C6C"/>
    <w:rsid w:val="00CB5580"/>
    <w:rsid w:val="00CB57DD"/>
    <w:rsid w:val="00CB5F36"/>
    <w:rsid w:val="00CB6BDD"/>
    <w:rsid w:val="00CB7736"/>
    <w:rsid w:val="00CC00DA"/>
    <w:rsid w:val="00CC0100"/>
    <w:rsid w:val="00CC076D"/>
    <w:rsid w:val="00CC07F1"/>
    <w:rsid w:val="00CC0DB8"/>
    <w:rsid w:val="00CC17FF"/>
    <w:rsid w:val="00CC1B38"/>
    <w:rsid w:val="00CC1B8A"/>
    <w:rsid w:val="00CC1DA9"/>
    <w:rsid w:val="00CC2111"/>
    <w:rsid w:val="00CC211A"/>
    <w:rsid w:val="00CC431F"/>
    <w:rsid w:val="00CC44A2"/>
    <w:rsid w:val="00CC4B8C"/>
    <w:rsid w:val="00CC516F"/>
    <w:rsid w:val="00CC552C"/>
    <w:rsid w:val="00CC5735"/>
    <w:rsid w:val="00CC693A"/>
    <w:rsid w:val="00CC6A5F"/>
    <w:rsid w:val="00CC6CBA"/>
    <w:rsid w:val="00CC6DE1"/>
    <w:rsid w:val="00CC7FDF"/>
    <w:rsid w:val="00CD0901"/>
    <w:rsid w:val="00CD19D8"/>
    <w:rsid w:val="00CD218F"/>
    <w:rsid w:val="00CD2AD8"/>
    <w:rsid w:val="00CD301A"/>
    <w:rsid w:val="00CD3E78"/>
    <w:rsid w:val="00CD3F28"/>
    <w:rsid w:val="00CD4D0C"/>
    <w:rsid w:val="00CD5195"/>
    <w:rsid w:val="00CD5404"/>
    <w:rsid w:val="00CD5591"/>
    <w:rsid w:val="00CD5739"/>
    <w:rsid w:val="00CD5904"/>
    <w:rsid w:val="00CD5C7A"/>
    <w:rsid w:val="00CD5C8A"/>
    <w:rsid w:val="00CD5E3E"/>
    <w:rsid w:val="00CD6ACA"/>
    <w:rsid w:val="00CD6D7C"/>
    <w:rsid w:val="00CD753C"/>
    <w:rsid w:val="00CD7BCE"/>
    <w:rsid w:val="00CD7E06"/>
    <w:rsid w:val="00CD7EDD"/>
    <w:rsid w:val="00CE01DA"/>
    <w:rsid w:val="00CE0DBB"/>
    <w:rsid w:val="00CE0F3E"/>
    <w:rsid w:val="00CE2C8C"/>
    <w:rsid w:val="00CE30D3"/>
    <w:rsid w:val="00CE423B"/>
    <w:rsid w:val="00CE619A"/>
    <w:rsid w:val="00CE627F"/>
    <w:rsid w:val="00CE6C4A"/>
    <w:rsid w:val="00CE710E"/>
    <w:rsid w:val="00CF0AF2"/>
    <w:rsid w:val="00CF106F"/>
    <w:rsid w:val="00CF1329"/>
    <w:rsid w:val="00CF17D7"/>
    <w:rsid w:val="00CF1AA1"/>
    <w:rsid w:val="00CF1B59"/>
    <w:rsid w:val="00CF2450"/>
    <w:rsid w:val="00CF26F7"/>
    <w:rsid w:val="00CF3A93"/>
    <w:rsid w:val="00CF3B7D"/>
    <w:rsid w:val="00CF43AC"/>
    <w:rsid w:val="00CF6E7B"/>
    <w:rsid w:val="00CF7118"/>
    <w:rsid w:val="00CF7314"/>
    <w:rsid w:val="00CF750B"/>
    <w:rsid w:val="00CF7BD9"/>
    <w:rsid w:val="00CF7E93"/>
    <w:rsid w:val="00CF7F6E"/>
    <w:rsid w:val="00D011A4"/>
    <w:rsid w:val="00D0134C"/>
    <w:rsid w:val="00D0180C"/>
    <w:rsid w:val="00D02587"/>
    <w:rsid w:val="00D025FA"/>
    <w:rsid w:val="00D026E1"/>
    <w:rsid w:val="00D02A68"/>
    <w:rsid w:val="00D02D9D"/>
    <w:rsid w:val="00D033B1"/>
    <w:rsid w:val="00D03FC7"/>
    <w:rsid w:val="00D04010"/>
    <w:rsid w:val="00D052C1"/>
    <w:rsid w:val="00D0594F"/>
    <w:rsid w:val="00D05E14"/>
    <w:rsid w:val="00D068D5"/>
    <w:rsid w:val="00D07248"/>
    <w:rsid w:val="00D1026A"/>
    <w:rsid w:val="00D1035E"/>
    <w:rsid w:val="00D10595"/>
    <w:rsid w:val="00D10632"/>
    <w:rsid w:val="00D106A2"/>
    <w:rsid w:val="00D11372"/>
    <w:rsid w:val="00D113BE"/>
    <w:rsid w:val="00D12123"/>
    <w:rsid w:val="00D12751"/>
    <w:rsid w:val="00D1493C"/>
    <w:rsid w:val="00D14BBA"/>
    <w:rsid w:val="00D150B3"/>
    <w:rsid w:val="00D15455"/>
    <w:rsid w:val="00D15579"/>
    <w:rsid w:val="00D15664"/>
    <w:rsid w:val="00D156C2"/>
    <w:rsid w:val="00D1652D"/>
    <w:rsid w:val="00D16BC5"/>
    <w:rsid w:val="00D16DA0"/>
    <w:rsid w:val="00D17FDD"/>
    <w:rsid w:val="00D20402"/>
    <w:rsid w:val="00D20F16"/>
    <w:rsid w:val="00D211E1"/>
    <w:rsid w:val="00D2199E"/>
    <w:rsid w:val="00D21BC2"/>
    <w:rsid w:val="00D2206C"/>
    <w:rsid w:val="00D221CF"/>
    <w:rsid w:val="00D22EE1"/>
    <w:rsid w:val="00D230B3"/>
    <w:rsid w:val="00D24022"/>
    <w:rsid w:val="00D2484E"/>
    <w:rsid w:val="00D25796"/>
    <w:rsid w:val="00D2594C"/>
    <w:rsid w:val="00D2606E"/>
    <w:rsid w:val="00D26E15"/>
    <w:rsid w:val="00D26E80"/>
    <w:rsid w:val="00D27035"/>
    <w:rsid w:val="00D274A0"/>
    <w:rsid w:val="00D27557"/>
    <w:rsid w:val="00D27D2D"/>
    <w:rsid w:val="00D319B5"/>
    <w:rsid w:val="00D31C09"/>
    <w:rsid w:val="00D31FB2"/>
    <w:rsid w:val="00D32B30"/>
    <w:rsid w:val="00D32FEB"/>
    <w:rsid w:val="00D3302F"/>
    <w:rsid w:val="00D330B3"/>
    <w:rsid w:val="00D33265"/>
    <w:rsid w:val="00D335DF"/>
    <w:rsid w:val="00D33AE0"/>
    <w:rsid w:val="00D33C61"/>
    <w:rsid w:val="00D35618"/>
    <w:rsid w:val="00D35A6E"/>
    <w:rsid w:val="00D35C00"/>
    <w:rsid w:val="00D36F88"/>
    <w:rsid w:val="00D370AB"/>
    <w:rsid w:val="00D379AB"/>
    <w:rsid w:val="00D37C6A"/>
    <w:rsid w:val="00D40716"/>
    <w:rsid w:val="00D40851"/>
    <w:rsid w:val="00D411F7"/>
    <w:rsid w:val="00D41D11"/>
    <w:rsid w:val="00D41DB5"/>
    <w:rsid w:val="00D428AB"/>
    <w:rsid w:val="00D437CD"/>
    <w:rsid w:val="00D44601"/>
    <w:rsid w:val="00D447E6"/>
    <w:rsid w:val="00D44809"/>
    <w:rsid w:val="00D45186"/>
    <w:rsid w:val="00D45C16"/>
    <w:rsid w:val="00D45F64"/>
    <w:rsid w:val="00D466B0"/>
    <w:rsid w:val="00D46972"/>
    <w:rsid w:val="00D469A3"/>
    <w:rsid w:val="00D505C7"/>
    <w:rsid w:val="00D5105F"/>
    <w:rsid w:val="00D51E97"/>
    <w:rsid w:val="00D51FF3"/>
    <w:rsid w:val="00D52417"/>
    <w:rsid w:val="00D52971"/>
    <w:rsid w:val="00D52B94"/>
    <w:rsid w:val="00D5498D"/>
    <w:rsid w:val="00D54F5A"/>
    <w:rsid w:val="00D54FED"/>
    <w:rsid w:val="00D54FF6"/>
    <w:rsid w:val="00D550AE"/>
    <w:rsid w:val="00D556E6"/>
    <w:rsid w:val="00D55A32"/>
    <w:rsid w:val="00D57C84"/>
    <w:rsid w:val="00D57DAC"/>
    <w:rsid w:val="00D6031D"/>
    <w:rsid w:val="00D60960"/>
    <w:rsid w:val="00D60D70"/>
    <w:rsid w:val="00D60F21"/>
    <w:rsid w:val="00D60F7D"/>
    <w:rsid w:val="00D629F3"/>
    <w:rsid w:val="00D62DC3"/>
    <w:rsid w:val="00D6332E"/>
    <w:rsid w:val="00D63457"/>
    <w:rsid w:val="00D6373D"/>
    <w:rsid w:val="00D647C0"/>
    <w:rsid w:val="00D647C8"/>
    <w:rsid w:val="00D652EF"/>
    <w:rsid w:val="00D669CA"/>
    <w:rsid w:val="00D66B9B"/>
    <w:rsid w:val="00D670D3"/>
    <w:rsid w:val="00D672B3"/>
    <w:rsid w:val="00D67C68"/>
    <w:rsid w:val="00D67EFE"/>
    <w:rsid w:val="00D70D48"/>
    <w:rsid w:val="00D71886"/>
    <w:rsid w:val="00D71D35"/>
    <w:rsid w:val="00D71DDE"/>
    <w:rsid w:val="00D71E58"/>
    <w:rsid w:val="00D71F32"/>
    <w:rsid w:val="00D72F5E"/>
    <w:rsid w:val="00D73432"/>
    <w:rsid w:val="00D73E99"/>
    <w:rsid w:val="00D745E3"/>
    <w:rsid w:val="00D7502C"/>
    <w:rsid w:val="00D75748"/>
    <w:rsid w:val="00D759C4"/>
    <w:rsid w:val="00D75E0B"/>
    <w:rsid w:val="00D7651B"/>
    <w:rsid w:val="00D76629"/>
    <w:rsid w:val="00D772E9"/>
    <w:rsid w:val="00D778DD"/>
    <w:rsid w:val="00D77928"/>
    <w:rsid w:val="00D77A1F"/>
    <w:rsid w:val="00D77E32"/>
    <w:rsid w:val="00D8034F"/>
    <w:rsid w:val="00D80D69"/>
    <w:rsid w:val="00D80F1D"/>
    <w:rsid w:val="00D8121C"/>
    <w:rsid w:val="00D815E0"/>
    <w:rsid w:val="00D81834"/>
    <w:rsid w:val="00D8332E"/>
    <w:rsid w:val="00D8342C"/>
    <w:rsid w:val="00D83460"/>
    <w:rsid w:val="00D8511D"/>
    <w:rsid w:val="00D8565F"/>
    <w:rsid w:val="00D86210"/>
    <w:rsid w:val="00D878B1"/>
    <w:rsid w:val="00D878B5"/>
    <w:rsid w:val="00D87EBD"/>
    <w:rsid w:val="00D900EC"/>
    <w:rsid w:val="00D907E1"/>
    <w:rsid w:val="00D90C8F"/>
    <w:rsid w:val="00D90E8A"/>
    <w:rsid w:val="00D913D9"/>
    <w:rsid w:val="00D91474"/>
    <w:rsid w:val="00D914BB"/>
    <w:rsid w:val="00D91B54"/>
    <w:rsid w:val="00D91BF7"/>
    <w:rsid w:val="00D91C24"/>
    <w:rsid w:val="00D92150"/>
    <w:rsid w:val="00D924E0"/>
    <w:rsid w:val="00D925A6"/>
    <w:rsid w:val="00D92609"/>
    <w:rsid w:val="00D927EC"/>
    <w:rsid w:val="00D9296B"/>
    <w:rsid w:val="00D92A09"/>
    <w:rsid w:val="00D93F64"/>
    <w:rsid w:val="00D94889"/>
    <w:rsid w:val="00D949EA"/>
    <w:rsid w:val="00D94B5E"/>
    <w:rsid w:val="00D94E6F"/>
    <w:rsid w:val="00D94E7F"/>
    <w:rsid w:val="00D95016"/>
    <w:rsid w:val="00D95330"/>
    <w:rsid w:val="00D95371"/>
    <w:rsid w:val="00D953CB"/>
    <w:rsid w:val="00D9560A"/>
    <w:rsid w:val="00D95FB4"/>
    <w:rsid w:val="00D9625D"/>
    <w:rsid w:val="00D964A6"/>
    <w:rsid w:val="00D96655"/>
    <w:rsid w:val="00D966DE"/>
    <w:rsid w:val="00D96E75"/>
    <w:rsid w:val="00D9712C"/>
    <w:rsid w:val="00DA024A"/>
    <w:rsid w:val="00DA0FDF"/>
    <w:rsid w:val="00DA1B7D"/>
    <w:rsid w:val="00DA2385"/>
    <w:rsid w:val="00DA2B3E"/>
    <w:rsid w:val="00DA2BA2"/>
    <w:rsid w:val="00DA376F"/>
    <w:rsid w:val="00DA3BF4"/>
    <w:rsid w:val="00DA4534"/>
    <w:rsid w:val="00DA4C83"/>
    <w:rsid w:val="00DA523C"/>
    <w:rsid w:val="00DA5346"/>
    <w:rsid w:val="00DA5413"/>
    <w:rsid w:val="00DA571E"/>
    <w:rsid w:val="00DA5A73"/>
    <w:rsid w:val="00DA5C1B"/>
    <w:rsid w:val="00DA5E47"/>
    <w:rsid w:val="00DA6A1A"/>
    <w:rsid w:val="00DA6DF0"/>
    <w:rsid w:val="00DA6E75"/>
    <w:rsid w:val="00DA7FF2"/>
    <w:rsid w:val="00DB045F"/>
    <w:rsid w:val="00DB1071"/>
    <w:rsid w:val="00DB1287"/>
    <w:rsid w:val="00DB1581"/>
    <w:rsid w:val="00DB1FD6"/>
    <w:rsid w:val="00DB20F6"/>
    <w:rsid w:val="00DB2706"/>
    <w:rsid w:val="00DB2E5D"/>
    <w:rsid w:val="00DB2E82"/>
    <w:rsid w:val="00DB309A"/>
    <w:rsid w:val="00DB3422"/>
    <w:rsid w:val="00DB36DE"/>
    <w:rsid w:val="00DB4659"/>
    <w:rsid w:val="00DB5859"/>
    <w:rsid w:val="00DB6207"/>
    <w:rsid w:val="00DB6DAB"/>
    <w:rsid w:val="00DB6DDE"/>
    <w:rsid w:val="00DB70FE"/>
    <w:rsid w:val="00DB71E9"/>
    <w:rsid w:val="00DB7224"/>
    <w:rsid w:val="00DB79E6"/>
    <w:rsid w:val="00DC008D"/>
    <w:rsid w:val="00DC0172"/>
    <w:rsid w:val="00DC0569"/>
    <w:rsid w:val="00DC05AE"/>
    <w:rsid w:val="00DC0930"/>
    <w:rsid w:val="00DC0D84"/>
    <w:rsid w:val="00DC1652"/>
    <w:rsid w:val="00DC1B2C"/>
    <w:rsid w:val="00DC1F46"/>
    <w:rsid w:val="00DC2535"/>
    <w:rsid w:val="00DC318F"/>
    <w:rsid w:val="00DC32AA"/>
    <w:rsid w:val="00DC35A2"/>
    <w:rsid w:val="00DC37A1"/>
    <w:rsid w:val="00DC3C92"/>
    <w:rsid w:val="00DC3CDE"/>
    <w:rsid w:val="00DC4417"/>
    <w:rsid w:val="00DC46F7"/>
    <w:rsid w:val="00DC4CD0"/>
    <w:rsid w:val="00DC4E7D"/>
    <w:rsid w:val="00DC4EB1"/>
    <w:rsid w:val="00DC56FF"/>
    <w:rsid w:val="00DC635C"/>
    <w:rsid w:val="00DC6730"/>
    <w:rsid w:val="00DC6BB2"/>
    <w:rsid w:val="00DC71E4"/>
    <w:rsid w:val="00DC7E67"/>
    <w:rsid w:val="00DD05AE"/>
    <w:rsid w:val="00DD13D5"/>
    <w:rsid w:val="00DD1B4C"/>
    <w:rsid w:val="00DD1B5E"/>
    <w:rsid w:val="00DD246A"/>
    <w:rsid w:val="00DD2B3F"/>
    <w:rsid w:val="00DD2CEB"/>
    <w:rsid w:val="00DD35AA"/>
    <w:rsid w:val="00DD44BC"/>
    <w:rsid w:val="00DD4AA3"/>
    <w:rsid w:val="00DD54CF"/>
    <w:rsid w:val="00DD59C8"/>
    <w:rsid w:val="00DD5DB7"/>
    <w:rsid w:val="00DD5EC7"/>
    <w:rsid w:val="00DD61C3"/>
    <w:rsid w:val="00DD675A"/>
    <w:rsid w:val="00DD7B99"/>
    <w:rsid w:val="00DD7FDE"/>
    <w:rsid w:val="00DE09AA"/>
    <w:rsid w:val="00DE0A6F"/>
    <w:rsid w:val="00DE0CD5"/>
    <w:rsid w:val="00DE1670"/>
    <w:rsid w:val="00DE17BF"/>
    <w:rsid w:val="00DE1C98"/>
    <w:rsid w:val="00DE2631"/>
    <w:rsid w:val="00DE2E09"/>
    <w:rsid w:val="00DE2EEA"/>
    <w:rsid w:val="00DE3B4C"/>
    <w:rsid w:val="00DE3DF8"/>
    <w:rsid w:val="00DE4AA6"/>
    <w:rsid w:val="00DE630E"/>
    <w:rsid w:val="00DE6B22"/>
    <w:rsid w:val="00DE6C96"/>
    <w:rsid w:val="00DE708F"/>
    <w:rsid w:val="00DE76C1"/>
    <w:rsid w:val="00DF02EC"/>
    <w:rsid w:val="00DF0771"/>
    <w:rsid w:val="00DF08E3"/>
    <w:rsid w:val="00DF136D"/>
    <w:rsid w:val="00DF162E"/>
    <w:rsid w:val="00DF1A6B"/>
    <w:rsid w:val="00DF1F4B"/>
    <w:rsid w:val="00DF202F"/>
    <w:rsid w:val="00DF2404"/>
    <w:rsid w:val="00DF26DA"/>
    <w:rsid w:val="00DF273F"/>
    <w:rsid w:val="00DF28AE"/>
    <w:rsid w:val="00DF2E9C"/>
    <w:rsid w:val="00DF3259"/>
    <w:rsid w:val="00DF49E1"/>
    <w:rsid w:val="00DF50CC"/>
    <w:rsid w:val="00DF5284"/>
    <w:rsid w:val="00DF573D"/>
    <w:rsid w:val="00DF5F27"/>
    <w:rsid w:val="00DF6668"/>
    <w:rsid w:val="00DF6C2E"/>
    <w:rsid w:val="00E0012B"/>
    <w:rsid w:val="00E00198"/>
    <w:rsid w:val="00E00ADD"/>
    <w:rsid w:val="00E00CD7"/>
    <w:rsid w:val="00E014AA"/>
    <w:rsid w:val="00E015FE"/>
    <w:rsid w:val="00E019CB"/>
    <w:rsid w:val="00E023CA"/>
    <w:rsid w:val="00E027DB"/>
    <w:rsid w:val="00E02CF3"/>
    <w:rsid w:val="00E02F94"/>
    <w:rsid w:val="00E0387C"/>
    <w:rsid w:val="00E03BC5"/>
    <w:rsid w:val="00E03DE3"/>
    <w:rsid w:val="00E03E84"/>
    <w:rsid w:val="00E04658"/>
    <w:rsid w:val="00E0507A"/>
    <w:rsid w:val="00E0519B"/>
    <w:rsid w:val="00E0538A"/>
    <w:rsid w:val="00E057C2"/>
    <w:rsid w:val="00E05BA3"/>
    <w:rsid w:val="00E063A0"/>
    <w:rsid w:val="00E066F5"/>
    <w:rsid w:val="00E06A5B"/>
    <w:rsid w:val="00E075DE"/>
    <w:rsid w:val="00E0797B"/>
    <w:rsid w:val="00E079BE"/>
    <w:rsid w:val="00E107B1"/>
    <w:rsid w:val="00E11F7A"/>
    <w:rsid w:val="00E127F3"/>
    <w:rsid w:val="00E137C1"/>
    <w:rsid w:val="00E139BC"/>
    <w:rsid w:val="00E139E3"/>
    <w:rsid w:val="00E13B3B"/>
    <w:rsid w:val="00E13E25"/>
    <w:rsid w:val="00E14004"/>
    <w:rsid w:val="00E1499B"/>
    <w:rsid w:val="00E15B17"/>
    <w:rsid w:val="00E162E2"/>
    <w:rsid w:val="00E16657"/>
    <w:rsid w:val="00E16D2F"/>
    <w:rsid w:val="00E174C4"/>
    <w:rsid w:val="00E20772"/>
    <w:rsid w:val="00E2091C"/>
    <w:rsid w:val="00E20C0A"/>
    <w:rsid w:val="00E21CFF"/>
    <w:rsid w:val="00E220A7"/>
    <w:rsid w:val="00E236B9"/>
    <w:rsid w:val="00E23A0E"/>
    <w:rsid w:val="00E23F01"/>
    <w:rsid w:val="00E24167"/>
    <w:rsid w:val="00E2429B"/>
    <w:rsid w:val="00E244D2"/>
    <w:rsid w:val="00E24694"/>
    <w:rsid w:val="00E24ABC"/>
    <w:rsid w:val="00E24BD3"/>
    <w:rsid w:val="00E24C7A"/>
    <w:rsid w:val="00E25583"/>
    <w:rsid w:val="00E27961"/>
    <w:rsid w:val="00E27C94"/>
    <w:rsid w:val="00E27D5E"/>
    <w:rsid w:val="00E27D9C"/>
    <w:rsid w:val="00E3045D"/>
    <w:rsid w:val="00E30622"/>
    <w:rsid w:val="00E30987"/>
    <w:rsid w:val="00E30A6B"/>
    <w:rsid w:val="00E3172E"/>
    <w:rsid w:val="00E337E7"/>
    <w:rsid w:val="00E33989"/>
    <w:rsid w:val="00E34260"/>
    <w:rsid w:val="00E346A4"/>
    <w:rsid w:val="00E3483F"/>
    <w:rsid w:val="00E36208"/>
    <w:rsid w:val="00E36D73"/>
    <w:rsid w:val="00E37017"/>
    <w:rsid w:val="00E3722F"/>
    <w:rsid w:val="00E40022"/>
    <w:rsid w:val="00E4059F"/>
    <w:rsid w:val="00E40E8C"/>
    <w:rsid w:val="00E40F12"/>
    <w:rsid w:val="00E41677"/>
    <w:rsid w:val="00E41A36"/>
    <w:rsid w:val="00E41E4C"/>
    <w:rsid w:val="00E420C0"/>
    <w:rsid w:val="00E421DF"/>
    <w:rsid w:val="00E42CC8"/>
    <w:rsid w:val="00E430AB"/>
    <w:rsid w:val="00E436ED"/>
    <w:rsid w:val="00E438B0"/>
    <w:rsid w:val="00E43B97"/>
    <w:rsid w:val="00E43DF2"/>
    <w:rsid w:val="00E43F73"/>
    <w:rsid w:val="00E44886"/>
    <w:rsid w:val="00E448B8"/>
    <w:rsid w:val="00E4551D"/>
    <w:rsid w:val="00E45E0A"/>
    <w:rsid w:val="00E464B5"/>
    <w:rsid w:val="00E46634"/>
    <w:rsid w:val="00E467B8"/>
    <w:rsid w:val="00E46E11"/>
    <w:rsid w:val="00E470D4"/>
    <w:rsid w:val="00E473FC"/>
    <w:rsid w:val="00E50B2B"/>
    <w:rsid w:val="00E51106"/>
    <w:rsid w:val="00E5161B"/>
    <w:rsid w:val="00E51E68"/>
    <w:rsid w:val="00E51F2F"/>
    <w:rsid w:val="00E53A5B"/>
    <w:rsid w:val="00E545C3"/>
    <w:rsid w:val="00E54688"/>
    <w:rsid w:val="00E55AAA"/>
    <w:rsid w:val="00E55E8D"/>
    <w:rsid w:val="00E56AF7"/>
    <w:rsid w:val="00E56CF1"/>
    <w:rsid w:val="00E570AA"/>
    <w:rsid w:val="00E60BE4"/>
    <w:rsid w:val="00E60D17"/>
    <w:rsid w:val="00E613C9"/>
    <w:rsid w:val="00E61444"/>
    <w:rsid w:val="00E616C8"/>
    <w:rsid w:val="00E61C47"/>
    <w:rsid w:val="00E61DBF"/>
    <w:rsid w:val="00E62369"/>
    <w:rsid w:val="00E631A7"/>
    <w:rsid w:val="00E6338F"/>
    <w:rsid w:val="00E6351C"/>
    <w:rsid w:val="00E63597"/>
    <w:rsid w:val="00E63969"/>
    <w:rsid w:val="00E64023"/>
    <w:rsid w:val="00E6413B"/>
    <w:rsid w:val="00E663C2"/>
    <w:rsid w:val="00E665D9"/>
    <w:rsid w:val="00E66F3F"/>
    <w:rsid w:val="00E67ABA"/>
    <w:rsid w:val="00E67F8F"/>
    <w:rsid w:val="00E70414"/>
    <w:rsid w:val="00E706FC"/>
    <w:rsid w:val="00E70A14"/>
    <w:rsid w:val="00E70C3A"/>
    <w:rsid w:val="00E70C3B"/>
    <w:rsid w:val="00E716FF"/>
    <w:rsid w:val="00E71778"/>
    <w:rsid w:val="00E71B50"/>
    <w:rsid w:val="00E71B62"/>
    <w:rsid w:val="00E71E2A"/>
    <w:rsid w:val="00E72011"/>
    <w:rsid w:val="00E72071"/>
    <w:rsid w:val="00E72227"/>
    <w:rsid w:val="00E72364"/>
    <w:rsid w:val="00E723C5"/>
    <w:rsid w:val="00E72708"/>
    <w:rsid w:val="00E7295F"/>
    <w:rsid w:val="00E730C2"/>
    <w:rsid w:val="00E7325F"/>
    <w:rsid w:val="00E732CF"/>
    <w:rsid w:val="00E73971"/>
    <w:rsid w:val="00E75266"/>
    <w:rsid w:val="00E7527B"/>
    <w:rsid w:val="00E753EB"/>
    <w:rsid w:val="00E75D89"/>
    <w:rsid w:val="00E7672C"/>
    <w:rsid w:val="00E76879"/>
    <w:rsid w:val="00E77749"/>
    <w:rsid w:val="00E8007F"/>
    <w:rsid w:val="00E81007"/>
    <w:rsid w:val="00E82715"/>
    <w:rsid w:val="00E829F6"/>
    <w:rsid w:val="00E82AC0"/>
    <w:rsid w:val="00E834DB"/>
    <w:rsid w:val="00E83C1F"/>
    <w:rsid w:val="00E83E0C"/>
    <w:rsid w:val="00E84427"/>
    <w:rsid w:val="00E84887"/>
    <w:rsid w:val="00E84943"/>
    <w:rsid w:val="00E84A17"/>
    <w:rsid w:val="00E85089"/>
    <w:rsid w:val="00E8558B"/>
    <w:rsid w:val="00E85842"/>
    <w:rsid w:val="00E8619B"/>
    <w:rsid w:val="00E8629C"/>
    <w:rsid w:val="00E86569"/>
    <w:rsid w:val="00E86E2C"/>
    <w:rsid w:val="00E8784E"/>
    <w:rsid w:val="00E87C0D"/>
    <w:rsid w:val="00E87CDF"/>
    <w:rsid w:val="00E9012C"/>
    <w:rsid w:val="00E90468"/>
    <w:rsid w:val="00E905B9"/>
    <w:rsid w:val="00E90CE1"/>
    <w:rsid w:val="00E929EB"/>
    <w:rsid w:val="00E92BD7"/>
    <w:rsid w:val="00E92F86"/>
    <w:rsid w:val="00E93177"/>
    <w:rsid w:val="00E93517"/>
    <w:rsid w:val="00E93B2D"/>
    <w:rsid w:val="00E93F43"/>
    <w:rsid w:val="00E94112"/>
    <w:rsid w:val="00E94D27"/>
    <w:rsid w:val="00E94F30"/>
    <w:rsid w:val="00E94FA4"/>
    <w:rsid w:val="00E9514F"/>
    <w:rsid w:val="00E951EB"/>
    <w:rsid w:val="00E96445"/>
    <w:rsid w:val="00E96E42"/>
    <w:rsid w:val="00E970BE"/>
    <w:rsid w:val="00E974DB"/>
    <w:rsid w:val="00EA078A"/>
    <w:rsid w:val="00EA0E20"/>
    <w:rsid w:val="00EA0FA3"/>
    <w:rsid w:val="00EA10B8"/>
    <w:rsid w:val="00EA19B0"/>
    <w:rsid w:val="00EA1A55"/>
    <w:rsid w:val="00EA1D67"/>
    <w:rsid w:val="00EA2EA6"/>
    <w:rsid w:val="00EA3076"/>
    <w:rsid w:val="00EA4116"/>
    <w:rsid w:val="00EA4DDD"/>
    <w:rsid w:val="00EA4DF6"/>
    <w:rsid w:val="00EA4EBE"/>
    <w:rsid w:val="00EA529F"/>
    <w:rsid w:val="00EA6226"/>
    <w:rsid w:val="00EA63B4"/>
    <w:rsid w:val="00EA70C5"/>
    <w:rsid w:val="00EA7CF7"/>
    <w:rsid w:val="00EA7D8F"/>
    <w:rsid w:val="00EA7F4B"/>
    <w:rsid w:val="00EB0F07"/>
    <w:rsid w:val="00EB1442"/>
    <w:rsid w:val="00EB1AB8"/>
    <w:rsid w:val="00EB1C8D"/>
    <w:rsid w:val="00EB20D1"/>
    <w:rsid w:val="00EB24DF"/>
    <w:rsid w:val="00EB2544"/>
    <w:rsid w:val="00EB2634"/>
    <w:rsid w:val="00EB32E4"/>
    <w:rsid w:val="00EB3528"/>
    <w:rsid w:val="00EB3627"/>
    <w:rsid w:val="00EB3DC7"/>
    <w:rsid w:val="00EB40A0"/>
    <w:rsid w:val="00EB4F46"/>
    <w:rsid w:val="00EB51C9"/>
    <w:rsid w:val="00EB5371"/>
    <w:rsid w:val="00EB598F"/>
    <w:rsid w:val="00EB5A8B"/>
    <w:rsid w:val="00EB6093"/>
    <w:rsid w:val="00EB63B0"/>
    <w:rsid w:val="00EB6C9B"/>
    <w:rsid w:val="00EB6E3E"/>
    <w:rsid w:val="00EB719E"/>
    <w:rsid w:val="00EB7492"/>
    <w:rsid w:val="00EB77D9"/>
    <w:rsid w:val="00EB791E"/>
    <w:rsid w:val="00EC14AB"/>
    <w:rsid w:val="00EC1787"/>
    <w:rsid w:val="00EC1C62"/>
    <w:rsid w:val="00EC1CC6"/>
    <w:rsid w:val="00EC1FA5"/>
    <w:rsid w:val="00EC21F1"/>
    <w:rsid w:val="00EC2C5D"/>
    <w:rsid w:val="00EC2F60"/>
    <w:rsid w:val="00EC327D"/>
    <w:rsid w:val="00EC32AE"/>
    <w:rsid w:val="00EC35BD"/>
    <w:rsid w:val="00EC4155"/>
    <w:rsid w:val="00EC4338"/>
    <w:rsid w:val="00EC53F7"/>
    <w:rsid w:val="00EC5614"/>
    <w:rsid w:val="00EC5667"/>
    <w:rsid w:val="00EC592A"/>
    <w:rsid w:val="00EC59AB"/>
    <w:rsid w:val="00EC5D8C"/>
    <w:rsid w:val="00EC6F5D"/>
    <w:rsid w:val="00EC7586"/>
    <w:rsid w:val="00EC7C55"/>
    <w:rsid w:val="00ED07B0"/>
    <w:rsid w:val="00ED1800"/>
    <w:rsid w:val="00ED199A"/>
    <w:rsid w:val="00ED1C6E"/>
    <w:rsid w:val="00ED24F5"/>
    <w:rsid w:val="00ED285D"/>
    <w:rsid w:val="00ED29EB"/>
    <w:rsid w:val="00ED2CED"/>
    <w:rsid w:val="00ED31ED"/>
    <w:rsid w:val="00ED398D"/>
    <w:rsid w:val="00ED47EA"/>
    <w:rsid w:val="00ED4D07"/>
    <w:rsid w:val="00ED4F69"/>
    <w:rsid w:val="00ED50E6"/>
    <w:rsid w:val="00ED5DB8"/>
    <w:rsid w:val="00ED5FCA"/>
    <w:rsid w:val="00ED6F42"/>
    <w:rsid w:val="00ED7E90"/>
    <w:rsid w:val="00EE0075"/>
    <w:rsid w:val="00EE0ED9"/>
    <w:rsid w:val="00EE1031"/>
    <w:rsid w:val="00EE1910"/>
    <w:rsid w:val="00EE19F0"/>
    <w:rsid w:val="00EE2DFF"/>
    <w:rsid w:val="00EE3D48"/>
    <w:rsid w:val="00EE3F85"/>
    <w:rsid w:val="00EE4169"/>
    <w:rsid w:val="00EE465E"/>
    <w:rsid w:val="00EE477B"/>
    <w:rsid w:val="00EE4824"/>
    <w:rsid w:val="00EE4AA1"/>
    <w:rsid w:val="00EE51AE"/>
    <w:rsid w:val="00EE5487"/>
    <w:rsid w:val="00EE579C"/>
    <w:rsid w:val="00EE63F2"/>
    <w:rsid w:val="00EE66D0"/>
    <w:rsid w:val="00EE6D2B"/>
    <w:rsid w:val="00EE6F29"/>
    <w:rsid w:val="00EE7115"/>
    <w:rsid w:val="00EE7C7B"/>
    <w:rsid w:val="00EF04EA"/>
    <w:rsid w:val="00EF0FAB"/>
    <w:rsid w:val="00EF158A"/>
    <w:rsid w:val="00EF2A38"/>
    <w:rsid w:val="00EF2AF6"/>
    <w:rsid w:val="00EF2CD5"/>
    <w:rsid w:val="00EF390D"/>
    <w:rsid w:val="00EF3C7B"/>
    <w:rsid w:val="00EF3FDE"/>
    <w:rsid w:val="00EF45D0"/>
    <w:rsid w:val="00EF540E"/>
    <w:rsid w:val="00EF5EB3"/>
    <w:rsid w:val="00EF6A80"/>
    <w:rsid w:val="00EF6C38"/>
    <w:rsid w:val="00EF6FD9"/>
    <w:rsid w:val="00EF749E"/>
    <w:rsid w:val="00EF76FC"/>
    <w:rsid w:val="00EF7BCB"/>
    <w:rsid w:val="00EF7C7E"/>
    <w:rsid w:val="00F0020D"/>
    <w:rsid w:val="00F0092A"/>
    <w:rsid w:val="00F0149A"/>
    <w:rsid w:val="00F01E6D"/>
    <w:rsid w:val="00F020C4"/>
    <w:rsid w:val="00F02677"/>
    <w:rsid w:val="00F028F5"/>
    <w:rsid w:val="00F02AE0"/>
    <w:rsid w:val="00F030F3"/>
    <w:rsid w:val="00F0318A"/>
    <w:rsid w:val="00F035F6"/>
    <w:rsid w:val="00F03AD0"/>
    <w:rsid w:val="00F03B73"/>
    <w:rsid w:val="00F03EF8"/>
    <w:rsid w:val="00F0493D"/>
    <w:rsid w:val="00F049A1"/>
    <w:rsid w:val="00F04D41"/>
    <w:rsid w:val="00F04F72"/>
    <w:rsid w:val="00F05AAA"/>
    <w:rsid w:val="00F05B75"/>
    <w:rsid w:val="00F068C9"/>
    <w:rsid w:val="00F07705"/>
    <w:rsid w:val="00F07C2F"/>
    <w:rsid w:val="00F07FB8"/>
    <w:rsid w:val="00F101DD"/>
    <w:rsid w:val="00F126E0"/>
    <w:rsid w:val="00F129C5"/>
    <w:rsid w:val="00F12C46"/>
    <w:rsid w:val="00F12C76"/>
    <w:rsid w:val="00F136E6"/>
    <w:rsid w:val="00F138A9"/>
    <w:rsid w:val="00F13BDA"/>
    <w:rsid w:val="00F140AC"/>
    <w:rsid w:val="00F140EB"/>
    <w:rsid w:val="00F14672"/>
    <w:rsid w:val="00F1596D"/>
    <w:rsid w:val="00F15FDC"/>
    <w:rsid w:val="00F164C9"/>
    <w:rsid w:val="00F165C6"/>
    <w:rsid w:val="00F16E95"/>
    <w:rsid w:val="00F177F7"/>
    <w:rsid w:val="00F17A2F"/>
    <w:rsid w:val="00F205BC"/>
    <w:rsid w:val="00F20709"/>
    <w:rsid w:val="00F20AB9"/>
    <w:rsid w:val="00F20E8C"/>
    <w:rsid w:val="00F21055"/>
    <w:rsid w:val="00F21686"/>
    <w:rsid w:val="00F224F7"/>
    <w:rsid w:val="00F22CBF"/>
    <w:rsid w:val="00F23FA4"/>
    <w:rsid w:val="00F2449B"/>
    <w:rsid w:val="00F25033"/>
    <w:rsid w:val="00F2520A"/>
    <w:rsid w:val="00F26039"/>
    <w:rsid w:val="00F265FF"/>
    <w:rsid w:val="00F269DB"/>
    <w:rsid w:val="00F26F57"/>
    <w:rsid w:val="00F2739D"/>
    <w:rsid w:val="00F27561"/>
    <w:rsid w:val="00F27907"/>
    <w:rsid w:val="00F301C7"/>
    <w:rsid w:val="00F30478"/>
    <w:rsid w:val="00F30E55"/>
    <w:rsid w:val="00F30F78"/>
    <w:rsid w:val="00F315FA"/>
    <w:rsid w:val="00F31D6A"/>
    <w:rsid w:val="00F329B7"/>
    <w:rsid w:val="00F32B2E"/>
    <w:rsid w:val="00F32CE4"/>
    <w:rsid w:val="00F33448"/>
    <w:rsid w:val="00F337A1"/>
    <w:rsid w:val="00F348F5"/>
    <w:rsid w:val="00F35403"/>
    <w:rsid w:val="00F35AC9"/>
    <w:rsid w:val="00F361AB"/>
    <w:rsid w:val="00F3621A"/>
    <w:rsid w:val="00F3623A"/>
    <w:rsid w:val="00F362E9"/>
    <w:rsid w:val="00F3643A"/>
    <w:rsid w:val="00F37206"/>
    <w:rsid w:val="00F40A54"/>
    <w:rsid w:val="00F40BCA"/>
    <w:rsid w:val="00F40C4D"/>
    <w:rsid w:val="00F41648"/>
    <w:rsid w:val="00F4234D"/>
    <w:rsid w:val="00F429C8"/>
    <w:rsid w:val="00F4373E"/>
    <w:rsid w:val="00F43EAB"/>
    <w:rsid w:val="00F442E1"/>
    <w:rsid w:val="00F45762"/>
    <w:rsid w:val="00F46838"/>
    <w:rsid w:val="00F46D7E"/>
    <w:rsid w:val="00F47132"/>
    <w:rsid w:val="00F47832"/>
    <w:rsid w:val="00F47E05"/>
    <w:rsid w:val="00F5000B"/>
    <w:rsid w:val="00F518F3"/>
    <w:rsid w:val="00F51B95"/>
    <w:rsid w:val="00F51E8C"/>
    <w:rsid w:val="00F52E30"/>
    <w:rsid w:val="00F530F1"/>
    <w:rsid w:val="00F5416D"/>
    <w:rsid w:val="00F541CF"/>
    <w:rsid w:val="00F54895"/>
    <w:rsid w:val="00F54A1B"/>
    <w:rsid w:val="00F54B4E"/>
    <w:rsid w:val="00F55335"/>
    <w:rsid w:val="00F557D5"/>
    <w:rsid w:val="00F564C1"/>
    <w:rsid w:val="00F56A2C"/>
    <w:rsid w:val="00F57040"/>
    <w:rsid w:val="00F5727C"/>
    <w:rsid w:val="00F61587"/>
    <w:rsid w:val="00F616F8"/>
    <w:rsid w:val="00F61F43"/>
    <w:rsid w:val="00F6201B"/>
    <w:rsid w:val="00F62086"/>
    <w:rsid w:val="00F62E11"/>
    <w:rsid w:val="00F64393"/>
    <w:rsid w:val="00F64A03"/>
    <w:rsid w:val="00F64D93"/>
    <w:rsid w:val="00F66317"/>
    <w:rsid w:val="00F66385"/>
    <w:rsid w:val="00F66554"/>
    <w:rsid w:val="00F66D98"/>
    <w:rsid w:val="00F66DD5"/>
    <w:rsid w:val="00F67467"/>
    <w:rsid w:val="00F67B68"/>
    <w:rsid w:val="00F70611"/>
    <w:rsid w:val="00F71F7A"/>
    <w:rsid w:val="00F72AD1"/>
    <w:rsid w:val="00F72AE5"/>
    <w:rsid w:val="00F73495"/>
    <w:rsid w:val="00F73598"/>
    <w:rsid w:val="00F73F9D"/>
    <w:rsid w:val="00F7495D"/>
    <w:rsid w:val="00F749C3"/>
    <w:rsid w:val="00F74B3C"/>
    <w:rsid w:val="00F75333"/>
    <w:rsid w:val="00F759F6"/>
    <w:rsid w:val="00F75D2E"/>
    <w:rsid w:val="00F76302"/>
    <w:rsid w:val="00F763C7"/>
    <w:rsid w:val="00F76536"/>
    <w:rsid w:val="00F7670E"/>
    <w:rsid w:val="00F76FC4"/>
    <w:rsid w:val="00F76FED"/>
    <w:rsid w:val="00F77174"/>
    <w:rsid w:val="00F80009"/>
    <w:rsid w:val="00F80BE4"/>
    <w:rsid w:val="00F81450"/>
    <w:rsid w:val="00F8145C"/>
    <w:rsid w:val="00F8185C"/>
    <w:rsid w:val="00F8276E"/>
    <w:rsid w:val="00F8279F"/>
    <w:rsid w:val="00F84F91"/>
    <w:rsid w:val="00F8506B"/>
    <w:rsid w:val="00F85E7C"/>
    <w:rsid w:val="00F86932"/>
    <w:rsid w:val="00F86994"/>
    <w:rsid w:val="00F87925"/>
    <w:rsid w:val="00F87D14"/>
    <w:rsid w:val="00F87F29"/>
    <w:rsid w:val="00F900CE"/>
    <w:rsid w:val="00F901E9"/>
    <w:rsid w:val="00F90A7D"/>
    <w:rsid w:val="00F912AF"/>
    <w:rsid w:val="00F9191C"/>
    <w:rsid w:val="00F923E0"/>
    <w:rsid w:val="00F9253F"/>
    <w:rsid w:val="00F93068"/>
    <w:rsid w:val="00F9307F"/>
    <w:rsid w:val="00F957EA"/>
    <w:rsid w:val="00F96C39"/>
    <w:rsid w:val="00F96FBF"/>
    <w:rsid w:val="00F97B13"/>
    <w:rsid w:val="00FA0212"/>
    <w:rsid w:val="00FA0596"/>
    <w:rsid w:val="00FA05FC"/>
    <w:rsid w:val="00FA0604"/>
    <w:rsid w:val="00FA0841"/>
    <w:rsid w:val="00FA0E34"/>
    <w:rsid w:val="00FA10E2"/>
    <w:rsid w:val="00FA1107"/>
    <w:rsid w:val="00FA153A"/>
    <w:rsid w:val="00FA185D"/>
    <w:rsid w:val="00FA1E67"/>
    <w:rsid w:val="00FA20BD"/>
    <w:rsid w:val="00FA22E7"/>
    <w:rsid w:val="00FA35E0"/>
    <w:rsid w:val="00FA3A1A"/>
    <w:rsid w:val="00FA46E0"/>
    <w:rsid w:val="00FA46F4"/>
    <w:rsid w:val="00FA48E7"/>
    <w:rsid w:val="00FA4AE6"/>
    <w:rsid w:val="00FA56B7"/>
    <w:rsid w:val="00FA57A5"/>
    <w:rsid w:val="00FA59DD"/>
    <w:rsid w:val="00FA5BFF"/>
    <w:rsid w:val="00FA7182"/>
    <w:rsid w:val="00FA731C"/>
    <w:rsid w:val="00FA7CBD"/>
    <w:rsid w:val="00FB023B"/>
    <w:rsid w:val="00FB0611"/>
    <w:rsid w:val="00FB0C30"/>
    <w:rsid w:val="00FB2D2E"/>
    <w:rsid w:val="00FB3557"/>
    <w:rsid w:val="00FB3A00"/>
    <w:rsid w:val="00FB3A51"/>
    <w:rsid w:val="00FB47CB"/>
    <w:rsid w:val="00FB4C31"/>
    <w:rsid w:val="00FB50EA"/>
    <w:rsid w:val="00FB5559"/>
    <w:rsid w:val="00FB61A9"/>
    <w:rsid w:val="00FB678D"/>
    <w:rsid w:val="00FB6C89"/>
    <w:rsid w:val="00FB723B"/>
    <w:rsid w:val="00FB7B67"/>
    <w:rsid w:val="00FC01A5"/>
    <w:rsid w:val="00FC082C"/>
    <w:rsid w:val="00FC0896"/>
    <w:rsid w:val="00FC09BB"/>
    <w:rsid w:val="00FC2086"/>
    <w:rsid w:val="00FC3082"/>
    <w:rsid w:val="00FC3358"/>
    <w:rsid w:val="00FC3DB0"/>
    <w:rsid w:val="00FC3EB5"/>
    <w:rsid w:val="00FC4431"/>
    <w:rsid w:val="00FC45A5"/>
    <w:rsid w:val="00FC4793"/>
    <w:rsid w:val="00FC513B"/>
    <w:rsid w:val="00FC5369"/>
    <w:rsid w:val="00FC5709"/>
    <w:rsid w:val="00FC5942"/>
    <w:rsid w:val="00FC5FBD"/>
    <w:rsid w:val="00FC6649"/>
    <w:rsid w:val="00FC6ABE"/>
    <w:rsid w:val="00FC6BF0"/>
    <w:rsid w:val="00FC748E"/>
    <w:rsid w:val="00FD01A5"/>
    <w:rsid w:val="00FD15B8"/>
    <w:rsid w:val="00FD209F"/>
    <w:rsid w:val="00FD2624"/>
    <w:rsid w:val="00FD2C81"/>
    <w:rsid w:val="00FD3612"/>
    <w:rsid w:val="00FD3734"/>
    <w:rsid w:val="00FD3800"/>
    <w:rsid w:val="00FD3B29"/>
    <w:rsid w:val="00FD40C7"/>
    <w:rsid w:val="00FD439D"/>
    <w:rsid w:val="00FD5A93"/>
    <w:rsid w:val="00FD6069"/>
    <w:rsid w:val="00FD7E4A"/>
    <w:rsid w:val="00FE1293"/>
    <w:rsid w:val="00FE1DC8"/>
    <w:rsid w:val="00FE27E0"/>
    <w:rsid w:val="00FE2AE1"/>
    <w:rsid w:val="00FE2BA4"/>
    <w:rsid w:val="00FE2DDF"/>
    <w:rsid w:val="00FE3318"/>
    <w:rsid w:val="00FE394D"/>
    <w:rsid w:val="00FE4356"/>
    <w:rsid w:val="00FE4B27"/>
    <w:rsid w:val="00FE584B"/>
    <w:rsid w:val="00FE5A87"/>
    <w:rsid w:val="00FE5CD7"/>
    <w:rsid w:val="00FE6B67"/>
    <w:rsid w:val="00FE7212"/>
    <w:rsid w:val="00FF0752"/>
    <w:rsid w:val="00FF0A44"/>
    <w:rsid w:val="00FF103C"/>
    <w:rsid w:val="00FF11E2"/>
    <w:rsid w:val="00FF39CB"/>
    <w:rsid w:val="00FF3C7A"/>
    <w:rsid w:val="00FF3F22"/>
    <w:rsid w:val="00FF4000"/>
    <w:rsid w:val="00FF5333"/>
    <w:rsid w:val="00FF5BE0"/>
    <w:rsid w:val="00FF5DED"/>
    <w:rsid w:val="00FF643F"/>
    <w:rsid w:val="00FF6493"/>
    <w:rsid w:val="00FF6F30"/>
    <w:rsid w:val="00FF7298"/>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70A3A"/>
  <w15:docId w15:val="{72B7C8B2-9FD7-445B-BF00-03669A1F5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de-DE"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B7224"/>
    <w:pPr>
      <w:spacing w:before="50" w:line="276" w:lineRule="auto"/>
      <w:jc w:val="both"/>
    </w:pPr>
    <w:rPr>
      <w:rFonts w:ascii="Calibri" w:hAnsi="Calibri"/>
      <w:sz w:val="22"/>
      <w:szCs w:val="18"/>
      <w:lang w:val="en-GB" w:eastAsia="en-US"/>
    </w:rPr>
  </w:style>
  <w:style w:type="paragraph" w:styleId="berschrift1">
    <w:name w:val="heading 1"/>
    <w:basedOn w:val="Standard"/>
    <w:next w:val="Fliesstext"/>
    <w:link w:val="berschrift1Zchn"/>
    <w:qFormat/>
    <w:rsid w:val="0062351B"/>
    <w:pPr>
      <w:keepNext/>
      <w:numPr>
        <w:numId w:val="1"/>
      </w:numPr>
      <w:spacing w:before="520" w:after="260" w:line="240" w:lineRule="auto"/>
      <w:ind w:left="709" w:hanging="709"/>
      <w:jc w:val="left"/>
      <w:outlineLvl w:val="0"/>
    </w:pPr>
    <w:rPr>
      <w:rFonts w:cs="Calibri"/>
      <w:b/>
      <w:color w:val="104C91"/>
      <w:sz w:val="32"/>
      <w:szCs w:val="32"/>
      <w:lang w:eastAsia="ja-JP"/>
    </w:rPr>
  </w:style>
  <w:style w:type="paragraph" w:styleId="berschrift2">
    <w:name w:val="heading 2"/>
    <w:basedOn w:val="Standard"/>
    <w:next w:val="Fliesstext"/>
    <w:link w:val="berschrift2Zchn"/>
    <w:qFormat/>
    <w:rsid w:val="0062351B"/>
    <w:pPr>
      <w:keepNext/>
      <w:numPr>
        <w:ilvl w:val="1"/>
        <w:numId w:val="1"/>
      </w:numPr>
      <w:spacing w:before="390" w:after="260" w:line="240" w:lineRule="auto"/>
      <w:jc w:val="left"/>
      <w:outlineLvl w:val="1"/>
    </w:pPr>
    <w:rPr>
      <w:rFonts w:cs="Arial"/>
      <w:b/>
      <w:bCs/>
      <w:iCs/>
      <w:color w:val="104C91"/>
      <w:sz w:val="28"/>
      <w:szCs w:val="28"/>
    </w:rPr>
  </w:style>
  <w:style w:type="paragraph" w:styleId="berschrift3">
    <w:name w:val="heading 3"/>
    <w:basedOn w:val="Standard"/>
    <w:next w:val="Fliesstext"/>
    <w:link w:val="berschrift3Zchn"/>
    <w:qFormat/>
    <w:rsid w:val="0062351B"/>
    <w:pPr>
      <w:keepNext/>
      <w:keepLines/>
      <w:numPr>
        <w:ilvl w:val="2"/>
        <w:numId w:val="1"/>
      </w:numPr>
      <w:tabs>
        <w:tab w:val="left" w:pos="3119"/>
      </w:tabs>
      <w:spacing w:before="260" w:after="130" w:line="240" w:lineRule="auto"/>
      <w:ind w:left="709" w:hanging="709"/>
      <w:jc w:val="left"/>
      <w:outlineLvl w:val="2"/>
    </w:pPr>
    <w:rPr>
      <w:rFonts w:cs="Calibri"/>
      <w:b/>
      <w:bCs/>
      <w:szCs w:val="20"/>
      <w:lang w:val="de-DE" w:eastAsia="de-DE"/>
    </w:rPr>
  </w:style>
  <w:style w:type="paragraph" w:styleId="berschrift4">
    <w:name w:val="heading 4"/>
    <w:basedOn w:val="Standard"/>
    <w:next w:val="Standard"/>
    <w:link w:val="berschrift4Zchn"/>
    <w:qFormat/>
    <w:rsid w:val="0062351B"/>
    <w:pPr>
      <w:keepNext/>
      <w:keepLines/>
      <w:numPr>
        <w:ilvl w:val="3"/>
        <w:numId w:val="1"/>
      </w:numPr>
      <w:tabs>
        <w:tab w:val="left" w:pos="3119"/>
      </w:tabs>
      <w:spacing w:before="0"/>
      <w:jc w:val="left"/>
      <w:outlineLvl w:val="3"/>
    </w:pPr>
    <w:rPr>
      <w:szCs w:val="20"/>
      <w:lang w:val="de-DE" w:eastAsia="de-DE"/>
    </w:rPr>
  </w:style>
  <w:style w:type="paragraph" w:styleId="berschrift5">
    <w:name w:val="heading 5"/>
    <w:basedOn w:val="Standard"/>
    <w:next w:val="Standard"/>
    <w:link w:val="berschrift5Zchn"/>
    <w:qFormat/>
    <w:rsid w:val="0062351B"/>
    <w:pPr>
      <w:keepNext/>
      <w:numPr>
        <w:ilvl w:val="4"/>
        <w:numId w:val="1"/>
      </w:numPr>
      <w:spacing w:before="240"/>
      <w:outlineLvl w:val="4"/>
    </w:pPr>
    <w:rPr>
      <w:lang w:eastAsia="de-DE"/>
    </w:rPr>
  </w:style>
  <w:style w:type="paragraph" w:styleId="berschrift6">
    <w:name w:val="heading 6"/>
    <w:basedOn w:val="Standard"/>
    <w:next w:val="Standard"/>
    <w:link w:val="berschrift6Zchn"/>
    <w:qFormat/>
    <w:rsid w:val="0062351B"/>
    <w:pPr>
      <w:keepNext/>
      <w:keepLines/>
      <w:numPr>
        <w:ilvl w:val="5"/>
        <w:numId w:val="1"/>
      </w:numPr>
      <w:tabs>
        <w:tab w:val="left" w:pos="3402"/>
      </w:tabs>
      <w:spacing w:before="0"/>
      <w:outlineLvl w:val="5"/>
    </w:pPr>
    <w:rPr>
      <w:szCs w:val="20"/>
      <w:lang w:val="de-DE" w:eastAsia="de-DE"/>
    </w:rPr>
  </w:style>
  <w:style w:type="paragraph" w:styleId="berschrift7">
    <w:name w:val="heading 7"/>
    <w:basedOn w:val="Standard"/>
    <w:next w:val="Standard"/>
    <w:link w:val="berschrift7Zchn"/>
    <w:qFormat/>
    <w:rsid w:val="0062351B"/>
    <w:pPr>
      <w:numPr>
        <w:ilvl w:val="6"/>
        <w:numId w:val="1"/>
      </w:numPr>
      <w:spacing w:before="0" w:after="260" w:line="260" w:lineRule="atLeast"/>
      <w:outlineLvl w:val="6"/>
    </w:pPr>
    <w:rPr>
      <w:rFonts w:ascii="Arial" w:hAnsi="Arial"/>
      <w:i/>
      <w:szCs w:val="20"/>
      <w:lang w:val="de-DE" w:eastAsia="de-DE"/>
    </w:rPr>
  </w:style>
  <w:style w:type="paragraph" w:styleId="berschrift8">
    <w:name w:val="heading 8"/>
    <w:basedOn w:val="Standard"/>
    <w:next w:val="Standard"/>
    <w:link w:val="berschrift8Zchn"/>
    <w:qFormat/>
    <w:rsid w:val="0062351B"/>
    <w:pPr>
      <w:numPr>
        <w:ilvl w:val="7"/>
        <w:numId w:val="1"/>
      </w:numPr>
      <w:spacing w:before="0" w:after="260" w:line="260" w:lineRule="atLeast"/>
      <w:outlineLvl w:val="7"/>
    </w:pPr>
    <w:rPr>
      <w:rFonts w:ascii="Arial" w:hAnsi="Arial"/>
      <w:i/>
      <w:szCs w:val="20"/>
      <w:lang w:val="de-DE" w:eastAsia="de-DE"/>
    </w:rPr>
  </w:style>
  <w:style w:type="paragraph" w:styleId="berschrift9">
    <w:name w:val="heading 9"/>
    <w:basedOn w:val="Standard"/>
    <w:next w:val="Standard"/>
    <w:link w:val="berschrift9Zchn"/>
    <w:qFormat/>
    <w:rsid w:val="0062351B"/>
    <w:pPr>
      <w:numPr>
        <w:ilvl w:val="8"/>
        <w:numId w:val="1"/>
      </w:numPr>
      <w:spacing w:before="0" w:after="260" w:line="260" w:lineRule="atLeast"/>
      <w:outlineLvl w:val="8"/>
    </w:pPr>
    <w:rPr>
      <w:rFonts w:ascii="Arial" w:hAnsi="Arial"/>
      <w:i/>
      <w:szCs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62351B"/>
    <w:rPr>
      <w:rFonts w:ascii="Calibri" w:hAnsi="Calibri" w:cs="Calibri"/>
      <w:b/>
      <w:color w:val="104C91"/>
      <w:sz w:val="32"/>
      <w:szCs w:val="32"/>
      <w:lang w:val="en-GB" w:eastAsia="ja-JP"/>
    </w:rPr>
  </w:style>
  <w:style w:type="character" w:customStyle="1" w:styleId="Heading2Char">
    <w:name w:val="Heading 2 Char"/>
    <w:uiPriority w:val="9"/>
    <w:rsid w:val="0062351B"/>
    <w:rPr>
      <w:rFonts w:ascii="Arial" w:eastAsia="Arial" w:hAnsi="Arial" w:cs="Arial"/>
      <w:sz w:val="34"/>
    </w:rPr>
  </w:style>
  <w:style w:type="character" w:customStyle="1" w:styleId="berschrift3Zchn">
    <w:name w:val="Überschrift 3 Zchn"/>
    <w:link w:val="berschrift3"/>
    <w:rsid w:val="0062351B"/>
    <w:rPr>
      <w:rFonts w:ascii="Calibri" w:hAnsi="Calibri" w:cs="Calibri"/>
      <w:b/>
      <w:bCs/>
      <w:sz w:val="22"/>
    </w:rPr>
  </w:style>
  <w:style w:type="character" w:customStyle="1" w:styleId="berschrift4Zchn">
    <w:name w:val="Überschrift 4 Zchn"/>
    <w:link w:val="berschrift4"/>
    <w:rsid w:val="0062351B"/>
    <w:rPr>
      <w:rFonts w:ascii="Calibri" w:hAnsi="Calibri"/>
      <w:sz w:val="22"/>
    </w:rPr>
  </w:style>
  <w:style w:type="character" w:customStyle="1" w:styleId="berschrift5Zchn">
    <w:name w:val="Überschrift 5 Zchn"/>
    <w:link w:val="berschrift5"/>
    <w:rsid w:val="0062351B"/>
    <w:rPr>
      <w:rFonts w:ascii="Calibri" w:hAnsi="Calibri"/>
      <w:sz w:val="22"/>
      <w:szCs w:val="18"/>
      <w:lang w:val="en-GB"/>
    </w:rPr>
  </w:style>
  <w:style w:type="character" w:customStyle="1" w:styleId="berschrift6Zchn">
    <w:name w:val="Überschrift 6 Zchn"/>
    <w:link w:val="berschrift6"/>
    <w:rsid w:val="0062351B"/>
    <w:rPr>
      <w:rFonts w:ascii="Calibri" w:hAnsi="Calibri"/>
      <w:sz w:val="22"/>
    </w:rPr>
  </w:style>
  <w:style w:type="character" w:customStyle="1" w:styleId="berschrift7Zchn">
    <w:name w:val="Überschrift 7 Zchn"/>
    <w:link w:val="berschrift7"/>
    <w:rsid w:val="0062351B"/>
    <w:rPr>
      <w:rFonts w:ascii="Arial" w:hAnsi="Arial"/>
      <w:i/>
      <w:sz w:val="22"/>
    </w:rPr>
  </w:style>
  <w:style w:type="character" w:customStyle="1" w:styleId="berschrift8Zchn">
    <w:name w:val="Überschrift 8 Zchn"/>
    <w:link w:val="berschrift8"/>
    <w:rsid w:val="0062351B"/>
    <w:rPr>
      <w:rFonts w:ascii="Arial" w:hAnsi="Arial"/>
      <w:i/>
      <w:sz w:val="22"/>
    </w:rPr>
  </w:style>
  <w:style w:type="character" w:customStyle="1" w:styleId="berschrift9Zchn">
    <w:name w:val="Überschrift 9 Zchn"/>
    <w:link w:val="berschrift9"/>
    <w:rsid w:val="0062351B"/>
    <w:rPr>
      <w:rFonts w:ascii="Arial" w:hAnsi="Arial"/>
      <w:i/>
      <w:sz w:val="22"/>
    </w:rPr>
  </w:style>
  <w:style w:type="paragraph" w:styleId="KeinLeerraum">
    <w:name w:val="No Spacing"/>
    <w:uiPriority w:val="1"/>
    <w:qFormat/>
    <w:rsid w:val="0062351B"/>
    <w:rPr>
      <w:lang w:eastAsia="de-DE"/>
    </w:rPr>
  </w:style>
  <w:style w:type="paragraph" w:styleId="Titel">
    <w:name w:val="Title"/>
    <w:basedOn w:val="Standard"/>
    <w:next w:val="Standard"/>
    <w:link w:val="TitelZchn"/>
    <w:uiPriority w:val="10"/>
    <w:qFormat/>
    <w:rsid w:val="0062351B"/>
    <w:pPr>
      <w:spacing w:before="300" w:after="200"/>
      <w:contextualSpacing/>
    </w:pPr>
    <w:rPr>
      <w:sz w:val="48"/>
      <w:szCs w:val="48"/>
    </w:rPr>
  </w:style>
  <w:style w:type="character" w:customStyle="1" w:styleId="TitelZchn">
    <w:name w:val="Titel Zchn"/>
    <w:link w:val="Titel"/>
    <w:uiPriority w:val="10"/>
    <w:rsid w:val="0062351B"/>
    <w:rPr>
      <w:sz w:val="48"/>
      <w:szCs w:val="48"/>
    </w:rPr>
  </w:style>
  <w:style w:type="paragraph" w:styleId="Untertitel">
    <w:name w:val="Subtitle"/>
    <w:basedOn w:val="Standard"/>
    <w:next w:val="Standard"/>
    <w:link w:val="UntertitelZchn"/>
    <w:uiPriority w:val="11"/>
    <w:qFormat/>
    <w:rsid w:val="0062351B"/>
    <w:pPr>
      <w:spacing w:before="200" w:after="200"/>
    </w:pPr>
    <w:rPr>
      <w:sz w:val="24"/>
      <w:szCs w:val="24"/>
    </w:rPr>
  </w:style>
  <w:style w:type="character" w:customStyle="1" w:styleId="UntertitelZchn">
    <w:name w:val="Untertitel Zchn"/>
    <w:link w:val="Untertitel"/>
    <w:uiPriority w:val="11"/>
    <w:rsid w:val="0062351B"/>
    <w:rPr>
      <w:sz w:val="24"/>
      <w:szCs w:val="24"/>
    </w:rPr>
  </w:style>
  <w:style w:type="paragraph" w:styleId="Zitat">
    <w:name w:val="Quote"/>
    <w:basedOn w:val="Standard"/>
    <w:next w:val="Standard"/>
    <w:link w:val="ZitatZchn"/>
    <w:uiPriority w:val="29"/>
    <w:qFormat/>
    <w:rsid w:val="0062351B"/>
    <w:pPr>
      <w:ind w:left="720" w:right="720"/>
    </w:pPr>
    <w:rPr>
      <w:i/>
    </w:rPr>
  </w:style>
  <w:style w:type="character" w:customStyle="1" w:styleId="ZitatZchn">
    <w:name w:val="Zitat Zchn"/>
    <w:link w:val="Zitat"/>
    <w:uiPriority w:val="29"/>
    <w:rsid w:val="0062351B"/>
    <w:rPr>
      <w:i/>
    </w:rPr>
  </w:style>
  <w:style w:type="paragraph" w:styleId="IntensivesZitat">
    <w:name w:val="Intense Quote"/>
    <w:basedOn w:val="Standard"/>
    <w:next w:val="Standard"/>
    <w:link w:val="IntensivesZitatZchn"/>
    <w:uiPriority w:val="30"/>
    <w:qFormat/>
    <w:rsid w:val="0062351B"/>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sid w:val="0062351B"/>
    <w:rPr>
      <w:i/>
    </w:rPr>
  </w:style>
  <w:style w:type="character" w:customStyle="1" w:styleId="HeaderChar">
    <w:name w:val="Header Char"/>
    <w:basedOn w:val="Absatz-Standardschriftart"/>
    <w:uiPriority w:val="99"/>
    <w:rsid w:val="0062351B"/>
  </w:style>
  <w:style w:type="character" w:customStyle="1" w:styleId="FooterChar">
    <w:name w:val="Footer Char"/>
    <w:basedOn w:val="Absatz-Standardschriftart"/>
    <w:uiPriority w:val="99"/>
    <w:rsid w:val="0062351B"/>
  </w:style>
  <w:style w:type="character" w:customStyle="1" w:styleId="CaptionChar">
    <w:name w:val="Caption Char"/>
    <w:uiPriority w:val="99"/>
    <w:rsid w:val="0062351B"/>
  </w:style>
  <w:style w:type="table" w:customStyle="1" w:styleId="TableGridLight1">
    <w:name w:val="Table Grid Light1"/>
    <w:basedOn w:val="NormaleTabelle"/>
    <w:uiPriority w:val="59"/>
    <w:rsid w:val="0062351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EinfacheTabelle11">
    <w:name w:val="Einfache Tabelle 11"/>
    <w:basedOn w:val="NormaleTabelle"/>
    <w:uiPriority w:val="59"/>
    <w:rsid w:val="0062351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4F4F4" w:fill="F4F4F4"/>
      </w:tcPr>
    </w:tblStylePr>
    <w:tblStylePr w:type="band1Horz">
      <w:tblPr/>
      <w:tcPr>
        <w:shd w:val="clear" w:color="F4F4F4" w:fill="F4F4F4"/>
      </w:tcPr>
    </w:tblStylePr>
  </w:style>
  <w:style w:type="table" w:customStyle="1" w:styleId="EinfacheTabelle21">
    <w:name w:val="Einfache Tabelle 21"/>
    <w:basedOn w:val="NormaleTabelle"/>
    <w:uiPriority w:val="59"/>
    <w:rsid w:val="0062351B"/>
    <w:tblPr>
      <w:tblBorders>
        <w:top w:val="single" w:sz="4" w:space="0" w:color="333333"/>
        <w:left w:val="none" w:sz="4" w:space="0" w:color="333333"/>
        <w:bottom w:val="single" w:sz="4" w:space="0" w:color="333333"/>
        <w:right w:val="none" w:sz="4" w:space="0" w:color="333333"/>
      </w:tblBorders>
    </w:tblPr>
    <w:tblStylePr w:type="firstRow">
      <w:rPr>
        <w:rFonts w:ascii="Arial" w:hAnsi="Arial"/>
        <w:b/>
        <w:color w:val="404040"/>
        <w:sz w:val="22"/>
      </w:rPr>
      <w:tblPr/>
      <w:tcPr>
        <w:tcBorders>
          <w:top w:val="single" w:sz="4" w:space="0" w:color="333333"/>
          <w:bottom w:val="single" w:sz="4" w:space="0" w:color="333333"/>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333333"/>
          <w:right w:val="single" w:sz="4" w:space="0" w:color="333333"/>
        </w:tcBorders>
      </w:tcPr>
    </w:tblStylePr>
    <w:tblStylePr w:type="band2Vert">
      <w:tblPr/>
      <w:tcPr>
        <w:tcBorders>
          <w:left w:val="single" w:sz="4" w:space="0" w:color="333333"/>
          <w:right w:val="single" w:sz="4" w:space="0" w:color="333333"/>
        </w:tcBorders>
      </w:tcPr>
    </w:tblStylePr>
    <w:tblStylePr w:type="band1Horz">
      <w:tblPr/>
      <w:tcPr>
        <w:tcBorders>
          <w:top w:val="single" w:sz="4" w:space="0" w:color="333333"/>
          <w:bottom w:val="single" w:sz="4" w:space="0" w:color="333333"/>
        </w:tcBorders>
      </w:tcPr>
    </w:tblStylePr>
  </w:style>
  <w:style w:type="table" w:customStyle="1" w:styleId="EinfacheTabelle31">
    <w:name w:val="Einfache Tabelle 31"/>
    <w:basedOn w:val="NormaleTabelle"/>
    <w:uiPriority w:val="99"/>
    <w:rsid w:val="0062351B"/>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4F4F4" w:fill="F4F4F4"/>
      </w:tcPr>
    </w:tblStylePr>
    <w:tblStylePr w:type="band1Horz">
      <w:rPr>
        <w:rFonts w:ascii="Arial" w:hAnsi="Arial"/>
        <w:color w:val="404040"/>
        <w:sz w:val="22"/>
      </w:rPr>
      <w:tblPr/>
      <w:tcPr>
        <w:shd w:val="clear" w:color="F4F4F4" w:fill="F4F4F4"/>
      </w:tcPr>
    </w:tblStylePr>
  </w:style>
  <w:style w:type="table" w:customStyle="1" w:styleId="EinfacheTabelle41">
    <w:name w:val="Einfache Tabelle 41"/>
    <w:basedOn w:val="NormaleTabelle"/>
    <w:uiPriority w:val="99"/>
    <w:rsid w:val="0062351B"/>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4F4F4" w:fill="F4F4F4"/>
      </w:tcPr>
    </w:tblStylePr>
    <w:tblStylePr w:type="band1Horz">
      <w:rPr>
        <w:rFonts w:ascii="Arial" w:hAnsi="Arial"/>
        <w:color w:val="404040"/>
        <w:sz w:val="22"/>
      </w:rPr>
      <w:tblPr/>
      <w:tcPr>
        <w:shd w:val="clear" w:color="F4F4F4" w:fill="F4F4F4"/>
      </w:tcPr>
    </w:tblStylePr>
  </w:style>
  <w:style w:type="table" w:customStyle="1" w:styleId="EinfacheTabelle51">
    <w:name w:val="Einfache Tabelle 51"/>
    <w:basedOn w:val="NormaleTabelle"/>
    <w:uiPriority w:val="99"/>
    <w:rsid w:val="0062351B"/>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4F4F4" w:fill="F4F4F4"/>
      </w:tcPr>
    </w:tblStylePr>
    <w:tblStylePr w:type="band1Horz">
      <w:rPr>
        <w:rFonts w:ascii="Arial" w:hAnsi="Arial"/>
        <w:color w:val="404040"/>
        <w:sz w:val="22"/>
      </w:rPr>
      <w:tblPr/>
      <w:tcPr>
        <w:shd w:val="clear" w:color="F4F4F4" w:fill="F4F4F4"/>
      </w:tcPr>
    </w:tblStylePr>
  </w:style>
  <w:style w:type="table" w:customStyle="1" w:styleId="Gitternetztabelle1hell1">
    <w:name w:val="Gitternetztabelle 1 hell1"/>
    <w:basedOn w:val="NormaleTabelle"/>
    <w:uiPriority w:val="99"/>
    <w:rsid w:val="0062351B"/>
    <w:tblPr>
      <w:tblStyleRowBandSize w:val="1"/>
      <w:tblStyleColBandSize w:val="1"/>
      <w:tblBorders>
        <w:top w:val="single" w:sz="4" w:space="0" w:color="ACACAC"/>
        <w:left w:val="single" w:sz="4" w:space="0" w:color="ACACAC"/>
        <w:bottom w:val="single" w:sz="4" w:space="0" w:color="ACACAC"/>
        <w:right w:val="single" w:sz="4" w:space="0" w:color="ACACAC"/>
        <w:insideH w:val="single" w:sz="4" w:space="0" w:color="ACACAC"/>
        <w:insideV w:val="single" w:sz="4" w:space="0" w:color="ACACAC"/>
      </w:tblBorders>
    </w:tblPr>
    <w:tblStylePr w:type="firstRow">
      <w:rPr>
        <w:b/>
        <w:color w:val="404040"/>
      </w:rPr>
      <w:tblPr/>
      <w:tcPr>
        <w:tcBorders>
          <w:bottom w:val="single" w:sz="12" w:space="0" w:color="878787"/>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ACACAC"/>
          <w:left w:val="single" w:sz="4" w:space="0" w:color="ACACAC"/>
          <w:bottom w:val="single" w:sz="4" w:space="0" w:color="ACACAC"/>
          <w:right w:val="single" w:sz="4" w:space="0" w:color="ACACAC"/>
        </w:tcBorders>
      </w:tcPr>
    </w:tblStylePr>
  </w:style>
  <w:style w:type="table" w:customStyle="1" w:styleId="GridTable1Light-Accent11">
    <w:name w:val="Grid Table 1 Light - Accent 11"/>
    <w:basedOn w:val="NormaleTabelle"/>
    <w:uiPriority w:val="99"/>
    <w:rsid w:val="0062351B"/>
    <w:tblPr>
      <w:tblStyleRowBandSize w:val="1"/>
      <w:tblStyleColBandSize w:val="1"/>
      <w:tblBorders>
        <w:top w:val="single" w:sz="4" w:space="0" w:color="80B4F1"/>
        <w:left w:val="single" w:sz="4" w:space="0" w:color="80B4F1"/>
        <w:bottom w:val="single" w:sz="4" w:space="0" w:color="80B4F1"/>
        <w:right w:val="single" w:sz="4" w:space="0" w:color="80B4F1"/>
        <w:insideH w:val="single" w:sz="4" w:space="0" w:color="80B4F1"/>
        <w:insideV w:val="single" w:sz="4" w:space="0" w:color="80B4F1"/>
      </w:tblBorders>
    </w:tblPr>
    <w:tblStylePr w:type="firstRow">
      <w:rPr>
        <w:b/>
        <w:color w:val="404040"/>
      </w:rPr>
      <w:tblPr/>
      <w:tcPr>
        <w:tcBorders>
          <w:bottom w:val="single" w:sz="12" w:space="0" w:color="4792E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0B4F1"/>
          <w:left w:val="single" w:sz="4" w:space="0" w:color="80B4F1"/>
          <w:bottom w:val="single" w:sz="4" w:space="0" w:color="80B4F1"/>
          <w:right w:val="single" w:sz="4" w:space="0" w:color="80B4F1"/>
        </w:tcBorders>
      </w:tcPr>
    </w:tblStylePr>
  </w:style>
  <w:style w:type="table" w:customStyle="1" w:styleId="GridTable1Light-Accent21">
    <w:name w:val="Grid Table 1 Light - Accent 21"/>
    <w:basedOn w:val="NormaleTabelle"/>
    <w:uiPriority w:val="99"/>
    <w:rsid w:val="0062351B"/>
    <w:tblPr>
      <w:tblStyleRowBandSize w:val="1"/>
      <w:tblStyleColBandSize w:val="1"/>
      <w:tblBorders>
        <w:top w:val="single" w:sz="4" w:space="0" w:color="CEE0F3"/>
        <w:left w:val="single" w:sz="4" w:space="0" w:color="CEE0F3"/>
        <w:bottom w:val="single" w:sz="4" w:space="0" w:color="CEE0F3"/>
        <w:right w:val="single" w:sz="4" w:space="0" w:color="CEE0F3"/>
        <w:insideH w:val="single" w:sz="4" w:space="0" w:color="CEE0F3"/>
        <w:insideV w:val="single" w:sz="4" w:space="0" w:color="CEE0F3"/>
      </w:tblBorders>
    </w:tblPr>
    <w:tblStylePr w:type="firstRow">
      <w:rPr>
        <w:b/>
        <w:color w:val="404040"/>
      </w:rPr>
      <w:tblPr/>
      <w:tcPr>
        <w:tcBorders>
          <w:bottom w:val="single" w:sz="12" w:space="0" w:color="B8D2ED"/>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EE0F3"/>
          <w:left w:val="single" w:sz="4" w:space="0" w:color="CEE0F3"/>
          <w:bottom w:val="single" w:sz="4" w:space="0" w:color="CEE0F3"/>
          <w:right w:val="single" w:sz="4" w:space="0" w:color="CEE0F3"/>
        </w:tcBorders>
      </w:tcPr>
    </w:tblStylePr>
  </w:style>
  <w:style w:type="table" w:customStyle="1" w:styleId="GridTable1Light-Accent31">
    <w:name w:val="Grid Table 1 Light - Accent 31"/>
    <w:basedOn w:val="NormaleTabelle"/>
    <w:uiPriority w:val="99"/>
    <w:rsid w:val="0062351B"/>
    <w:tblPr>
      <w:tblStyleRowBandSize w:val="1"/>
      <w:tblStyleColBandSize w:val="1"/>
      <w:tblBorders>
        <w:top w:val="single" w:sz="4" w:space="0" w:color="FAD6A1"/>
        <w:left w:val="single" w:sz="4" w:space="0" w:color="FAD6A1"/>
        <w:bottom w:val="single" w:sz="4" w:space="0" w:color="FAD6A1"/>
        <w:right w:val="single" w:sz="4" w:space="0" w:color="FAD6A1"/>
        <w:insideH w:val="single" w:sz="4" w:space="0" w:color="FAD6A1"/>
        <w:insideV w:val="single" w:sz="4" w:space="0" w:color="FAD6A1"/>
      </w:tblBorders>
    </w:tblPr>
    <w:tblStylePr w:type="firstRow">
      <w:rPr>
        <w:b/>
        <w:color w:val="404040"/>
      </w:rPr>
      <w:tblPr/>
      <w:tcPr>
        <w:tcBorders>
          <w:bottom w:val="single" w:sz="12" w:space="0" w:color="F8C478"/>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AD6A1"/>
          <w:left w:val="single" w:sz="4" w:space="0" w:color="FAD6A1"/>
          <w:bottom w:val="single" w:sz="4" w:space="0" w:color="FAD6A1"/>
          <w:right w:val="single" w:sz="4" w:space="0" w:color="FAD6A1"/>
        </w:tcBorders>
      </w:tcPr>
    </w:tblStylePr>
  </w:style>
  <w:style w:type="table" w:customStyle="1" w:styleId="GridTable1Light-Accent41">
    <w:name w:val="Grid Table 1 Light - Accent 41"/>
    <w:basedOn w:val="NormaleTabelle"/>
    <w:uiPriority w:val="99"/>
    <w:rsid w:val="0062351B"/>
    <w:tblPr>
      <w:tblStyleRowBandSize w:val="1"/>
      <w:tblStyleColBandSize w:val="1"/>
      <w:tblBorders>
        <w:top w:val="single" w:sz="4" w:space="0" w:color="FCFCFB"/>
        <w:left w:val="single" w:sz="4" w:space="0" w:color="FCFCFB"/>
        <w:bottom w:val="single" w:sz="4" w:space="0" w:color="FCFCFB"/>
        <w:right w:val="single" w:sz="4" w:space="0" w:color="FCFCFB"/>
        <w:insideH w:val="single" w:sz="4" w:space="0" w:color="FCFCFB"/>
        <w:insideV w:val="single" w:sz="4" w:space="0" w:color="FCFCFB"/>
      </w:tblBorders>
    </w:tblPr>
    <w:tblStylePr w:type="firstRow">
      <w:rPr>
        <w:b/>
        <w:color w:val="404040"/>
      </w:rPr>
      <w:tblPr/>
      <w:tcPr>
        <w:tcBorders>
          <w:bottom w:val="single" w:sz="12" w:space="0" w:color="FAFAF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CFCFB"/>
          <w:left w:val="single" w:sz="4" w:space="0" w:color="FCFCFB"/>
          <w:bottom w:val="single" w:sz="4" w:space="0" w:color="FCFCFB"/>
          <w:right w:val="single" w:sz="4" w:space="0" w:color="FCFCFB"/>
        </w:tcBorders>
      </w:tcPr>
    </w:tblStylePr>
  </w:style>
  <w:style w:type="table" w:customStyle="1" w:styleId="GridTable1Light-Accent51">
    <w:name w:val="Grid Table 1 Light - Accent 51"/>
    <w:basedOn w:val="NormaleTabelle"/>
    <w:uiPriority w:val="99"/>
    <w:rsid w:val="0062351B"/>
    <w:tblPr>
      <w:tblStyleRowBandSize w:val="1"/>
      <w:tblStyleColBandSize w:val="1"/>
      <w:tblBorders>
        <w:top w:val="single" w:sz="4" w:space="0" w:color="ACACAC"/>
        <w:left w:val="single" w:sz="4" w:space="0" w:color="ACACAC"/>
        <w:bottom w:val="single" w:sz="4" w:space="0" w:color="ACACAC"/>
        <w:right w:val="single" w:sz="4" w:space="0" w:color="ACACAC"/>
        <w:insideH w:val="single" w:sz="4" w:space="0" w:color="ACACAC"/>
        <w:insideV w:val="single" w:sz="4" w:space="0" w:color="ACACAC"/>
      </w:tblBorders>
    </w:tblPr>
    <w:tblStylePr w:type="firstRow">
      <w:rPr>
        <w:b/>
        <w:color w:val="404040"/>
      </w:rPr>
      <w:tblPr/>
      <w:tcPr>
        <w:tcBorders>
          <w:bottom w:val="single" w:sz="12" w:space="0" w:color="878787"/>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ACACAC"/>
          <w:left w:val="single" w:sz="4" w:space="0" w:color="ACACAC"/>
          <w:bottom w:val="single" w:sz="4" w:space="0" w:color="ACACAC"/>
          <w:right w:val="single" w:sz="4" w:space="0" w:color="ACACAC"/>
        </w:tcBorders>
      </w:tcPr>
    </w:tblStylePr>
  </w:style>
  <w:style w:type="table" w:customStyle="1" w:styleId="GridTable1Light-Accent61">
    <w:name w:val="Grid Table 1 Light - Accent 61"/>
    <w:basedOn w:val="NormaleTabelle"/>
    <w:uiPriority w:val="99"/>
    <w:rsid w:val="0062351B"/>
    <w:tblPr>
      <w:tblStyleRowBandSize w:val="1"/>
      <w:tblStyleColBandSize w:val="1"/>
      <w:tblBorders>
        <w:top w:val="single" w:sz="4" w:space="0" w:color="FAFAFA"/>
        <w:left w:val="single" w:sz="4" w:space="0" w:color="FAFAFA"/>
        <w:bottom w:val="single" w:sz="4" w:space="0" w:color="FAFAFA"/>
        <w:right w:val="single" w:sz="4" w:space="0" w:color="FAFAFA"/>
        <w:insideH w:val="single" w:sz="4" w:space="0" w:color="FAFAFA"/>
        <w:insideV w:val="single" w:sz="4" w:space="0" w:color="FAFAFA"/>
      </w:tblBorders>
    </w:tblPr>
    <w:tblStylePr w:type="firstRow">
      <w:rPr>
        <w:b/>
        <w:color w:val="404040"/>
      </w:rPr>
      <w:tblPr/>
      <w:tcPr>
        <w:tcBorders>
          <w:bottom w:val="single" w:sz="12" w:space="0" w:color="F8F8F7"/>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AFAFA"/>
          <w:left w:val="single" w:sz="4" w:space="0" w:color="FAFAFA"/>
          <w:bottom w:val="single" w:sz="4" w:space="0" w:color="FAFAFA"/>
          <w:right w:val="single" w:sz="4" w:space="0" w:color="FAFAFA"/>
        </w:tcBorders>
      </w:tcPr>
    </w:tblStylePr>
  </w:style>
  <w:style w:type="table" w:customStyle="1" w:styleId="Gitternetztabelle21">
    <w:name w:val="Gitternetztabelle 21"/>
    <w:basedOn w:val="NormaleTabelle"/>
    <w:uiPriority w:val="99"/>
    <w:rsid w:val="0062351B"/>
    <w:tblPr>
      <w:tblStyleRowBandSize w:val="1"/>
      <w:tblStyleColBandSize w:val="1"/>
      <w:tblBorders>
        <w:bottom w:val="single" w:sz="4" w:space="0" w:color="878787"/>
        <w:insideH w:val="single" w:sz="4" w:space="0" w:color="878787"/>
        <w:insideV w:val="single" w:sz="4" w:space="0" w:color="878787"/>
      </w:tblBorders>
    </w:tblPr>
    <w:tblStylePr w:type="firstRow">
      <w:rPr>
        <w:b/>
        <w:color w:val="404040"/>
      </w:rPr>
      <w:tblPr/>
      <w:tcPr>
        <w:tcBorders>
          <w:top w:val="none" w:sz="4" w:space="0" w:color="000000"/>
          <w:left w:val="none" w:sz="4" w:space="0" w:color="000000"/>
          <w:bottom w:val="single" w:sz="12" w:space="0" w:color="878787"/>
          <w:right w:val="none" w:sz="4" w:space="0" w:color="000000"/>
        </w:tcBorders>
        <w:shd w:val="clear" w:color="FFFFFF" w:fill="auto"/>
      </w:tcPr>
    </w:tblStylePr>
    <w:tblStylePr w:type="lastRow">
      <w:rPr>
        <w:b/>
        <w:color w:val="404040"/>
      </w:rPr>
      <w:tblPr/>
      <w:tcPr>
        <w:tcBorders>
          <w:top w:val="single" w:sz="4" w:space="0" w:color="87878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D5D5" w:fill="D5D5D5"/>
      </w:tcPr>
    </w:tblStylePr>
    <w:tblStylePr w:type="band1Horz">
      <w:rPr>
        <w:rFonts w:ascii="Arial" w:hAnsi="Arial"/>
        <w:color w:val="404040"/>
        <w:sz w:val="22"/>
      </w:rPr>
      <w:tblPr/>
      <w:tcPr>
        <w:shd w:val="clear" w:color="D5D5D5" w:fill="D5D5D5"/>
      </w:tcPr>
    </w:tblStylePr>
  </w:style>
  <w:style w:type="table" w:customStyle="1" w:styleId="GridTable2-Accent11">
    <w:name w:val="Grid Table 2 - Accent 11"/>
    <w:basedOn w:val="NormaleTabelle"/>
    <w:uiPriority w:val="99"/>
    <w:rsid w:val="0062351B"/>
    <w:tblPr>
      <w:tblStyleRowBandSize w:val="1"/>
      <w:tblStyleColBandSize w:val="1"/>
      <w:tblBorders>
        <w:bottom w:val="single" w:sz="4" w:space="0" w:color="1359AA"/>
        <w:insideH w:val="single" w:sz="4" w:space="0" w:color="1359AA"/>
        <w:insideV w:val="single" w:sz="4" w:space="0" w:color="1359AA"/>
      </w:tblBorders>
    </w:tblPr>
    <w:tblStylePr w:type="firstRow">
      <w:rPr>
        <w:b/>
        <w:color w:val="404040"/>
      </w:rPr>
      <w:tblPr/>
      <w:tcPr>
        <w:tcBorders>
          <w:top w:val="none" w:sz="4" w:space="0" w:color="000000"/>
          <w:left w:val="none" w:sz="4" w:space="0" w:color="000000"/>
          <w:bottom w:val="single" w:sz="12" w:space="0" w:color="1359AA"/>
          <w:right w:val="none" w:sz="4" w:space="0" w:color="000000"/>
        </w:tcBorders>
        <w:shd w:val="clear" w:color="FFFFFF" w:fill="auto"/>
      </w:tcPr>
    </w:tblStylePr>
    <w:tblStylePr w:type="lastRow">
      <w:rPr>
        <w:b/>
        <w:color w:val="404040"/>
      </w:rPr>
      <w:tblPr/>
      <w:tcPr>
        <w:tcBorders>
          <w:top w:val="single" w:sz="4" w:space="0" w:color="1359A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ED9F8" w:fill="BED9F8"/>
      </w:tcPr>
    </w:tblStylePr>
    <w:tblStylePr w:type="band1Horz">
      <w:rPr>
        <w:rFonts w:ascii="Arial" w:hAnsi="Arial"/>
        <w:color w:val="404040"/>
        <w:sz w:val="22"/>
      </w:rPr>
      <w:tblPr/>
      <w:tcPr>
        <w:shd w:val="clear" w:color="BED9F8" w:fill="BED9F8"/>
      </w:tcPr>
    </w:tblStylePr>
  </w:style>
  <w:style w:type="table" w:customStyle="1" w:styleId="GridTable2-Accent21">
    <w:name w:val="Grid Table 2 - Accent 21"/>
    <w:basedOn w:val="NormaleTabelle"/>
    <w:uiPriority w:val="99"/>
    <w:rsid w:val="0062351B"/>
    <w:tblPr>
      <w:tblStyleRowBandSize w:val="1"/>
      <w:tblStyleColBandSize w:val="1"/>
      <w:tblBorders>
        <w:bottom w:val="single" w:sz="4" w:space="0" w:color="B7D1ED"/>
        <w:insideH w:val="single" w:sz="4" w:space="0" w:color="B7D1ED"/>
        <w:insideV w:val="single" w:sz="4" w:space="0" w:color="B7D1ED"/>
      </w:tblBorders>
    </w:tblPr>
    <w:tblStylePr w:type="firstRow">
      <w:rPr>
        <w:b/>
        <w:color w:val="404040"/>
      </w:rPr>
      <w:tblPr/>
      <w:tcPr>
        <w:tcBorders>
          <w:top w:val="none" w:sz="4" w:space="0" w:color="000000"/>
          <w:left w:val="none" w:sz="4" w:space="0" w:color="000000"/>
          <w:bottom w:val="single" w:sz="12" w:space="0" w:color="B7D1ED"/>
          <w:right w:val="none" w:sz="4" w:space="0" w:color="000000"/>
        </w:tcBorders>
        <w:shd w:val="clear" w:color="FFFFFF" w:fill="auto"/>
      </w:tcPr>
    </w:tblStylePr>
    <w:tblStylePr w:type="lastRow">
      <w:rPr>
        <w:b/>
        <w:color w:val="404040"/>
      </w:rPr>
      <w:tblPr/>
      <w:tcPr>
        <w:tcBorders>
          <w:top w:val="single" w:sz="4" w:space="0" w:color="B7D1ED"/>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7F0F9" w:fill="E7F0F9"/>
      </w:tcPr>
    </w:tblStylePr>
    <w:tblStylePr w:type="band1Horz">
      <w:rPr>
        <w:rFonts w:ascii="Arial" w:hAnsi="Arial"/>
        <w:color w:val="404040"/>
        <w:sz w:val="22"/>
      </w:rPr>
      <w:tblPr/>
      <w:tcPr>
        <w:shd w:val="clear" w:color="E7F0F9" w:fill="E7F0F9"/>
      </w:tcPr>
    </w:tblStylePr>
  </w:style>
  <w:style w:type="table" w:customStyle="1" w:styleId="GridTable2-Accent31">
    <w:name w:val="Grid Table 2 - Accent 31"/>
    <w:basedOn w:val="NormaleTabelle"/>
    <w:uiPriority w:val="99"/>
    <w:rsid w:val="0062351B"/>
    <w:tblPr>
      <w:tblStyleRowBandSize w:val="1"/>
      <w:tblStyleColBandSize w:val="1"/>
      <w:tblBorders>
        <w:bottom w:val="single" w:sz="4" w:space="0" w:color="F49A19"/>
        <w:insideH w:val="single" w:sz="4" w:space="0" w:color="F49A19"/>
        <w:insideV w:val="single" w:sz="4" w:space="0" w:color="F49A19"/>
      </w:tblBorders>
    </w:tblPr>
    <w:tblStylePr w:type="firstRow">
      <w:rPr>
        <w:b/>
        <w:color w:val="404040"/>
      </w:rPr>
      <w:tblPr/>
      <w:tcPr>
        <w:tcBorders>
          <w:top w:val="none" w:sz="4" w:space="0" w:color="000000"/>
          <w:left w:val="none" w:sz="4" w:space="0" w:color="000000"/>
          <w:bottom w:val="single" w:sz="12" w:space="0" w:color="F49A19"/>
          <w:right w:val="none" w:sz="4" w:space="0" w:color="000000"/>
        </w:tcBorders>
        <w:shd w:val="clear" w:color="FFFFFF" w:fill="auto"/>
      </w:tcPr>
    </w:tblStylePr>
    <w:tblStylePr w:type="lastRow">
      <w:rPr>
        <w:b/>
        <w:color w:val="404040"/>
      </w:rPr>
      <w:tblPr/>
      <w:tcPr>
        <w:tcBorders>
          <w:top w:val="single" w:sz="4" w:space="0" w:color="F49A19"/>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CEACF" w:fill="FCEACF"/>
      </w:tcPr>
    </w:tblStylePr>
    <w:tblStylePr w:type="band1Horz">
      <w:rPr>
        <w:rFonts w:ascii="Arial" w:hAnsi="Arial"/>
        <w:color w:val="404040"/>
        <w:sz w:val="22"/>
      </w:rPr>
      <w:tblPr/>
      <w:tcPr>
        <w:shd w:val="clear" w:color="FCEACF" w:fill="FCEACF"/>
      </w:tcPr>
    </w:tblStylePr>
  </w:style>
  <w:style w:type="table" w:customStyle="1" w:styleId="GridTable2-Accent41">
    <w:name w:val="Grid Table 2 - Accent 41"/>
    <w:basedOn w:val="NormaleTabelle"/>
    <w:uiPriority w:val="99"/>
    <w:rsid w:val="0062351B"/>
    <w:tblPr>
      <w:tblStyleRowBandSize w:val="1"/>
      <w:tblStyleColBandSize w:val="1"/>
      <w:tblBorders>
        <w:bottom w:val="single" w:sz="4" w:space="0" w:color="FAFAFA"/>
        <w:insideH w:val="single" w:sz="4" w:space="0" w:color="FAFAFA"/>
        <w:insideV w:val="single" w:sz="4" w:space="0" w:color="FAFAFA"/>
      </w:tblBorders>
    </w:tblPr>
    <w:tblStylePr w:type="firstRow">
      <w:rPr>
        <w:b/>
        <w:color w:val="404040"/>
      </w:rPr>
      <w:tblPr/>
      <w:tcPr>
        <w:tcBorders>
          <w:top w:val="none" w:sz="4" w:space="0" w:color="000000"/>
          <w:left w:val="none" w:sz="4" w:space="0" w:color="000000"/>
          <w:bottom w:val="single" w:sz="12" w:space="0" w:color="FAFAFA"/>
          <w:right w:val="none" w:sz="4" w:space="0" w:color="000000"/>
        </w:tcBorders>
        <w:shd w:val="clear" w:color="FFFFFF" w:fill="auto"/>
      </w:tcPr>
    </w:tblStylePr>
    <w:tblStylePr w:type="lastRow">
      <w:rPr>
        <w:b/>
        <w:color w:val="404040"/>
      </w:rPr>
      <w:tblPr/>
      <w:tcPr>
        <w:tcBorders>
          <w:top w:val="single" w:sz="4" w:space="0" w:color="FAFAF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FDFD" w:fill="FDFDFD"/>
      </w:tcPr>
    </w:tblStylePr>
    <w:tblStylePr w:type="band1Horz">
      <w:rPr>
        <w:rFonts w:ascii="Arial" w:hAnsi="Arial"/>
        <w:color w:val="404040"/>
        <w:sz w:val="22"/>
      </w:rPr>
      <w:tblPr/>
      <w:tcPr>
        <w:shd w:val="clear" w:color="FDFDFD" w:fill="FDFDFD"/>
      </w:tcPr>
    </w:tblStylePr>
  </w:style>
  <w:style w:type="table" w:customStyle="1" w:styleId="GridTable2-Accent51">
    <w:name w:val="Grid Table 2 - Accent 51"/>
    <w:basedOn w:val="NormaleTabelle"/>
    <w:uiPriority w:val="99"/>
    <w:rsid w:val="0062351B"/>
    <w:tblPr>
      <w:tblStyleRowBandSize w:val="1"/>
      <w:tblStyleColBandSize w:val="1"/>
      <w:tblBorders>
        <w:bottom w:val="single" w:sz="4" w:space="0" w:color="333333"/>
        <w:insideH w:val="single" w:sz="4" w:space="0" w:color="333333"/>
        <w:insideV w:val="single" w:sz="4" w:space="0" w:color="333333"/>
      </w:tblBorders>
    </w:tblPr>
    <w:tblStylePr w:type="firstRow">
      <w:rPr>
        <w:b/>
        <w:color w:val="404040"/>
      </w:rPr>
      <w:tblPr/>
      <w:tcPr>
        <w:tcBorders>
          <w:top w:val="none" w:sz="4" w:space="0" w:color="000000"/>
          <w:left w:val="none" w:sz="4" w:space="0" w:color="000000"/>
          <w:bottom w:val="single" w:sz="12" w:space="0" w:color="333333"/>
          <w:right w:val="none" w:sz="4" w:space="0" w:color="000000"/>
        </w:tcBorders>
        <w:shd w:val="clear" w:color="FFFFFF" w:fill="auto"/>
      </w:tcPr>
    </w:tblStylePr>
    <w:tblStylePr w:type="lastRow">
      <w:rPr>
        <w:b/>
        <w:color w:val="404040"/>
      </w:rPr>
      <w:tblPr/>
      <w:tcPr>
        <w:tcBorders>
          <w:top w:val="single" w:sz="4" w:space="0" w:color="33333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D5D5" w:fill="D5D5D5"/>
      </w:tcPr>
    </w:tblStylePr>
    <w:tblStylePr w:type="band1Horz">
      <w:rPr>
        <w:rFonts w:ascii="Arial" w:hAnsi="Arial"/>
        <w:color w:val="404040"/>
        <w:sz w:val="22"/>
      </w:rPr>
      <w:tblPr/>
      <w:tcPr>
        <w:shd w:val="clear" w:color="D5D5D5" w:fill="D5D5D5"/>
      </w:tcPr>
    </w:tblStylePr>
  </w:style>
  <w:style w:type="table" w:customStyle="1" w:styleId="GridTable2-Accent61">
    <w:name w:val="Grid Table 2 - Accent 61"/>
    <w:basedOn w:val="NormaleTabelle"/>
    <w:uiPriority w:val="99"/>
    <w:rsid w:val="0062351B"/>
    <w:tblPr>
      <w:tblStyleRowBandSize w:val="1"/>
      <w:tblStyleColBandSize w:val="1"/>
      <w:tblBorders>
        <w:bottom w:val="single" w:sz="4" w:space="0" w:color="F4F4F3"/>
        <w:insideH w:val="single" w:sz="4" w:space="0" w:color="F4F4F3"/>
        <w:insideV w:val="single" w:sz="4" w:space="0" w:color="F4F4F3"/>
      </w:tblBorders>
    </w:tblPr>
    <w:tblStylePr w:type="firstRow">
      <w:rPr>
        <w:b/>
        <w:color w:val="404040"/>
      </w:rPr>
      <w:tblPr/>
      <w:tcPr>
        <w:tcBorders>
          <w:top w:val="none" w:sz="4" w:space="0" w:color="000000"/>
          <w:left w:val="none" w:sz="4" w:space="0" w:color="000000"/>
          <w:bottom w:val="single" w:sz="12" w:space="0" w:color="F4F4F3"/>
          <w:right w:val="none" w:sz="4" w:space="0" w:color="000000"/>
        </w:tcBorders>
        <w:shd w:val="clear" w:color="FFFFFF" w:fill="auto"/>
      </w:tcPr>
    </w:tblStylePr>
    <w:tblStylePr w:type="lastRow">
      <w:rPr>
        <w:b/>
        <w:color w:val="404040"/>
      </w:rPr>
      <w:tblPr/>
      <w:tcPr>
        <w:tcBorders>
          <w:top w:val="single" w:sz="4" w:space="0" w:color="F4F4F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CFCFC" w:fill="FCFCFC"/>
      </w:tcPr>
    </w:tblStylePr>
    <w:tblStylePr w:type="band1Horz">
      <w:rPr>
        <w:rFonts w:ascii="Arial" w:hAnsi="Arial"/>
        <w:color w:val="404040"/>
        <w:sz w:val="22"/>
      </w:rPr>
      <w:tblPr/>
      <w:tcPr>
        <w:shd w:val="clear" w:color="FCFCFC" w:fill="FCFCFC"/>
      </w:tcPr>
    </w:tblStylePr>
  </w:style>
  <w:style w:type="table" w:customStyle="1" w:styleId="Gitternetztabelle31">
    <w:name w:val="Gitternetztabelle 31"/>
    <w:basedOn w:val="NormaleTabelle"/>
    <w:uiPriority w:val="99"/>
    <w:rsid w:val="0062351B"/>
    <w:tblPr>
      <w:tblStyleRowBandSize w:val="1"/>
      <w:tblStyleColBandSize w:val="1"/>
      <w:tblBorders>
        <w:bottom w:val="single" w:sz="4" w:space="0" w:color="878787"/>
        <w:insideH w:val="single" w:sz="4" w:space="0" w:color="878787"/>
        <w:insideV w:val="single" w:sz="4" w:space="0" w:color="87878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5D5D5" w:fill="D5D5D5"/>
      </w:tcPr>
    </w:tblStylePr>
    <w:tblStylePr w:type="band1Horz">
      <w:rPr>
        <w:rFonts w:ascii="Arial" w:hAnsi="Arial"/>
        <w:color w:val="404040"/>
        <w:sz w:val="22"/>
      </w:rPr>
      <w:tblPr/>
      <w:tcPr>
        <w:shd w:val="clear" w:color="D5D5D5" w:fill="D5D5D5"/>
      </w:tcPr>
    </w:tblStylePr>
  </w:style>
  <w:style w:type="table" w:customStyle="1" w:styleId="GridTable3-Accent11">
    <w:name w:val="Grid Table 3 - Accent 11"/>
    <w:basedOn w:val="NormaleTabelle"/>
    <w:uiPriority w:val="99"/>
    <w:rsid w:val="0062351B"/>
    <w:tblPr>
      <w:tblStyleRowBandSize w:val="1"/>
      <w:tblStyleColBandSize w:val="1"/>
      <w:tblBorders>
        <w:bottom w:val="single" w:sz="4" w:space="0" w:color="1359AA"/>
        <w:insideH w:val="single" w:sz="4" w:space="0" w:color="1359AA"/>
        <w:insideV w:val="single" w:sz="4" w:space="0" w:color="1359A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ED9F8" w:fill="BED9F8"/>
      </w:tcPr>
    </w:tblStylePr>
    <w:tblStylePr w:type="band1Horz">
      <w:rPr>
        <w:rFonts w:ascii="Arial" w:hAnsi="Arial"/>
        <w:color w:val="404040"/>
        <w:sz w:val="22"/>
      </w:rPr>
      <w:tblPr/>
      <w:tcPr>
        <w:shd w:val="clear" w:color="BED9F8" w:fill="BED9F8"/>
      </w:tcPr>
    </w:tblStylePr>
  </w:style>
  <w:style w:type="table" w:customStyle="1" w:styleId="GridTable3-Accent21">
    <w:name w:val="Grid Table 3 - Accent 21"/>
    <w:basedOn w:val="NormaleTabelle"/>
    <w:uiPriority w:val="99"/>
    <w:rsid w:val="0062351B"/>
    <w:tblPr>
      <w:tblStyleRowBandSize w:val="1"/>
      <w:tblStyleColBandSize w:val="1"/>
      <w:tblBorders>
        <w:bottom w:val="single" w:sz="4" w:space="0" w:color="B7D1ED"/>
        <w:insideH w:val="single" w:sz="4" w:space="0" w:color="B7D1ED"/>
        <w:insideV w:val="single" w:sz="4" w:space="0" w:color="B7D1ED"/>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7F0F9" w:fill="E7F0F9"/>
      </w:tcPr>
    </w:tblStylePr>
    <w:tblStylePr w:type="band1Horz">
      <w:rPr>
        <w:rFonts w:ascii="Arial" w:hAnsi="Arial"/>
        <w:color w:val="404040"/>
        <w:sz w:val="22"/>
      </w:rPr>
      <w:tblPr/>
      <w:tcPr>
        <w:shd w:val="clear" w:color="E7F0F9" w:fill="E7F0F9"/>
      </w:tcPr>
    </w:tblStylePr>
  </w:style>
  <w:style w:type="table" w:customStyle="1" w:styleId="GridTable3-Accent31">
    <w:name w:val="Grid Table 3 - Accent 31"/>
    <w:basedOn w:val="NormaleTabelle"/>
    <w:uiPriority w:val="99"/>
    <w:rsid w:val="0062351B"/>
    <w:tblPr>
      <w:tblStyleRowBandSize w:val="1"/>
      <w:tblStyleColBandSize w:val="1"/>
      <w:tblBorders>
        <w:bottom w:val="single" w:sz="4" w:space="0" w:color="F49A19"/>
        <w:insideH w:val="single" w:sz="4" w:space="0" w:color="F49A19"/>
        <w:insideV w:val="single" w:sz="4" w:space="0" w:color="F49A19"/>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CEACF" w:fill="FCEACF"/>
      </w:tcPr>
    </w:tblStylePr>
    <w:tblStylePr w:type="band1Horz">
      <w:rPr>
        <w:rFonts w:ascii="Arial" w:hAnsi="Arial"/>
        <w:color w:val="404040"/>
        <w:sz w:val="22"/>
      </w:rPr>
      <w:tblPr/>
      <w:tcPr>
        <w:shd w:val="clear" w:color="FCEACF" w:fill="FCEACF"/>
      </w:tcPr>
    </w:tblStylePr>
  </w:style>
  <w:style w:type="table" w:customStyle="1" w:styleId="GridTable3-Accent41">
    <w:name w:val="Grid Table 3 - Accent 41"/>
    <w:basedOn w:val="NormaleTabelle"/>
    <w:uiPriority w:val="99"/>
    <w:rsid w:val="0062351B"/>
    <w:tblPr>
      <w:tblStyleRowBandSize w:val="1"/>
      <w:tblStyleColBandSize w:val="1"/>
      <w:tblBorders>
        <w:bottom w:val="single" w:sz="4" w:space="0" w:color="FAFAFA"/>
        <w:insideH w:val="single" w:sz="4" w:space="0" w:color="FAFAFA"/>
        <w:insideV w:val="single" w:sz="4" w:space="0" w:color="FAFAF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FDFD" w:fill="FDFDFD"/>
      </w:tcPr>
    </w:tblStylePr>
    <w:tblStylePr w:type="band1Horz">
      <w:rPr>
        <w:rFonts w:ascii="Arial" w:hAnsi="Arial"/>
        <w:color w:val="404040"/>
        <w:sz w:val="22"/>
      </w:rPr>
      <w:tblPr/>
      <w:tcPr>
        <w:shd w:val="clear" w:color="FDFDFD" w:fill="FDFDFD"/>
      </w:tcPr>
    </w:tblStylePr>
  </w:style>
  <w:style w:type="table" w:customStyle="1" w:styleId="GridTable3-Accent51">
    <w:name w:val="Grid Table 3 - Accent 51"/>
    <w:basedOn w:val="NormaleTabelle"/>
    <w:uiPriority w:val="99"/>
    <w:rsid w:val="0062351B"/>
    <w:tblPr>
      <w:tblStyleRowBandSize w:val="1"/>
      <w:tblStyleColBandSize w:val="1"/>
      <w:tblBorders>
        <w:bottom w:val="single" w:sz="4" w:space="0" w:color="333333"/>
        <w:insideH w:val="single" w:sz="4" w:space="0" w:color="333333"/>
        <w:insideV w:val="single" w:sz="4" w:space="0" w:color="333333"/>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5D5D5" w:fill="D5D5D5"/>
      </w:tcPr>
    </w:tblStylePr>
    <w:tblStylePr w:type="band1Horz">
      <w:rPr>
        <w:rFonts w:ascii="Arial" w:hAnsi="Arial"/>
        <w:color w:val="404040"/>
        <w:sz w:val="22"/>
      </w:rPr>
      <w:tblPr/>
      <w:tcPr>
        <w:shd w:val="clear" w:color="D5D5D5" w:fill="D5D5D5"/>
      </w:tcPr>
    </w:tblStylePr>
  </w:style>
  <w:style w:type="table" w:customStyle="1" w:styleId="GridTable3-Accent61">
    <w:name w:val="Grid Table 3 - Accent 61"/>
    <w:basedOn w:val="NormaleTabelle"/>
    <w:uiPriority w:val="99"/>
    <w:rsid w:val="0062351B"/>
    <w:tblPr>
      <w:tblStyleRowBandSize w:val="1"/>
      <w:tblStyleColBandSize w:val="1"/>
      <w:tblBorders>
        <w:bottom w:val="single" w:sz="4" w:space="0" w:color="F4F4F3"/>
        <w:insideH w:val="single" w:sz="4" w:space="0" w:color="F4F4F3"/>
        <w:insideV w:val="single" w:sz="4" w:space="0" w:color="F4F4F3"/>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CFCFC" w:fill="FCFCFC"/>
      </w:tcPr>
    </w:tblStylePr>
    <w:tblStylePr w:type="band1Horz">
      <w:rPr>
        <w:rFonts w:ascii="Arial" w:hAnsi="Arial"/>
        <w:color w:val="404040"/>
        <w:sz w:val="22"/>
      </w:rPr>
      <w:tblPr/>
      <w:tcPr>
        <w:shd w:val="clear" w:color="FCFCFC" w:fill="FCFCFC"/>
      </w:tcPr>
    </w:tblStylePr>
  </w:style>
  <w:style w:type="table" w:customStyle="1" w:styleId="Gitternetztabelle41">
    <w:name w:val="Gitternetztabelle 41"/>
    <w:basedOn w:val="NormaleTabelle"/>
    <w:uiPriority w:val="59"/>
    <w:rsid w:val="0062351B"/>
    <w:tblPr>
      <w:tblStyleRowBandSize w:val="1"/>
      <w:tblStyleColBandSize w:val="1"/>
      <w:tblBorders>
        <w:top w:val="single" w:sz="4" w:space="0" w:color="8B8B8B"/>
        <w:left w:val="single" w:sz="4" w:space="0" w:color="8B8B8B"/>
        <w:bottom w:val="single" w:sz="4" w:space="0" w:color="8B8B8B"/>
        <w:right w:val="single" w:sz="4" w:space="0" w:color="8B8B8B"/>
        <w:insideH w:val="single" w:sz="4" w:space="0" w:color="8B8B8B"/>
        <w:insideV w:val="single" w:sz="4" w:space="0" w:color="8B8B8B"/>
      </w:tblBorders>
    </w:tblPr>
    <w:tblStylePr w:type="firstRow">
      <w:rPr>
        <w:rFonts w:ascii="Arial" w:hAnsi="Arial"/>
        <w:b/>
        <w:color w:val="FFFFFF"/>
        <w:sz w:val="22"/>
      </w:rPr>
      <w:tblPr/>
      <w:tcPr>
        <w:tcBorders>
          <w:top w:val="single" w:sz="4" w:space="0" w:color="333333"/>
          <w:left w:val="single" w:sz="4" w:space="0" w:color="333333"/>
          <w:bottom w:val="single" w:sz="4" w:space="0" w:color="333333"/>
          <w:right w:val="single" w:sz="4" w:space="0" w:color="333333"/>
        </w:tcBorders>
        <w:shd w:val="clear" w:color="333333" w:fill="333333"/>
      </w:tcPr>
    </w:tblStylePr>
    <w:tblStylePr w:type="lastRow">
      <w:rPr>
        <w:b/>
        <w:color w:val="404040"/>
      </w:rPr>
      <w:tblPr/>
      <w:tcPr>
        <w:tcBorders>
          <w:top w:val="single" w:sz="4" w:space="0" w:color="333333"/>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D5D5" w:fill="D5D5D5"/>
      </w:tcPr>
    </w:tblStylePr>
    <w:tblStylePr w:type="band1Horz">
      <w:rPr>
        <w:rFonts w:ascii="Arial" w:hAnsi="Arial"/>
        <w:color w:val="404040"/>
        <w:sz w:val="22"/>
      </w:rPr>
      <w:tblPr/>
      <w:tcPr>
        <w:shd w:val="clear" w:color="D5D5D5" w:fill="D5D5D5"/>
      </w:tcPr>
    </w:tblStylePr>
  </w:style>
  <w:style w:type="table" w:customStyle="1" w:styleId="GridTable4-Accent11">
    <w:name w:val="Grid Table 4 - Accent 11"/>
    <w:basedOn w:val="NormaleTabelle"/>
    <w:uiPriority w:val="59"/>
    <w:rsid w:val="0062351B"/>
    <w:tblPr>
      <w:tblStyleRowBandSize w:val="1"/>
      <w:tblStyleColBandSize w:val="1"/>
      <w:tblBorders>
        <w:top w:val="single" w:sz="4" w:space="0" w:color="4D96EB"/>
        <w:left w:val="single" w:sz="4" w:space="0" w:color="4D96EB"/>
        <w:bottom w:val="single" w:sz="4" w:space="0" w:color="4D96EB"/>
        <w:right w:val="single" w:sz="4" w:space="0" w:color="4D96EB"/>
        <w:insideH w:val="single" w:sz="4" w:space="0" w:color="4D96EB"/>
        <w:insideV w:val="single" w:sz="4" w:space="0" w:color="4D96EB"/>
      </w:tblBorders>
    </w:tblPr>
    <w:tblStylePr w:type="firstRow">
      <w:rPr>
        <w:rFonts w:ascii="Arial" w:hAnsi="Arial"/>
        <w:b/>
        <w:color w:val="FFFFFF"/>
        <w:sz w:val="22"/>
      </w:rPr>
      <w:tblPr/>
      <w:tcPr>
        <w:tcBorders>
          <w:top w:val="single" w:sz="4" w:space="0" w:color="1359AA"/>
          <w:left w:val="single" w:sz="4" w:space="0" w:color="1359AA"/>
          <w:bottom w:val="single" w:sz="4" w:space="0" w:color="1359AA"/>
          <w:right w:val="single" w:sz="4" w:space="0" w:color="1359AA"/>
        </w:tcBorders>
        <w:shd w:val="clear" w:color="1359AA" w:fill="1359AA"/>
      </w:tcPr>
    </w:tblStylePr>
    <w:tblStylePr w:type="lastRow">
      <w:rPr>
        <w:b/>
        <w:color w:val="404040"/>
      </w:rPr>
      <w:tblPr/>
      <w:tcPr>
        <w:tcBorders>
          <w:top w:val="single" w:sz="4" w:space="0" w:color="1359A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1DAF8" w:fill="C1DAF8"/>
      </w:tcPr>
    </w:tblStylePr>
    <w:tblStylePr w:type="band1Horz">
      <w:rPr>
        <w:rFonts w:ascii="Arial" w:hAnsi="Arial"/>
        <w:color w:val="404040"/>
        <w:sz w:val="22"/>
      </w:rPr>
      <w:tblPr/>
      <w:tcPr>
        <w:shd w:val="clear" w:color="C1DAF8" w:fill="C1DAF8"/>
      </w:tcPr>
    </w:tblStylePr>
  </w:style>
  <w:style w:type="table" w:customStyle="1" w:styleId="GridTable4-Accent21">
    <w:name w:val="Grid Table 4 - Accent 21"/>
    <w:basedOn w:val="NormaleTabelle"/>
    <w:uiPriority w:val="59"/>
    <w:rsid w:val="0062351B"/>
    <w:tblPr>
      <w:tblStyleRowBandSize w:val="1"/>
      <w:tblStyleColBandSize w:val="1"/>
      <w:tblBorders>
        <w:top w:val="single" w:sz="4" w:space="0" w:color="BAD4EE"/>
        <w:left w:val="single" w:sz="4" w:space="0" w:color="BAD4EE"/>
        <w:bottom w:val="single" w:sz="4" w:space="0" w:color="BAD4EE"/>
        <w:right w:val="single" w:sz="4" w:space="0" w:color="BAD4EE"/>
        <w:insideH w:val="single" w:sz="4" w:space="0" w:color="BAD4EE"/>
        <w:insideV w:val="single" w:sz="4" w:space="0" w:color="BAD4EE"/>
      </w:tblBorders>
    </w:tblPr>
    <w:tblStylePr w:type="firstRow">
      <w:rPr>
        <w:rFonts w:ascii="Arial" w:hAnsi="Arial"/>
        <w:b/>
        <w:color w:val="FFFFFF"/>
        <w:sz w:val="22"/>
      </w:rPr>
      <w:tblPr/>
      <w:tcPr>
        <w:tcBorders>
          <w:top w:val="single" w:sz="4" w:space="0" w:color="B7D1ED"/>
          <w:left w:val="single" w:sz="4" w:space="0" w:color="B7D1ED"/>
          <w:bottom w:val="single" w:sz="4" w:space="0" w:color="B7D1ED"/>
          <w:right w:val="single" w:sz="4" w:space="0" w:color="B7D1ED"/>
        </w:tcBorders>
        <w:shd w:val="clear" w:color="B7D1ED" w:fill="B7D1ED"/>
      </w:tcPr>
    </w:tblStylePr>
    <w:tblStylePr w:type="lastRow">
      <w:rPr>
        <w:b/>
        <w:color w:val="404040"/>
      </w:rPr>
      <w:tblPr/>
      <w:tcPr>
        <w:tcBorders>
          <w:top w:val="single" w:sz="4" w:space="0" w:color="B7D1ED"/>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7F0F9" w:fill="E7F0F9"/>
      </w:tcPr>
    </w:tblStylePr>
    <w:tblStylePr w:type="band1Horz">
      <w:rPr>
        <w:rFonts w:ascii="Arial" w:hAnsi="Arial"/>
        <w:color w:val="404040"/>
        <w:sz w:val="22"/>
      </w:rPr>
      <w:tblPr/>
      <w:tcPr>
        <w:shd w:val="clear" w:color="E7F0F9" w:fill="E7F0F9"/>
      </w:tcPr>
    </w:tblStylePr>
  </w:style>
  <w:style w:type="table" w:customStyle="1" w:styleId="GridTable4-Accent31">
    <w:name w:val="Grid Table 4 - Accent 31"/>
    <w:basedOn w:val="NormaleTabelle"/>
    <w:uiPriority w:val="59"/>
    <w:rsid w:val="0062351B"/>
    <w:tblPr>
      <w:tblStyleRowBandSize w:val="1"/>
      <w:tblStyleColBandSize w:val="1"/>
      <w:tblBorders>
        <w:top w:val="single" w:sz="4" w:space="0" w:color="F8C67C"/>
        <w:left w:val="single" w:sz="4" w:space="0" w:color="F8C67C"/>
        <w:bottom w:val="single" w:sz="4" w:space="0" w:color="F8C67C"/>
        <w:right w:val="single" w:sz="4" w:space="0" w:color="F8C67C"/>
        <w:insideH w:val="single" w:sz="4" w:space="0" w:color="F8C67C"/>
        <w:insideV w:val="single" w:sz="4" w:space="0" w:color="F8C67C"/>
      </w:tblBorders>
    </w:tblPr>
    <w:tblStylePr w:type="firstRow">
      <w:rPr>
        <w:rFonts w:ascii="Arial" w:hAnsi="Arial"/>
        <w:b/>
        <w:color w:val="FFFFFF"/>
        <w:sz w:val="22"/>
      </w:rPr>
      <w:tblPr/>
      <w:tcPr>
        <w:tcBorders>
          <w:top w:val="single" w:sz="4" w:space="0" w:color="F49A19"/>
          <w:left w:val="single" w:sz="4" w:space="0" w:color="F49A19"/>
          <w:bottom w:val="single" w:sz="4" w:space="0" w:color="F49A19"/>
          <w:right w:val="single" w:sz="4" w:space="0" w:color="F49A19"/>
        </w:tcBorders>
        <w:shd w:val="clear" w:color="F49A19" w:fill="F49A19"/>
      </w:tcPr>
    </w:tblStylePr>
    <w:tblStylePr w:type="lastRow">
      <w:rPr>
        <w:b/>
        <w:color w:val="404040"/>
      </w:rPr>
      <w:tblPr/>
      <w:tcPr>
        <w:tcBorders>
          <w:top w:val="single" w:sz="4" w:space="0" w:color="F49A19"/>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CEACF" w:fill="FCEACF"/>
      </w:tcPr>
    </w:tblStylePr>
    <w:tblStylePr w:type="band1Horz">
      <w:rPr>
        <w:rFonts w:ascii="Arial" w:hAnsi="Arial"/>
        <w:color w:val="404040"/>
        <w:sz w:val="22"/>
      </w:rPr>
      <w:tblPr/>
      <w:tcPr>
        <w:shd w:val="clear" w:color="FCEACF" w:fill="FCEACF"/>
      </w:tcPr>
    </w:tblStylePr>
  </w:style>
  <w:style w:type="table" w:customStyle="1" w:styleId="GridTable4-Accent41">
    <w:name w:val="Grid Table 4 - Accent 41"/>
    <w:basedOn w:val="NormaleTabelle"/>
    <w:uiPriority w:val="59"/>
    <w:rsid w:val="0062351B"/>
    <w:tblPr>
      <w:tblStyleRowBandSize w:val="1"/>
      <w:tblStyleColBandSize w:val="1"/>
      <w:tblBorders>
        <w:top w:val="single" w:sz="4" w:space="0" w:color="FBFBFA"/>
        <w:left w:val="single" w:sz="4" w:space="0" w:color="FBFBFA"/>
        <w:bottom w:val="single" w:sz="4" w:space="0" w:color="FBFBFA"/>
        <w:right w:val="single" w:sz="4" w:space="0" w:color="FBFBFA"/>
        <w:insideH w:val="single" w:sz="4" w:space="0" w:color="FBFBFA"/>
        <w:insideV w:val="single" w:sz="4" w:space="0" w:color="FBFBFA"/>
      </w:tblBorders>
    </w:tblPr>
    <w:tblStylePr w:type="firstRow">
      <w:rPr>
        <w:rFonts w:ascii="Arial" w:hAnsi="Arial"/>
        <w:b/>
        <w:color w:val="FFFFFF"/>
        <w:sz w:val="22"/>
      </w:rPr>
      <w:tblPr/>
      <w:tcPr>
        <w:tcBorders>
          <w:top w:val="single" w:sz="4" w:space="0" w:color="FAFAFA"/>
          <w:left w:val="single" w:sz="4" w:space="0" w:color="FAFAFA"/>
          <w:bottom w:val="single" w:sz="4" w:space="0" w:color="FAFAFA"/>
          <w:right w:val="single" w:sz="4" w:space="0" w:color="FAFAFA"/>
        </w:tcBorders>
        <w:shd w:val="clear" w:color="FAFAFA" w:fill="FAFAFA"/>
      </w:tcPr>
    </w:tblStylePr>
    <w:tblStylePr w:type="lastRow">
      <w:rPr>
        <w:b/>
        <w:color w:val="404040"/>
      </w:rPr>
      <w:tblPr/>
      <w:tcPr>
        <w:tcBorders>
          <w:top w:val="single" w:sz="4" w:space="0" w:color="FAFAF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FDFD" w:fill="FDFDFD"/>
      </w:tcPr>
    </w:tblStylePr>
    <w:tblStylePr w:type="band1Horz">
      <w:rPr>
        <w:rFonts w:ascii="Arial" w:hAnsi="Arial"/>
        <w:color w:val="404040"/>
        <w:sz w:val="22"/>
      </w:rPr>
      <w:tblPr/>
      <w:tcPr>
        <w:shd w:val="clear" w:color="FDFDFD" w:fill="FDFDFD"/>
      </w:tcPr>
    </w:tblStylePr>
  </w:style>
  <w:style w:type="table" w:customStyle="1" w:styleId="GridTable4-Accent51">
    <w:name w:val="Grid Table 4 - Accent 51"/>
    <w:basedOn w:val="NormaleTabelle"/>
    <w:uiPriority w:val="59"/>
    <w:rsid w:val="0062351B"/>
    <w:tblPr>
      <w:tblStyleRowBandSize w:val="1"/>
      <w:tblStyleColBandSize w:val="1"/>
      <w:tblBorders>
        <w:top w:val="single" w:sz="4" w:space="0" w:color="8B8B8B"/>
        <w:left w:val="single" w:sz="4" w:space="0" w:color="8B8B8B"/>
        <w:bottom w:val="single" w:sz="4" w:space="0" w:color="8B8B8B"/>
        <w:right w:val="single" w:sz="4" w:space="0" w:color="8B8B8B"/>
        <w:insideH w:val="single" w:sz="4" w:space="0" w:color="8B8B8B"/>
        <w:insideV w:val="single" w:sz="4" w:space="0" w:color="8B8B8B"/>
      </w:tblBorders>
    </w:tblPr>
    <w:tblStylePr w:type="firstRow">
      <w:rPr>
        <w:rFonts w:ascii="Arial" w:hAnsi="Arial"/>
        <w:b/>
        <w:color w:val="FFFFFF"/>
        <w:sz w:val="22"/>
      </w:rPr>
      <w:tblPr/>
      <w:tcPr>
        <w:tcBorders>
          <w:top w:val="single" w:sz="4" w:space="0" w:color="333333"/>
          <w:left w:val="single" w:sz="4" w:space="0" w:color="333333"/>
          <w:bottom w:val="single" w:sz="4" w:space="0" w:color="333333"/>
          <w:right w:val="single" w:sz="4" w:space="0" w:color="333333"/>
        </w:tcBorders>
        <w:shd w:val="clear" w:color="333333" w:fill="333333"/>
      </w:tcPr>
    </w:tblStylePr>
    <w:tblStylePr w:type="lastRow">
      <w:rPr>
        <w:b/>
        <w:color w:val="404040"/>
      </w:rPr>
      <w:tblPr/>
      <w:tcPr>
        <w:tcBorders>
          <w:top w:val="single" w:sz="4" w:space="0" w:color="333333"/>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D5D5" w:fill="D5D5D5"/>
      </w:tcPr>
    </w:tblStylePr>
    <w:tblStylePr w:type="band1Horz">
      <w:rPr>
        <w:rFonts w:ascii="Arial" w:hAnsi="Arial"/>
        <w:color w:val="404040"/>
        <w:sz w:val="22"/>
      </w:rPr>
      <w:tblPr/>
      <w:tcPr>
        <w:shd w:val="clear" w:color="D5D5D5" w:fill="D5D5D5"/>
      </w:tcPr>
    </w:tblStylePr>
  </w:style>
  <w:style w:type="table" w:customStyle="1" w:styleId="GridTable4-Accent61">
    <w:name w:val="Grid Table 4 - Accent 61"/>
    <w:basedOn w:val="NormaleTabelle"/>
    <w:uiPriority w:val="59"/>
    <w:rsid w:val="0062351B"/>
    <w:tblPr>
      <w:tblStyleRowBandSize w:val="1"/>
      <w:tblStyleColBandSize w:val="1"/>
      <w:tblBorders>
        <w:top w:val="single" w:sz="4" w:space="0" w:color="F8F8F8"/>
        <w:left w:val="single" w:sz="4" w:space="0" w:color="F8F8F8"/>
        <w:bottom w:val="single" w:sz="4" w:space="0" w:color="F8F8F8"/>
        <w:right w:val="single" w:sz="4" w:space="0" w:color="F8F8F8"/>
        <w:insideH w:val="single" w:sz="4" w:space="0" w:color="F8F8F8"/>
        <w:insideV w:val="single" w:sz="4" w:space="0" w:color="F8F8F8"/>
      </w:tblBorders>
    </w:tblPr>
    <w:tblStylePr w:type="firstRow">
      <w:rPr>
        <w:rFonts w:ascii="Arial" w:hAnsi="Arial"/>
        <w:b/>
        <w:color w:val="FFFFFF"/>
        <w:sz w:val="22"/>
      </w:rPr>
      <w:tblPr/>
      <w:tcPr>
        <w:tcBorders>
          <w:top w:val="single" w:sz="4" w:space="0" w:color="F4F4F3"/>
          <w:left w:val="single" w:sz="4" w:space="0" w:color="F4F4F3"/>
          <w:bottom w:val="single" w:sz="4" w:space="0" w:color="F4F4F3"/>
          <w:right w:val="single" w:sz="4" w:space="0" w:color="F4F4F3"/>
        </w:tcBorders>
        <w:shd w:val="clear" w:color="F4F4F3" w:fill="F4F4F3"/>
      </w:tcPr>
    </w:tblStylePr>
    <w:tblStylePr w:type="lastRow">
      <w:rPr>
        <w:b/>
        <w:color w:val="404040"/>
      </w:rPr>
      <w:tblPr/>
      <w:tcPr>
        <w:tcBorders>
          <w:top w:val="single" w:sz="4" w:space="0" w:color="F4F4F3"/>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CFCFC" w:fill="FCFCFC"/>
      </w:tcPr>
    </w:tblStylePr>
    <w:tblStylePr w:type="band1Horz">
      <w:rPr>
        <w:rFonts w:ascii="Arial" w:hAnsi="Arial"/>
        <w:color w:val="404040"/>
        <w:sz w:val="22"/>
      </w:rPr>
      <w:tblPr/>
      <w:tcPr>
        <w:shd w:val="clear" w:color="FCFCFC" w:fill="FCFCFC"/>
      </w:tcPr>
    </w:tblStylePr>
  </w:style>
  <w:style w:type="table" w:customStyle="1" w:styleId="Gitternetztabelle5dunkel1">
    <w:name w:val="Gitternetztabelle 5 dunkel1"/>
    <w:basedOn w:val="NormaleTabelle"/>
    <w:uiPriority w:val="99"/>
    <w:rsid w:val="0062351B"/>
    <w:tblPr>
      <w:tblStyleRowBandSize w:val="1"/>
      <w:tblStyleColBandSize w:val="1"/>
      <w:tblBorders>
        <w:top w:val="single" w:sz="4" w:space="0" w:color="FEFFFF"/>
        <w:left w:val="single" w:sz="4" w:space="0" w:color="FEFFFF"/>
        <w:bottom w:val="single" w:sz="4" w:space="0" w:color="FEFFFF"/>
        <w:right w:val="single" w:sz="4" w:space="0" w:color="FEFFFF"/>
        <w:insideH w:val="single" w:sz="4" w:space="0" w:color="FEFFFF"/>
        <w:insideV w:val="single" w:sz="4" w:space="0" w:color="FEFFFF"/>
      </w:tblBorders>
      <w:shd w:val="clear" w:color="CBCBCB" w:fill="CBCBCB"/>
    </w:tblPr>
    <w:tblStylePr w:type="firstRow">
      <w:rPr>
        <w:rFonts w:ascii="Arial" w:hAnsi="Arial"/>
        <w:b/>
        <w:color w:val="FFFFFF"/>
        <w:sz w:val="22"/>
      </w:rPr>
      <w:tblPr/>
      <w:tcPr>
        <w:shd w:val="clear" w:color="333333" w:fill="333333"/>
      </w:tcPr>
    </w:tblStylePr>
    <w:tblStylePr w:type="lastRow">
      <w:rPr>
        <w:rFonts w:ascii="Arial" w:hAnsi="Arial"/>
        <w:b/>
        <w:color w:val="FFFFFF"/>
        <w:sz w:val="22"/>
      </w:rPr>
      <w:tblPr/>
      <w:tcPr>
        <w:tcBorders>
          <w:top w:val="single" w:sz="4" w:space="0" w:color="FEFFFF"/>
        </w:tcBorders>
        <w:shd w:val="clear" w:color="333333" w:fill="333333"/>
      </w:tcPr>
    </w:tblStylePr>
    <w:tblStylePr w:type="firstCol">
      <w:rPr>
        <w:rFonts w:ascii="Arial" w:hAnsi="Arial"/>
        <w:b/>
        <w:color w:val="FFFFFF"/>
        <w:sz w:val="22"/>
      </w:rPr>
      <w:tblPr/>
      <w:tcPr>
        <w:shd w:val="clear" w:color="333333" w:fill="333333"/>
      </w:tcPr>
    </w:tblStylePr>
    <w:tblStylePr w:type="lastCol">
      <w:rPr>
        <w:rFonts w:ascii="Arial" w:hAnsi="Arial"/>
        <w:b/>
        <w:color w:val="FFFFFF"/>
        <w:sz w:val="22"/>
      </w:rPr>
      <w:tblPr/>
      <w:tcPr>
        <w:shd w:val="clear" w:color="333333" w:fill="333333"/>
      </w:tcPr>
    </w:tblStylePr>
    <w:tblStylePr w:type="band1Vert">
      <w:tblPr/>
      <w:tcPr>
        <w:shd w:val="clear" w:color="A1A1A1" w:fill="A1A1A1"/>
      </w:tcPr>
    </w:tblStylePr>
    <w:tblStylePr w:type="band1Horz">
      <w:tblPr/>
      <w:tcPr>
        <w:shd w:val="clear" w:color="A1A1A1" w:fill="A1A1A1"/>
      </w:tcPr>
    </w:tblStylePr>
  </w:style>
  <w:style w:type="table" w:customStyle="1" w:styleId="GridTable5Dark-Accent11">
    <w:name w:val="Grid Table 5 Dark - Accent 11"/>
    <w:basedOn w:val="NormaleTabelle"/>
    <w:uiPriority w:val="99"/>
    <w:rsid w:val="002C1199"/>
    <w:tblPr>
      <w:tblStyleRowBandSize w:val="1"/>
      <w:tblStyleColBandSize w:val="1"/>
      <w:tblBorders>
        <w:top w:val="single" w:sz="4" w:space="0" w:color="FEFFFF"/>
        <w:left w:val="single" w:sz="4" w:space="0" w:color="FEFFFF"/>
        <w:bottom w:val="single" w:sz="4" w:space="0" w:color="FEFFFF"/>
        <w:right w:val="single" w:sz="4" w:space="0" w:color="FEFFFF"/>
        <w:insideH w:val="single" w:sz="4" w:space="0" w:color="FEFFFF"/>
        <w:insideV w:val="single" w:sz="4" w:space="0" w:color="FEFFFF"/>
      </w:tblBorders>
      <w:shd w:val="clear" w:color="BED9F8" w:fill="BED9F8"/>
    </w:tblPr>
    <w:tblStylePr w:type="firstRow">
      <w:rPr>
        <w:rFonts w:ascii="Arial" w:hAnsi="Arial"/>
        <w:b/>
        <w:color w:val="FFFFFF"/>
        <w:sz w:val="22"/>
      </w:rPr>
      <w:tblPr/>
      <w:tcPr>
        <w:shd w:val="clear" w:color="104C91" w:fill="104C91"/>
      </w:tcPr>
    </w:tblStylePr>
    <w:tblStylePr w:type="lastRow">
      <w:rPr>
        <w:rFonts w:ascii="Arial" w:hAnsi="Arial"/>
        <w:b/>
        <w:color w:val="FFFFFF"/>
        <w:sz w:val="22"/>
      </w:rPr>
      <w:tblPr/>
      <w:tcPr>
        <w:tcBorders>
          <w:top w:val="single" w:sz="4" w:space="0" w:color="FEFFFF"/>
        </w:tcBorders>
        <w:shd w:val="clear" w:color="104C91" w:fill="104C91"/>
      </w:tcPr>
    </w:tblStylePr>
    <w:tblStylePr w:type="firstCol">
      <w:rPr>
        <w:rFonts w:ascii="Arial" w:hAnsi="Arial"/>
        <w:b/>
        <w:color w:val="FFFFFF"/>
        <w:sz w:val="22"/>
      </w:rPr>
      <w:tblPr/>
      <w:tcPr>
        <w:shd w:val="clear" w:color="104C91" w:fill="104C91"/>
      </w:tcPr>
    </w:tblStylePr>
    <w:tblStylePr w:type="lastCol">
      <w:rPr>
        <w:rFonts w:ascii="Arial" w:hAnsi="Arial"/>
        <w:b/>
        <w:color w:val="FFFFFF"/>
        <w:sz w:val="22"/>
      </w:rPr>
      <w:tblPr/>
      <w:tcPr>
        <w:shd w:val="clear" w:color="104C91" w:fill="104C91"/>
      </w:tcPr>
    </w:tblStylePr>
    <w:tblStylePr w:type="band1Vert">
      <w:tblPr/>
      <w:tcPr>
        <w:shd w:val="clear" w:color="6EAAEF" w:fill="6EAAEF"/>
      </w:tcPr>
    </w:tblStylePr>
    <w:tblStylePr w:type="band1Horz">
      <w:tblPr/>
      <w:tcPr>
        <w:shd w:val="clear" w:color="6EAAEF" w:fill="6EAAEF"/>
      </w:tcPr>
    </w:tblStylePr>
  </w:style>
  <w:style w:type="table" w:customStyle="1" w:styleId="GridTable5Dark-Accent21">
    <w:name w:val="Grid Table 5 Dark - Accent 21"/>
    <w:basedOn w:val="NormaleTabelle"/>
    <w:uiPriority w:val="99"/>
    <w:rsid w:val="0062351B"/>
    <w:tblPr>
      <w:tblStyleRowBandSize w:val="1"/>
      <w:tblStyleColBandSize w:val="1"/>
      <w:tblBorders>
        <w:top w:val="single" w:sz="4" w:space="0" w:color="FEFFFF"/>
        <w:left w:val="single" w:sz="4" w:space="0" w:color="FEFFFF"/>
        <w:bottom w:val="single" w:sz="4" w:space="0" w:color="FEFFFF"/>
        <w:right w:val="single" w:sz="4" w:space="0" w:color="FEFFFF"/>
        <w:insideH w:val="single" w:sz="4" w:space="0" w:color="FEFFFF"/>
        <w:insideV w:val="single" w:sz="4" w:space="0" w:color="FEFFFF"/>
      </w:tblBorders>
      <w:shd w:val="clear" w:color="E7F0F9" w:fill="E7F0F9"/>
    </w:tblPr>
    <w:tblStylePr w:type="firstRow">
      <w:rPr>
        <w:rFonts w:ascii="Arial" w:hAnsi="Arial"/>
        <w:b/>
        <w:color w:val="FFFFFF"/>
        <w:sz w:val="22"/>
      </w:rPr>
      <w:tblPr/>
      <w:tcPr>
        <w:shd w:val="clear" w:color="86B3E1" w:fill="86B3E1"/>
      </w:tcPr>
    </w:tblStylePr>
    <w:tblStylePr w:type="lastRow">
      <w:rPr>
        <w:rFonts w:ascii="Arial" w:hAnsi="Arial"/>
        <w:b/>
        <w:color w:val="FFFFFF"/>
        <w:sz w:val="22"/>
      </w:rPr>
      <w:tblPr/>
      <w:tcPr>
        <w:tcBorders>
          <w:top w:val="single" w:sz="4" w:space="0" w:color="FEFFFF"/>
        </w:tcBorders>
        <w:shd w:val="clear" w:color="86B3E1" w:fill="86B3E1"/>
      </w:tcPr>
    </w:tblStylePr>
    <w:tblStylePr w:type="firstCol">
      <w:rPr>
        <w:rFonts w:ascii="Arial" w:hAnsi="Arial"/>
        <w:b/>
        <w:color w:val="FFFFFF"/>
        <w:sz w:val="22"/>
      </w:rPr>
      <w:tblPr/>
      <w:tcPr>
        <w:shd w:val="clear" w:color="86B3E1" w:fill="86B3E1"/>
      </w:tcPr>
    </w:tblStylePr>
    <w:tblStylePr w:type="lastCol">
      <w:rPr>
        <w:rFonts w:ascii="Arial" w:hAnsi="Arial"/>
        <w:b/>
        <w:color w:val="FFFFFF"/>
        <w:sz w:val="22"/>
      </w:rPr>
      <w:tblPr/>
      <w:tcPr>
        <w:shd w:val="clear" w:color="86B3E1" w:fill="86B3E1"/>
      </w:tcPr>
    </w:tblStylePr>
    <w:tblStylePr w:type="band1Vert">
      <w:tblPr/>
      <w:tcPr>
        <w:shd w:val="clear" w:color="C7DCF1" w:fill="C7DCF1"/>
      </w:tcPr>
    </w:tblStylePr>
    <w:tblStylePr w:type="band1Horz">
      <w:tblPr/>
      <w:tcPr>
        <w:shd w:val="clear" w:color="C7DCF1" w:fill="C7DCF1"/>
      </w:tcPr>
    </w:tblStylePr>
  </w:style>
  <w:style w:type="table" w:customStyle="1" w:styleId="GridTable5Dark-Accent31">
    <w:name w:val="Grid Table 5 Dark - Accent 31"/>
    <w:basedOn w:val="NormaleTabelle"/>
    <w:uiPriority w:val="99"/>
    <w:rsid w:val="0062351B"/>
    <w:tblPr>
      <w:tblStyleRowBandSize w:val="1"/>
      <w:tblStyleColBandSize w:val="1"/>
      <w:tblBorders>
        <w:top w:val="single" w:sz="4" w:space="0" w:color="FEFFFF"/>
        <w:left w:val="single" w:sz="4" w:space="0" w:color="FEFFFF"/>
        <w:bottom w:val="single" w:sz="4" w:space="0" w:color="FEFFFF"/>
        <w:right w:val="single" w:sz="4" w:space="0" w:color="FEFFFF"/>
        <w:insideH w:val="single" w:sz="4" w:space="0" w:color="FEFFFF"/>
        <w:insideV w:val="single" w:sz="4" w:space="0" w:color="FEFFFF"/>
      </w:tblBorders>
      <w:shd w:val="clear" w:color="FCEACF" w:fill="FCEACF"/>
    </w:tblPr>
    <w:tblStylePr w:type="firstRow">
      <w:rPr>
        <w:rFonts w:ascii="Arial" w:hAnsi="Arial"/>
        <w:b/>
        <w:color w:val="FFFFFF"/>
        <w:sz w:val="22"/>
      </w:rPr>
      <w:tblPr/>
      <w:tcPr>
        <w:shd w:val="clear" w:color="F49B19" w:fill="F49B19"/>
      </w:tcPr>
    </w:tblStylePr>
    <w:tblStylePr w:type="lastRow">
      <w:rPr>
        <w:rFonts w:ascii="Arial" w:hAnsi="Arial"/>
        <w:b/>
        <w:color w:val="FFFFFF"/>
        <w:sz w:val="22"/>
      </w:rPr>
      <w:tblPr/>
      <w:tcPr>
        <w:tcBorders>
          <w:top w:val="single" w:sz="4" w:space="0" w:color="FEFFFF"/>
        </w:tcBorders>
        <w:shd w:val="clear" w:color="F49B19" w:fill="F49B19"/>
      </w:tcPr>
    </w:tblStylePr>
    <w:tblStylePr w:type="firstCol">
      <w:rPr>
        <w:rFonts w:ascii="Arial" w:hAnsi="Arial"/>
        <w:b/>
        <w:color w:val="FFFFFF"/>
        <w:sz w:val="22"/>
      </w:rPr>
      <w:tblPr/>
      <w:tcPr>
        <w:shd w:val="clear" w:color="F49B19" w:fill="F49B19"/>
      </w:tcPr>
    </w:tblStylePr>
    <w:tblStylePr w:type="lastCol">
      <w:rPr>
        <w:rFonts w:ascii="Arial" w:hAnsi="Arial"/>
        <w:b/>
        <w:color w:val="FFFFFF"/>
        <w:sz w:val="22"/>
      </w:rPr>
      <w:tblPr/>
      <w:tcPr>
        <w:shd w:val="clear" w:color="F49B19" w:fill="F49B19"/>
      </w:tcPr>
    </w:tblStylePr>
    <w:tblStylePr w:type="band1Vert">
      <w:tblPr/>
      <w:tcPr>
        <w:shd w:val="clear" w:color="FAD095" w:fill="FAD095"/>
      </w:tcPr>
    </w:tblStylePr>
    <w:tblStylePr w:type="band1Horz">
      <w:tblPr/>
      <w:tcPr>
        <w:shd w:val="clear" w:color="FAD095" w:fill="FAD095"/>
      </w:tcPr>
    </w:tblStylePr>
  </w:style>
  <w:style w:type="table" w:customStyle="1" w:styleId="GridTable5Dark-Accent41">
    <w:name w:val="Grid Table 5 Dark - Accent 41"/>
    <w:basedOn w:val="NormaleTabelle"/>
    <w:uiPriority w:val="99"/>
    <w:rsid w:val="002C1199"/>
    <w:tblPr>
      <w:tblStyleRowBandSize w:val="1"/>
      <w:tblStyleColBandSize w:val="1"/>
      <w:tblBorders>
        <w:top w:val="single" w:sz="4" w:space="0" w:color="FEFFFF"/>
        <w:left w:val="single" w:sz="4" w:space="0" w:color="FEFFFF"/>
        <w:bottom w:val="single" w:sz="4" w:space="0" w:color="FEFFFF"/>
        <w:right w:val="single" w:sz="4" w:space="0" w:color="FEFFFF"/>
        <w:insideH w:val="single" w:sz="4" w:space="0" w:color="FEFFFF"/>
        <w:insideV w:val="single" w:sz="4" w:space="0" w:color="FEFFFF"/>
      </w:tblBorders>
      <w:shd w:val="clear" w:color="FDFDFD" w:fill="FDFDFD"/>
    </w:tblPr>
    <w:tblStylePr w:type="firstRow">
      <w:rPr>
        <w:rFonts w:ascii="Arial" w:hAnsi="Arial"/>
        <w:b/>
        <w:color w:val="FFFFFF"/>
        <w:sz w:val="22"/>
      </w:rPr>
      <w:tblPr/>
      <w:tcPr>
        <w:shd w:val="clear" w:color="F8F8F7" w:fill="F8F8F7"/>
      </w:tcPr>
    </w:tblStylePr>
    <w:tblStylePr w:type="lastRow">
      <w:rPr>
        <w:rFonts w:ascii="Arial" w:hAnsi="Arial"/>
        <w:b/>
        <w:color w:val="FFFFFF"/>
        <w:sz w:val="22"/>
      </w:rPr>
      <w:tblPr/>
      <w:tcPr>
        <w:tcBorders>
          <w:top w:val="single" w:sz="4" w:space="0" w:color="FEFFFF"/>
        </w:tcBorders>
        <w:shd w:val="clear" w:color="F8F8F7" w:fill="F8F8F7"/>
      </w:tcPr>
    </w:tblStylePr>
    <w:tblStylePr w:type="firstCol">
      <w:rPr>
        <w:rFonts w:ascii="Arial" w:hAnsi="Arial"/>
        <w:b/>
        <w:color w:val="FFFFFF"/>
        <w:sz w:val="22"/>
      </w:rPr>
      <w:tblPr/>
      <w:tcPr>
        <w:shd w:val="clear" w:color="F8F8F7" w:fill="F8F8F7"/>
      </w:tcPr>
    </w:tblStylePr>
    <w:tblStylePr w:type="lastCol">
      <w:rPr>
        <w:rFonts w:ascii="Arial" w:hAnsi="Arial"/>
        <w:b/>
        <w:color w:val="FFFFFF"/>
        <w:sz w:val="22"/>
      </w:rPr>
      <w:tblPr/>
      <w:tcPr>
        <w:shd w:val="clear" w:color="F8F8F7" w:fill="F8F8F7"/>
      </w:tcPr>
    </w:tblStylePr>
    <w:tblStylePr w:type="band1Vert">
      <w:tblPr/>
      <w:tcPr>
        <w:shd w:val="clear" w:color="FBFBFB" w:fill="FBFBFB"/>
      </w:tcPr>
    </w:tblStylePr>
    <w:tblStylePr w:type="band1Horz">
      <w:tblPr/>
      <w:tcPr>
        <w:shd w:val="clear" w:color="FBFBFB" w:fill="FBFBFB"/>
      </w:tcPr>
    </w:tblStylePr>
  </w:style>
  <w:style w:type="table" w:customStyle="1" w:styleId="GridTable5Dark-Accent51">
    <w:name w:val="Grid Table 5 Dark - Accent 51"/>
    <w:basedOn w:val="NormaleTabelle"/>
    <w:uiPriority w:val="99"/>
    <w:rsid w:val="0062351B"/>
    <w:tblPr>
      <w:tblStyleRowBandSize w:val="1"/>
      <w:tblStyleColBandSize w:val="1"/>
      <w:tblBorders>
        <w:top w:val="single" w:sz="4" w:space="0" w:color="FEFFFF"/>
        <w:left w:val="single" w:sz="4" w:space="0" w:color="FEFFFF"/>
        <w:bottom w:val="single" w:sz="4" w:space="0" w:color="FEFFFF"/>
        <w:right w:val="single" w:sz="4" w:space="0" w:color="FEFFFF"/>
        <w:insideH w:val="single" w:sz="4" w:space="0" w:color="FEFFFF"/>
        <w:insideV w:val="single" w:sz="4" w:space="0" w:color="FEFFFF"/>
      </w:tblBorders>
      <w:shd w:val="clear" w:color="D5D5D5" w:fill="D5D5D5"/>
    </w:tblPr>
    <w:tblStylePr w:type="firstRow">
      <w:rPr>
        <w:rFonts w:ascii="Arial" w:hAnsi="Arial"/>
        <w:b/>
        <w:color w:val="FFFFFF"/>
        <w:sz w:val="22"/>
      </w:rPr>
      <w:tblPr/>
      <w:tcPr>
        <w:shd w:val="clear" w:color="333333" w:fill="333333"/>
      </w:tcPr>
    </w:tblStylePr>
    <w:tblStylePr w:type="lastRow">
      <w:rPr>
        <w:rFonts w:ascii="Arial" w:hAnsi="Arial"/>
        <w:b/>
        <w:color w:val="FFFFFF"/>
        <w:sz w:val="22"/>
      </w:rPr>
      <w:tblPr/>
      <w:tcPr>
        <w:tcBorders>
          <w:top w:val="single" w:sz="4" w:space="0" w:color="FEFFFF"/>
        </w:tcBorders>
        <w:shd w:val="clear" w:color="333333" w:fill="333333"/>
      </w:tcPr>
    </w:tblStylePr>
    <w:tblStylePr w:type="firstCol">
      <w:rPr>
        <w:rFonts w:ascii="Arial" w:hAnsi="Arial"/>
        <w:b/>
        <w:color w:val="FFFFFF"/>
        <w:sz w:val="22"/>
      </w:rPr>
      <w:tblPr/>
      <w:tcPr>
        <w:shd w:val="clear" w:color="333333" w:fill="333333"/>
      </w:tcPr>
    </w:tblStylePr>
    <w:tblStylePr w:type="lastCol">
      <w:rPr>
        <w:rFonts w:ascii="Arial" w:hAnsi="Arial"/>
        <w:b/>
        <w:color w:val="FFFFFF"/>
        <w:sz w:val="22"/>
      </w:rPr>
      <w:tblPr/>
      <w:tcPr>
        <w:shd w:val="clear" w:color="333333" w:fill="333333"/>
      </w:tcPr>
    </w:tblStylePr>
    <w:tblStylePr w:type="band1Vert">
      <w:tblPr/>
      <w:tcPr>
        <w:shd w:val="clear" w:color="A1A1A1" w:fill="A1A1A1"/>
      </w:tcPr>
    </w:tblStylePr>
    <w:tblStylePr w:type="band1Horz">
      <w:tblPr/>
      <w:tcPr>
        <w:shd w:val="clear" w:color="A1A1A1" w:fill="A1A1A1"/>
      </w:tcPr>
    </w:tblStylePr>
  </w:style>
  <w:style w:type="table" w:customStyle="1" w:styleId="GridTable5Dark-Accent61">
    <w:name w:val="Grid Table 5 Dark - Accent 61"/>
    <w:basedOn w:val="NormaleTabelle"/>
    <w:uiPriority w:val="99"/>
    <w:rsid w:val="0062351B"/>
    <w:tblPr>
      <w:tblStyleRowBandSize w:val="1"/>
      <w:tblStyleColBandSize w:val="1"/>
      <w:tblBorders>
        <w:top w:val="single" w:sz="4" w:space="0" w:color="FEFFFF"/>
        <w:left w:val="single" w:sz="4" w:space="0" w:color="FEFFFF"/>
        <w:bottom w:val="single" w:sz="4" w:space="0" w:color="FEFFFF"/>
        <w:right w:val="single" w:sz="4" w:space="0" w:color="FEFFFF"/>
        <w:insideH w:val="single" w:sz="4" w:space="0" w:color="FEFFFF"/>
        <w:insideV w:val="single" w:sz="4" w:space="0" w:color="FEFFFF"/>
      </w:tblBorders>
      <w:shd w:val="clear" w:color="FCFCFC" w:fill="FCFCFC"/>
    </w:tblPr>
    <w:tblStylePr w:type="firstRow">
      <w:rPr>
        <w:rFonts w:ascii="Arial" w:hAnsi="Arial"/>
        <w:b/>
        <w:color w:val="FFFFFF"/>
        <w:sz w:val="22"/>
      </w:rPr>
      <w:tblPr/>
      <w:tcPr>
        <w:shd w:val="clear" w:color="F4F4F3" w:fill="F4F4F3"/>
      </w:tcPr>
    </w:tblStylePr>
    <w:tblStylePr w:type="lastRow">
      <w:rPr>
        <w:rFonts w:ascii="Arial" w:hAnsi="Arial"/>
        <w:b/>
        <w:color w:val="FFFFFF"/>
        <w:sz w:val="22"/>
      </w:rPr>
      <w:tblPr/>
      <w:tcPr>
        <w:tcBorders>
          <w:top w:val="single" w:sz="4" w:space="0" w:color="FEFFFF"/>
        </w:tcBorders>
        <w:shd w:val="clear" w:color="F4F4F3" w:fill="F4F4F3"/>
      </w:tcPr>
    </w:tblStylePr>
    <w:tblStylePr w:type="firstCol">
      <w:rPr>
        <w:rFonts w:ascii="Arial" w:hAnsi="Arial"/>
        <w:b/>
        <w:color w:val="FFFFFF"/>
        <w:sz w:val="22"/>
      </w:rPr>
      <w:tblPr/>
      <w:tcPr>
        <w:shd w:val="clear" w:color="F4F4F3" w:fill="F4F4F3"/>
      </w:tcPr>
    </w:tblStylePr>
    <w:tblStylePr w:type="lastCol">
      <w:rPr>
        <w:rFonts w:ascii="Arial" w:hAnsi="Arial"/>
        <w:b/>
        <w:color w:val="FFFFFF"/>
        <w:sz w:val="22"/>
      </w:rPr>
      <w:tblPr/>
      <w:tcPr>
        <w:shd w:val="clear" w:color="F4F4F3" w:fill="F4F4F3"/>
      </w:tcPr>
    </w:tblStylePr>
    <w:tblStylePr w:type="band1Vert">
      <w:tblPr/>
      <w:tcPr>
        <w:shd w:val="clear" w:color="FAFAF9" w:fill="FAFAF9"/>
      </w:tcPr>
    </w:tblStylePr>
    <w:tblStylePr w:type="band1Horz">
      <w:tblPr/>
      <w:tcPr>
        <w:shd w:val="clear" w:color="FAFAF9" w:fill="FAFAF9"/>
      </w:tcPr>
    </w:tblStylePr>
  </w:style>
  <w:style w:type="table" w:customStyle="1" w:styleId="Gritternetztabelle6farbig1">
    <w:name w:val="Gritternetztabelle 6 farbig1"/>
    <w:basedOn w:val="NormaleTabelle"/>
    <w:uiPriority w:val="99"/>
    <w:rsid w:val="0062351B"/>
    <w:tblPr>
      <w:tblStyleRowBandSize w:val="1"/>
      <w:tblStyleColBandSize w:val="1"/>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989898"/>
      </w:rPr>
      <w:tblPr/>
      <w:tcPr>
        <w:tcBorders>
          <w:bottom w:val="single" w:sz="12" w:space="0" w:color="989898"/>
        </w:tcBorders>
      </w:tcPr>
    </w:tblStylePr>
    <w:tblStylePr w:type="lastRow">
      <w:rPr>
        <w:b/>
        <w:color w:val="989898"/>
      </w:rPr>
    </w:tblStylePr>
    <w:tblStylePr w:type="firstCol">
      <w:rPr>
        <w:b/>
        <w:color w:val="989898"/>
      </w:rPr>
    </w:tblStylePr>
    <w:tblStylePr w:type="lastCol">
      <w:rPr>
        <w:b/>
        <w:color w:val="989898"/>
      </w:rPr>
    </w:tblStylePr>
    <w:tblStylePr w:type="band1Vert">
      <w:tblPr/>
      <w:tcPr>
        <w:shd w:val="clear" w:color="D5D5D5" w:fill="D5D5D5"/>
      </w:tcPr>
    </w:tblStylePr>
    <w:tblStylePr w:type="band1Horz">
      <w:rPr>
        <w:rFonts w:ascii="Arial" w:hAnsi="Arial"/>
        <w:color w:val="989898"/>
        <w:sz w:val="22"/>
      </w:rPr>
      <w:tblPr/>
      <w:tcPr>
        <w:shd w:val="clear" w:color="D5D5D5" w:fill="D5D5D5"/>
      </w:tcPr>
    </w:tblStylePr>
    <w:tblStylePr w:type="band2Horz">
      <w:rPr>
        <w:rFonts w:ascii="Arial" w:hAnsi="Arial"/>
        <w:color w:val="989898"/>
        <w:sz w:val="22"/>
      </w:rPr>
    </w:tblStylePr>
  </w:style>
  <w:style w:type="table" w:customStyle="1" w:styleId="GridTable6Colorful-Accent11">
    <w:name w:val="Grid Table 6 Colorful - Accent 11"/>
    <w:basedOn w:val="NormaleTabelle"/>
    <w:uiPriority w:val="99"/>
    <w:rsid w:val="0062351B"/>
    <w:tblPr>
      <w:tblStyleRowBandSize w:val="1"/>
      <w:tblStyleColBandSize w:val="1"/>
      <w:tblBorders>
        <w:top w:val="single" w:sz="4" w:space="0" w:color="61A2ED"/>
        <w:left w:val="single" w:sz="4" w:space="0" w:color="61A2ED"/>
        <w:bottom w:val="single" w:sz="4" w:space="0" w:color="61A2ED"/>
        <w:right w:val="single" w:sz="4" w:space="0" w:color="61A2ED"/>
        <w:insideH w:val="single" w:sz="4" w:space="0" w:color="61A2ED"/>
        <w:insideV w:val="single" w:sz="4" w:space="0" w:color="61A2ED"/>
      </w:tblBorders>
    </w:tblPr>
    <w:tblStylePr w:type="firstRow">
      <w:rPr>
        <w:b/>
        <w:color w:val="61A2ED"/>
      </w:rPr>
      <w:tblPr/>
      <w:tcPr>
        <w:tcBorders>
          <w:bottom w:val="single" w:sz="12" w:space="0" w:color="61A2ED"/>
        </w:tcBorders>
      </w:tcPr>
    </w:tblStylePr>
    <w:tblStylePr w:type="lastRow">
      <w:rPr>
        <w:b/>
        <w:color w:val="61A2ED"/>
      </w:rPr>
    </w:tblStylePr>
    <w:tblStylePr w:type="firstCol">
      <w:rPr>
        <w:b/>
        <w:color w:val="61A2ED"/>
      </w:rPr>
    </w:tblStylePr>
    <w:tblStylePr w:type="lastCol">
      <w:rPr>
        <w:b/>
        <w:color w:val="61A2ED"/>
      </w:rPr>
    </w:tblStylePr>
    <w:tblStylePr w:type="band1Vert">
      <w:tblPr/>
      <w:tcPr>
        <w:shd w:val="clear" w:color="BED9F8" w:fill="BED9F8"/>
      </w:tcPr>
    </w:tblStylePr>
    <w:tblStylePr w:type="band1Horz">
      <w:rPr>
        <w:rFonts w:ascii="Arial" w:hAnsi="Arial"/>
        <w:color w:val="61A2ED"/>
        <w:sz w:val="22"/>
      </w:rPr>
      <w:tblPr/>
      <w:tcPr>
        <w:shd w:val="clear" w:color="BED9F8" w:fill="BED9F8"/>
      </w:tcPr>
    </w:tblStylePr>
    <w:tblStylePr w:type="band2Horz">
      <w:rPr>
        <w:rFonts w:ascii="Arial" w:hAnsi="Arial"/>
        <w:color w:val="61A2ED"/>
        <w:sz w:val="22"/>
      </w:rPr>
    </w:tblStylePr>
  </w:style>
  <w:style w:type="table" w:customStyle="1" w:styleId="GridTable6Colorful-Accent21">
    <w:name w:val="Grid Table 6 Colorful - Accent 21"/>
    <w:basedOn w:val="NormaleTabelle"/>
    <w:uiPriority w:val="99"/>
    <w:rsid w:val="0062351B"/>
    <w:tblPr>
      <w:tblStyleRowBandSize w:val="1"/>
      <w:tblStyleColBandSize w:val="1"/>
      <w:tblBorders>
        <w:top w:val="single" w:sz="4" w:space="0" w:color="B7D1ED"/>
        <w:left w:val="single" w:sz="4" w:space="0" w:color="B7D1ED"/>
        <w:bottom w:val="single" w:sz="4" w:space="0" w:color="B7D1ED"/>
        <w:right w:val="single" w:sz="4" w:space="0" w:color="B7D1ED"/>
        <w:insideH w:val="single" w:sz="4" w:space="0" w:color="B7D1ED"/>
        <w:insideV w:val="single" w:sz="4" w:space="0" w:color="B7D1ED"/>
      </w:tblBorders>
    </w:tblPr>
    <w:tblStylePr w:type="firstRow">
      <w:rPr>
        <w:b/>
        <w:color w:val="B7D1ED"/>
      </w:rPr>
      <w:tblPr/>
      <w:tcPr>
        <w:tcBorders>
          <w:bottom w:val="single" w:sz="12" w:space="0" w:color="B7D1ED"/>
        </w:tcBorders>
      </w:tcPr>
    </w:tblStylePr>
    <w:tblStylePr w:type="lastRow">
      <w:rPr>
        <w:b/>
        <w:color w:val="B7D1ED"/>
      </w:rPr>
    </w:tblStylePr>
    <w:tblStylePr w:type="firstCol">
      <w:rPr>
        <w:b/>
        <w:color w:val="B7D1ED"/>
      </w:rPr>
    </w:tblStylePr>
    <w:tblStylePr w:type="lastCol">
      <w:rPr>
        <w:b/>
        <w:color w:val="B7D1ED"/>
      </w:rPr>
    </w:tblStylePr>
    <w:tblStylePr w:type="band1Vert">
      <w:tblPr/>
      <w:tcPr>
        <w:shd w:val="clear" w:color="E7F0F9" w:fill="E7F0F9"/>
      </w:tcPr>
    </w:tblStylePr>
    <w:tblStylePr w:type="band1Horz">
      <w:rPr>
        <w:rFonts w:ascii="Arial" w:hAnsi="Arial"/>
        <w:color w:val="B7D1ED"/>
        <w:sz w:val="22"/>
      </w:rPr>
      <w:tblPr/>
      <w:tcPr>
        <w:shd w:val="clear" w:color="E7F0F9" w:fill="E7F0F9"/>
      </w:tcPr>
    </w:tblStylePr>
    <w:tblStylePr w:type="band2Horz">
      <w:rPr>
        <w:rFonts w:ascii="Arial" w:hAnsi="Arial"/>
        <w:color w:val="B7D1ED"/>
        <w:sz w:val="22"/>
      </w:rPr>
    </w:tblStylePr>
  </w:style>
  <w:style w:type="table" w:customStyle="1" w:styleId="GridTable6Colorful-Accent31">
    <w:name w:val="Grid Table 6 Colorful - Accent 31"/>
    <w:basedOn w:val="NormaleTabelle"/>
    <w:uiPriority w:val="99"/>
    <w:rsid w:val="0062351B"/>
    <w:tblPr>
      <w:tblStyleRowBandSize w:val="1"/>
      <w:tblStyleColBandSize w:val="1"/>
      <w:tblBorders>
        <w:top w:val="single" w:sz="4" w:space="0" w:color="F49A19"/>
        <w:left w:val="single" w:sz="4" w:space="0" w:color="F49A19"/>
        <w:bottom w:val="single" w:sz="4" w:space="0" w:color="F49A19"/>
        <w:right w:val="single" w:sz="4" w:space="0" w:color="F49A19"/>
        <w:insideH w:val="single" w:sz="4" w:space="0" w:color="F49A19"/>
        <w:insideV w:val="single" w:sz="4" w:space="0" w:color="F49A19"/>
      </w:tblBorders>
    </w:tblPr>
    <w:tblStylePr w:type="firstRow">
      <w:rPr>
        <w:b/>
        <w:color w:val="F49A19"/>
      </w:rPr>
      <w:tblPr/>
      <w:tcPr>
        <w:tcBorders>
          <w:bottom w:val="single" w:sz="12" w:space="0" w:color="F49A19"/>
        </w:tcBorders>
      </w:tcPr>
    </w:tblStylePr>
    <w:tblStylePr w:type="lastRow">
      <w:rPr>
        <w:b/>
        <w:color w:val="F49A19"/>
      </w:rPr>
    </w:tblStylePr>
    <w:tblStylePr w:type="firstCol">
      <w:rPr>
        <w:b/>
        <w:color w:val="F49A19"/>
      </w:rPr>
    </w:tblStylePr>
    <w:tblStylePr w:type="lastCol">
      <w:rPr>
        <w:b/>
        <w:color w:val="F49A19"/>
      </w:rPr>
    </w:tblStylePr>
    <w:tblStylePr w:type="band1Vert">
      <w:tblPr/>
      <w:tcPr>
        <w:shd w:val="clear" w:color="FCEACF" w:fill="FCEACF"/>
      </w:tcPr>
    </w:tblStylePr>
    <w:tblStylePr w:type="band1Horz">
      <w:rPr>
        <w:rFonts w:ascii="Arial" w:hAnsi="Arial"/>
        <w:color w:val="F49A19"/>
        <w:sz w:val="22"/>
      </w:rPr>
      <w:tblPr/>
      <w:tcPr>
        <w:shd w:val="clear" w:color="FCEACF" w:fill="FCEACF"/>
      </w:tcPr>
    </w:tblStylePr>
    <w:tblStylePr w:type="band2Horz">
      <w:rPr>
        <w:rFonts w:ascii="Arial" w:hAnsi="Arial"/>
        <w:color w:val="F49A19"/>
        <w:sz w:val="22"/>
      </w:rPr>
    </w:tblStylePr>
  </w:style>
  <w:style w:type="table" w:customStyle="1" w:styleId="GridTable6Colorful-Accent41">
    <w:name w:val="Grid Table 6 Colorful - Accent 41"/>
    <w:basedOn w:val="NormaleTabelle"/>
    <w:uiPriority w:val="99"/>
    <w:rsid w:val="0062351B"/>
    <w:tblPr>
      <w:tblStyleRowBandSize w:val="1"/>
      <w:tblStyleColBandSize w:val="1"/>
      <w:tblBorders>
        <w:top w:val="single" w:sz="4" w:space="0" w:color="FAFAFA"/>
        <w:left w:val="single" w:sz="4" w:space="0" w:color="FAFAFA"/>
        <w:bottom w:val="single" w:sz="4" w:space="0" w:color="FAFAFA"/>
        <w:right w:val="single" w:sz="4" w:space="0" w:color="FAFAFA"/>
        <w:insideH w:val="single" w:sz="4" w:space="0" w:color="FAFAFA"/>
        <w:insideV w:val="single" w:sz="4" w:space="0" w:color="FAFAFA"/>
      </w:tblBorders>
    </w:tblPr>
    <w:tblStylePr w:type="firstRow">
      <w:rPr>
        <w:b/>
        <w:color w:val="FAFAFA"/>
      </w:rPr>
      <w:tblPr/>
      <w:tcPr>
        <w:tcBorders>
          <w:bottom w:val="single" w:sz="12" w:space="0" w:color="FAFAFA"/>
        </w:tcBorders>
      </w:tcPr>
    </w:tblStylePr>
    <w:tblStylePr w:type="lastRow">
      <w:rPr>
        <w:b/>
        <w:color w:val="FAFAFA"/>
      </w:rPr>
    </w:tblStylePr>
    <w:tblStylePr w:type="firstCol">
      <w:rPr>
        <w:b/>
        <w:color w:val="FAFAFA"/>
      </w:rPr>
    </w:tblStylePr>
    <w:tblStylePr w:type="lastCol">
      <w:rPr>
        <w:b/>
        <w:color w:val="FAFAFA"/>
      </w:rPr>
    </w:tblStylePr>
    <w:tblStylePr w:type="band1Vert">
      <w:tblPr/>
      <w:tcPr>
        <w:shd w:val="clear" w:color="FDFDFD" w:fill="FDFDFD"/>
      </w:tcPr>
    </w:tblStylePr>
    <w:tblStylePr w:type="band1Horz">
      <w:rPr>
        <w:rFonts w:ascii="Arial" w:hAnsi="Arial"/>
        <w:color w:val="FAFAFA"/>
        <w:sz w:val="22"/>
      </w:rPr>
      <w:tblPr/>
      <w:tcPr>
        <w:shd w:val="clear" w:color="FDFDFD" w:fill="FDFDFD"/>
      </w:tcPr>
    </w:tblStylePr>
    <w:tblStylePr w:type="band2Horz">
      <w:rPr>
        <w:rFonts w:ascii="Arial" w:hAnsi="Arial"/>
        <w:color w:val="FAFAFA"/>
        <w:sz w:val="22"/>
      </w:rPr>
    </w:tblStylePr>
  </w:style>
  <w:style w:type="table" w:customStyle="1" w:styleId="GridTable6Colorful-Accent51">
    <w:name w:val="Grid Table 6 Colorful - Accent 51"/>
    <w:basedOn w:val="NormaleTabelle"/>
    <w:uiPriority w:val="99"/>
    <w:rsid w:val="0062351B"/>
    <w:tblPr>
      <w:tblStyleRowBandSize w:val="1"/>
      <w:tblStyleColBandSize w:val="1"/>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Pr>
    <w:tblStylePr w:type="firstRow">
      <w:rPr>
        <w:b/>
        <w:color w:val="1D1D1D"/>
      </w:rPr>
      <w:tblPr/>
      <w:tcPr>
        <w:tcBorders>
          <w:bottom w:val="single" w:sz="12" w:space="0" w:color="333333"/>
        </w:tcBorders>
      </w:tcPr>
    </w:tblStylePr>
    <w:tblStylePr w:type="lastRow">
      <w:rPr>
        <w:b/>
        <w:color w:val="1D1D1D"/>
      </w:rPr>
    </w:tblStylePr>
    <w:tblStylePr w:type="firstCol">
      <w:rPr>
        <w:b/>
        <w:color w:val="1D1D1D"/>
      </w:rPr>
    </w:tblStylePr>
    <w:tblStylePr w:type="lastCol">
      <w:rPr>
        <w:b/>
        <w:color w:val="1D1D1D"/>
      </w:rPr>
    </w:tblStylePr>
    <w:tblStylePr w:type="band1Vert">
      <w:tblPr/>
      <w:tcPr>
        <w:shd w:val="clear" w:color="D5D5D5" w:fill="D5D5D5"/>
      </w:tcPr>
    </w:tblStylePr>
    <w:tblStylePr w:type="band1Horz">
      <w:rPr>
        <w:rFonts w:ascii="Arial" w:hAnsi="Arial"/>
        <w:color w:val="1D1D1D"/>
        <w:sz w:val="22"/>
      </w:rPr>
      <w:tblPr/>
      <w:tcPr>
        <w:shd w:val="clear" w:color="D5D5D5" w:fill="D5D5D5"/>
      </w:tcPr>
    </w:tblStylePr>
    <w:tblStylePr w:type="band2Horz">
      <w:rPr>
        <w:rFonts w:ascii="Arial" w:hAnsi="Arial"/>
        <w:color w:val="1D1D1D"/>
        <w:sz w:val="22"/>
      </w:rPr>
    </w:tblStylePr>
  </w:style>
  <w:style w:type="table" w:customStyle="1" w:styleId="GridTable6Colorful-Accent61">
    <w:name w:val="Grid Table 6 Colorful - Accent 61"/>
    <w:basedOn w:val="NormaleTabelle"/>
    <w:uiPriority w:val="99"/>
    <w:rsid w:val="0062351B"/>
    <w:tblPr>
      <w:tblStyleRowBandSize w:val="1"/>
      <w:tblStyleColBandSize w:val="1"/>
      <w:tblBorders>
        <w:top w:val="single" w:sz="4" w:space="0" w:color="F4F4F3"/>
        <w:left w:val="single" w:sz="4" w:space="0" w:color="F4F4F3"/>
        <w:bottom w:val="single" w:sz="4" w:space="0" w:color="F4F4F3"/>
        <w:right w:val="single" w:sz="4" w:space="0" w:color="F4F4F3"/>
        <w:insideH w:val="single" w:sz="4" w:space="0" w:color="F4F4F3"/>
        <w:insideV w:val="single" w:sz="4" w:space="0" w:color="F4F4F3"/>
      </w:tblBorders>
    </w:tblPr>
    <w:tblStylePr w:type="firstRow">
      <w:rPr>
        <w:b/>
        <w:color w:val="1D1D1D"/>
      </w:rPr>
      <w:tblPr/>
      <w:tcPr>
        <w:tcBorders>
          <w:bottom w:val="single" w:sz="12" w:space="0" w:color="F4F4F3"/>
        </w:tcBorders>
      </w:tcPr>
    </w:tblStylePr>
    <w:tblStylePr w:type="lastRow">
      <w:rPr>
        <w:b/>
        <w:color w:val="1D1D1D"/>
      </w:rPr>
    </w:tblStylePr>
    <w:tblStylePr w:type="firstCol">
      <w:rPr>
        <w:b/>
        <w:color w:val="1D1D1D"/>
      </w:rPr>
    </w:tblStylePr>
    <w:tblStylePr w:type="lastCol">
      <w:rPr>
        <w:b/>
        <w:color w:val="1D1D1D"/>
      </w:rPr>
    </w:tblStylePr>
    <w:tblStylePr w:type="band1Vert">
      <w:tblPr/>
      <w:tcPr>
        <w:shd w:val="clear" w:color="FCFCFC" w:fill="FCFCFC"/>
      </w:tcPr>
    </w:tblStylePr>
    <w:tblStylePr w:type="band1Horz">
      <w:rPr>
        <w:rFonts w:ascii="Arial" w:hAnsi="Arial"/>
        <w:color w:val="1D1D1D"/>
        <w:sz w:val="22"/>
      </w:rPr>
      <w:tblPr/>
      <w:tcPr>
        <w:shd w:val="clear" w:color="FCFCFC" w:fill="FCFCFC"/>
      </w:tcPr>
    </w:tblStylePr>
    <w:tblStylePr w:type="band2Horz">
      <w:rPr>
        <w:rFonts w:ascii="Arial" w:hAnsi="Arial"/>
        <w:color w:val="1D1D1D"/>
        <w:sz w:val="22"/>
      </w:rPr>
    </w:tblStylePr>
  </w:style>
  <w:style w:type="table" w:customStyle="1" w:styleId="Gritternetztabelle7farbig1">
    <w:name w:val="Gritternetztabelle 7 farbig1"/>
    <w:basedOn w:val="NormaleTabelle"/>
    <w:uiPriority w:val="99"/>
    <w:rsid w:val="0062351B"/>
    <w:tblPr>
      <w:tblStyleRowBandSize w:val="1"/>
      <w:tblStyleColBandSize w:val="1"/>
      <w:tblBorders>
        <w:bottom w:val="single" w:sz="4" w:space="0" w:color="989898"/>
        <w:right w:val="single" w:sz="4" w:space="0" w:color="989898"/>
        <w:insideH w:val="single" w:sz="4" w:space="0" w:color="989898"/>
        <w:insideV w:val="single" w:sz="4" w:space="0" w:color="989898"/>
      </w:tblBorders>
    </w:tblPr>
    <w:tblStylePr w:type="firstRow">
      <w:rPr>
        <w:rFonts w:ascii="Arial" w:hAnsi="Arial"/>
        <w:b/>
        <w:color w:val="989898"/>
        <w:sz w:val="22"/>
      </w:rPr>
      <w:tblPr/>
      <w:tcPr>
        <w:tcBorders>
          <w:top w:val="none" w:sz="0" w:space="0" w:color="auto"/>
          <w:left w:val="none" w:sz="0" w:space="0" w:color="auto"/>
          <w:bottom w:val="single" w:sz="4" w:space="0" w:color="989898"/>
          <w:right w:val="none" w:sz="0" w:space="0" w:color="auto"/>
        </w:tcBorders>
        <w:shd w:val="clear" w:color="FEFFFF" w:fill="FEFFFF"/>
      </w:tcPr>
    </w:tblStylePr>
    <w:tblStylePr w:type="lastRow">
      <w:rPr>
        <w:rFonts w:ascii="Arial" w:hAnsi="Arial"/>
        <w:b/>
        <w:color w:val="989898"/>
        <w:sz w:val="22"/>
      </w:rPr>
      <w:tblPr/>
      <w:tcPr>
        <w:tcBorders>
          <w:top w:val="single" w:sz="4" w:space="0" w:color="989898"/>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989898"/>
        <w:sz w:val="22"/>
      </w:rPr>
      <w:tblPr/>
      <w:tcPr>
        <w:tcBorders>
          <w:top w:val="none" w:sz="0" w:space="0" w:color="auto"/>
          <w:left w:val="none" w:sz="0" w:space="0" w:color="auto"/>
          <w:bottom w:val="none" w:sz="0" w:space="0" w:color="auto"/>
          <w:right w:val="single" w:sz="4" w:space="0" w:color="989898"/>
        </w:tcBorders>
        <w:shd w:val="clear" w:color="FFFFFF" w:fill="auto"/>
      </w:tcPr>
    </w:tblStylePr>
    <w:tblStylePr w:type="lastCol">
      <w:rPr>
        <w:rFonts w:ascii="Arial" w:hAnsi="Arial"/>
        <w:i/>
        <w:color w:val="989898"/>
        <w:sz w:val="22"/>
      </w:rPr>
      <w:tblPr/>
      <w:tcPr>
        <w:tcBorders>
          <w:top w:val="none" w:sz="0" w:space="0" w:color="auto"/>
          <w:left w:val="single" w:sz="4" w:space="0" w:color="989898"/>
          <w:bottom w:val="none" w:sz="0" w:space="0" w:color="auto"/>
          <w:right w:val="none" w:sz="0" w:space="0" w:color="auto"/>
        </w:tcBorders>
        <w:shd w:val="clear" w:color="FFFFFF" w:fill="auto"/>
      </w:tcPr>
    </w:tblStylePr>
    <w:tblStylePr w:type="band1Vert">
      <w:tblPr/>
      <w:tcPr>
        <w:shd w:val="clear" w:color="F4F4F4" w:fill="F4F4F4"/>
      </w:tcPr>
    </w:tblStylePr>
    <w:tblStylePr w:type="band1Horz">
      <w:rPr>
        <w:rFonts w:ascii="Arial" w:hAnsi="Arial"/>
        <w:color w:val="989898"/>
        <w:sz w:val="22"/>
      </w:rPr>
      <w:tblPr/>
      <w:tcPr>
        <w:shd w:val="clear" w:color="F4F4F4" w:fill="F4F4F4"/>
      </w:tcPr>
    </w:tblStylePr>
    <w:tblStylePr w:type="band2Horz">
      <w:rPr>
        <w:rFonts w:ascii="Arial" w:hAnsi="Arial"/>
        <w:color w:val="989898"/>
        <w:sz w:val="22"/>
      </w:rPr>
    </w:tblStylePr>
  </w:style>
  <w:style w:type="table" w:customStyle="1" w:styleId="GridTable7Colorful-Accent11">
    <w:name w:val="Grid Table 7 Colorful - Accent 11"/>
    <w:basedOn w:val="NormaleTabelle"/>
    <w:uiPriority w:val="99"/>
    <w:rsid w:val="0062351B"/>
    <w:tblPr>
      <w:tblStyleRowBandSize w:val="1"/>
      <w:tblStyleColBandSize w:val="1"/>
      <w:tblBorders>
        <w:bottom w:val="single" w:sz="4" w:space="0" w:color="61A2ED"/>
        <w:right w:val="single" w:sz="4" w:space="0" w:color="61A2ED"/>
        <w:insideH w:val="single" w:sz="4" w:space="0" w:color="61A2ED"/>
        <w:insideV w:val="single" w:sz="4" w:space="0" w:color="61A2ED"/>
      </w:tblBorders>
    </w:tblPr>
    <w:tblStylePr w:type="firstRow">
      <w:rPr>
        <w:rFonts w:ascii="Arial" w:hAnsi="Arial"/>
        <w:b/>
        <w:color w:val="61A2ED"/>
        <w:sz w:val="22"/>
      </w:rPr>
      <w:tblPr/>
      <w:tcPr>
        <w:tcBorders>
          <w:top w:val="none" w:sz="0" w:space="0" w:color="auto"/>
          <w:left w:val="none" w:sz="0" w:space="0" w:color="auto"/>
          <w:bottom w:val="single" w:sz="4" w:space="0" w:color="61A2ED"/>
          <w:right w:val="none" w:sz="0" w:space="0" w:color="auto"/>
        </w:tcBorders>
        <w:shd w:val="clear" w:color="FEFFFF" w:fill="FEFFFF"/>
      </w:tcPr>
    </w:tblStylePr>
    <w:tblStylePr w:type="lastRow">
      <w:rPr>
        <w:rFonts w:ascii="Arial" w:hAnsi="Arial"/>
        <w:b/>
        <w:color w:val="61A2ED"/>
        <w:sz w:val="22"/>
      </w:rPr>
      <w:tblPr/>
      <w:tcPr>
        <w:tcBorders>
          <w:top w:val="single" w:sz="4" w:space="0" w:color="61A2ED"/>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61A2ED"/>
        <w:sz w:val="22"/>
      </w:rPr>
      <w:tblPr/>
      <w:tcPr>
        <w:tcBorders>
          <w:top w:val="none" w:sz="0" w:space="0" w:color="auto"/>
          <w:left w:val="none" w:sz="0" w:space="0" w:color="auto"/>
          <w:bottom w:val="none" w:sz="0" w:space="0" w:color="auto"/>
          <w:right w:val="single" w:sz="4" w:space="0" w:color="61A2ED"/>
        </w:tcBorders>
        <w:shd w:val="clear" w:color="FFFFFF" w:fill="auto"/>
      </w:tcPr>
    </w:tblStylePr>
    <w:tblStylePr w:type="lastCol">
      <w:rPr>
        <w:rFonts w:ascii="Arial" w:hAnsi="Arial"/>
        <w:i/>
        <w:color w:val="61A2ED"/>
        <w:sz w:val="22"/>
      </w:rPr>
      <w:tblPr/>
      <w:tcPr>
        <w:tcBorders>
          <w:top w:val="none" w:sz="0" w:space="0" w:color="auto"/>
          <w:left w:val="single" w:sz="4" w:space="0" w:color="61A2ED"/>
          <w:bottom w:val="none" w:sz="0" w:space="0" w:color="auto"/>
          <w:right w:val="none" w:sz="0" w:space="0" w:color="auto"/>
        </w:tcBorders>
        <w:shd w:val="clear" w:color="FFFFFF" w:fill="auto"/>
      </w:tcPr>
    </w:tblStylePr>
    <w:tblStylePr w:type="band1Vert">
      <w:tblPr/>
      <w:tcPr>
        <w:shd w:val="clear" w:color="BED9F8" w:fill="BED9F8"/>
      </w:tcPr>
    </w:tblStylePr>
    <w:tblStylePr w:type="band1Horz">
      <w:rPr>
        <w:rFonts w:ascii="Arial" w:hAnsi="Arial"/>
        <w:color w:val="61A2ED"/>
        <w:sz w:val="22"/>
      </w:rPr>
      <w:tblPr/>
      <w:tcPr>
        <w:shd w:val="clear" w:color="BED9F8" w:fill="BED9F8"/>
      </w:tcPr>
    </w:tblStylePr>
    <w:tblStylePr w:type="band2Horz">
      <w:rPr>
        <w:rFonts w:ascii="Arial" w:hAnsi="Arial"/>
        <w:color w:val="61A2ED"/>
        <w:sz w:val="22"/>
      </w:rPr>
    </w:tblStylePr>
  </w:style>
  <w:style w:type="table" w:customStyle="1" w:styleId="GridTable7Colorful-Accent21">
    <w:name w:val="Grid Table 7 Colorful - Accent 21"/>
    <w:basedOn w:val="NormaleTabelle"/>
    <w:uiPriority w:val="99"/>
    <w:rsid w:val="0062351B"/>
    <w:tblPr>
      <w:tblStyleRowBandSize w:val="1"/>
      <w:tblStyleColBandSize w:val="1"/>
      <w:tblBorders>
        <w:bottom w:val="single" w:sz="4" w:space="0" w:color="B7D1ED"/>
        <w:right w:val="single" w:sz="4" w:space="0" w:color="B7D1ED"/>
        <w:insideH w:val="single" w:sz="4" w:space="0" w:color="B7D1ED"/>
        <w:insideV w:val="single" w:sz="4" w:space="0" w:color="B7D1ED"/>
      </w:tblBorders>
    </w:tblPr>
    <w:tblStylePr w:type="firstRow">
      <w:rPr>
        <w:rFonts w:ascii="Arial" w:hAnsi="Arial"/>
        <w:b/>
        <w:color w:val="B7D1ED"/>
        <w:sz w:val="22"/>
      </w:rPr>
      <w:tblPr/>
      <w:tcPr>
        <w:tcBorders>
          <w:top w:val="none" w:sz="0" w:space="0" w:color="auto"/>
          <w:left w:val="none" w:sz="0" w:space="0" w:color="auto"/>
          <w:bottom w:val="single" w:sz="4" w:space="0" w:color="B7D1ED"/>
          <w:right w:val="none" w:sz="0" w:space="0" w:color="auto"/>
        </w:tcBorders>
        <w:shd w:val="clear" w:color="FEFFFF" w:fill="FEFFFF"/>
      </w:tcPr>
    </w:tblStylePr>
    <w:tblStylePr w:type="lastRow">
      <w:rPr>
        <w:rFonts w:ascii="Arial" w:hAnsi="Arial"/>
        <w:b/>
        <w:color w:val="B7D1ED"/>
        <w:sz w:val="22"/>
      </w:rPr>
      <w:tblPr/>
      <w:tcPr>
        <w:tcBorders>
          <w:top w:val="single" w:sz="4" w:space="0" w:color="B7D1ED"/>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B7D1ED"/>
        <w:sz w:val="22"/>
      </w:rPr>
      <w:tblPr/>
      <w:tcPr>
        <w:tcBorders>
          <w:top w:val="none" w:sz="0" w:space="0" w:color="auto"/>
          <w:left w:val="none" w:sz="0" w:space="0" w:color="auto"/>
          <w:bottom w:val="none" w:sz="0" w:space="0" w:color="auto"/>
          <w:right w:val="single" w:sz="4" w:space="0" w:color="B7D1ED"/>
        </w:tcBorders>
        <w:shd w:val="clear" w:color="FFFFFF" w:fill="auto"/>
      </w:tcPr>
    </w:tblStylePr>
    <w:tblStylePr w:type="lastCol">
      <w:rPr>
        <w:rFonts w:ascii="Arial" w:hAnsi="Arial"/>
        <w:i/>
        <w:color w:val="B7D1ED"/>
        <w:sz w:val="22"/>
      </w:rPr>
      <w:tblPr/>
      <w:tcPr>
        <w:tcBorders>
          <w:top w:val="none" w:sz="0" w:space="0" w:color="auto"/>
          <w:left w:val="single" w:sz="4" w:space="0" w:color="B7D1ED"/>
          <w:bottom w:val="none" w:sz="0" w:space="0" w:color="auto"/>
          <w:right w:val="none" w:sz="0" w:space="0" w:color="auto"/>
        </w:tcBorders>
        <w:shd w:val="clear" w:color="FFFFFF" w:fill="auto"/>
      </w:tcPr>
    </w:tblStylePr>
    <w:tblStylePr w:type="band1Vert">
      <w:tblPr/>
      <w:tcPr>
        <w:shd w:val="clear" w:color="E7F0F9" w:fill="E7F0F9"/>
      </w:tcPr>
    </w:tblStylePr>
    <w:tblStylePr w:type="band1Horz">
      <w:rPr>
        <w:rFonts w:ascii="Arial" w:hAnsi="Arial"/>
        <w:color w:val="B7D1ED"/>
        <w:sz w:val="22"/>
      </w:rPr>
      <w:tblPr/>
      <w:tcPr>
        <w:shd w:val="clear" w:color="E7F0F9" w:fill="E7F0F9"/>
      </w:tcPr>
    </w:tblStylePr>
    <w:tblStylePr w:type="band2Horz">
      <w:rPr>
        <w:rFonts w:ascii="Arial" w:hAnsi="Arial"/>
        <w:color w:val="B7D1ED"/>
        <w:sz w:val="22"/>
      </w:rPr>
    </w:tblStylePr>
  </w:style>
  <w:style w:type="table" w:customStyle="1" w:styleId="GridTable7Colorful-Accent31">
    <w:name w:val="Grid Table 7 Colorful - Accent 31"/>
    <w:basedOn w:val="NormaleTabelle"/>
    <w:uiPriority w:val="99"/>
    <w:rsid w:val="0062351B"/>
    <w:tblPr>
      <w:tblStyleRowBandSize w:val="1"/>
      <w:tblStyleColBandSize w:val="1"/>
      <w:tblBorders>
        <w:bottom w:val="single" w:sz="4" w:space="0" w:color="F49A19"/>
        <w:right w:val="single" w:sz="4" w:space="0" w:color="F49A19"/>
        <w:insideH w:val="single" w:sz="4" w:space="0" w:color="F49A19"/>
        <w:insideV w:val="single" w:sz="4" w:space="0" w:color="F49A19"/>
      </w:tblBorders>
    </w:tblPr>
    <w:tblStylePr w:type="firstRow">
      <w:rPr>
        <w:rFonts w:ascii="Arial" w:hAnsi="Arial"/>
        <w:b/>
        <w:color w:val="F49A19"/>
        <w:sz w:val="22"/>
      </w:rPr>
      <w:tblPr/>
      <w:tcPr>
        <w:tcBorders>
          <w:top w:val="none" w:sz="0" w:space="0" w:color="auto"/>
          <w:left w:val="none" w:sz="0" w:space="0" w:color="auto"/>
          <w:bottom w:val="single" w:sz="4" w:space="0" w:color="F49A19"/>
          <w:right w:val="none" w:sz="0" w:space="0" w:color="auto"/>
        </w:tcBorders>
        <w:shd w:val="clear" w:color="FEFFFF" w:fill="FEFFFF"/>
      </w:tcPr>
    </w:tblStylePr>
    <w:tblStylePr w:type="lastRow">
      <w:rPr>
        <w:rFonts w:ascii="Arial" w:hAnsi="Arial"/>
        <w:b/>
        <w:color w:val="F49A19"/>
        <w:sz w:val="22"/>
      </w:rPr>
      <w:tblPr/>
      <w:tcPr>
        <w:tcBorders>
          <w:top w:val="single" w:sz="4" w:space="0" w:color="F49A19"/>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F49A19"/>
        <w:sz w:val="22"/>
      </w:rPr>
      <w:tblPr/>
      <w:tcPr>
        <w:tcBorders>
          <w:top w:val="none" w:sz="0" w:space="0" w:color="auto"/>
          <w:left w:val="none" w:sz="0" w:space="0" w:color="auto"/>
          <w:bottom w:val="none" w:sz="0" w:space="0" w:color="auto"/>
          <w:right w:val="single" w:sz="4" w:space="0" w:color="F49A19"/>
        </w:tcBorders>
        <w:shd w:val="clear" w:color="FFFFFF" w:fill="auto"/>
      </w:tcPr>
    </w:tblStylePr>
    <w:tblStylePr w:type="lastCol">
      <w:rPr>
        <w:rFonts w:ascii="Arial" w:hAnsi="Arial"/>
        <w:i/>
        <w:color w:val="F49A19"/>
        <w:sz w:val="22"/>
      </w:rPr>
      <w:tblPr/>
      <w:tcPr>
        <w:tcBorders>
          <w:top w:val="none" w:sz="0" w:space="0" w:color="auto"/>
          <w:left w:val="single" w:sz="4" w:space="0" w:color="F49A19"/>
          <w:bottom w:val="none" w:sz="0" w:space="0" w:color="auto"/>
          <w:right w:val="none" w:sz="0" w:space="0" w:color="auto"/>
        </w:tcBorders>
        <w:shd w:val="clear" w:color="FFFFFF" w:fill="auto"/>
      </w:tcPr>
    </w:tblStylePr>
    <w:tblStylePr w:type="band1Vert">
      <w:tblPr/>
      <w:tcPr>
        <w:shd w:val="clear" w:color="FCEACF" w:fill="FCEACF"/>
      </w:tcPr>
    </w:tblStylePr>
    <w:tblStylePr w:type="band1Horz">
      <w:rPr>
        <w:rFonts w:ascii="Arial" w:hAnsi="Arial"/>
        <w:color w:val="F49A19"/>
        <w:sz w:val="22"/>
      </w:rPr>
      <w:tblPr/>
      <w:tcPr>
        <w:shd w:val="clear" w:color="FCEACF" w:fill="FCEACF"/>
      </w:tcPr>
    </w:tblStylePr>
    <w:tblStylePr w:type="band2Horz">
      <w:rPr>
        <w:rFonts w:ascii="Arial" w:hAnsi="Arial"/>
        <w:color w:val="F49A19"/>
        <w:sz w:val="22"/>
      </w:rPr>
    </w:tblStylePr>
  </w:style>
  <w:style w:type="table" w:customStyle="1" w:styleId="GridTable7Colorful-Accent41">
    <w:name w:val="Grid Table 7 Colorful - Accent 41"/>
    <w:basedOn w:val="NormaleTabelle"/>
    <w:uiPriority w:val="99"/>
    <w:rsid w:val="0062351B"/>
    <w:tblPr>
      <w:tblStyleRowBandSize w:val="1"/>
      <w:tblStyleColBandSize w:val="1"/>
      <w:tblBorders>
        <w:bottom w:val="single" w:sz="4" w:space="0" w:color="FAFAFA"/>
        <w:right w:val="single" w:sz="4" w:space="0" w:color="FAFAFA"/>
        <w:insideH w:val="single" w:sz="4" w:space="0" w:color="FAFAFA"/>
        <w:insideV w:val="single" w:sz="4" w:space="0" w:color="FAFAFA"/>
      </w:tblBorders>
    </w:tblPr>
    <w:tblStylePr w:type="firstRow">
      <w:rPr>
        <w:rFonts w:ascii="Arial" w:hAnsi="Arial"/>
        <w:b/>
        <w:color w:val="FAFAFA"/>
        <w:sz w:val="22"/>
      </w:rPr>
      <w:tblPr/>
      <w:tcPr>
        <w:tcBorders>
          <w:top w:val="none" w:sz="0" w:space="0" w:color="auto"/>
          <w:left w:val="none" w:sz="0" w:space="0" w:color="auto"/>
          <w:bottom w:val="single" w:sz="4" w:space="0" w:color="FAFAFA"/>
          <w:right w:val="none" w:sz="0" w:space="0" w:color="auto"/>
        </w:tcBorders>
        <w:shd w:val="clear" w:color="FEFFFF" w:fill="FEFFFF"/>
      </w:tcPr>
    </w:tblStylePr>
    <w:tblStylePr w:type="lastRow">
      <w:rPr>
        <w:rFonts w:ascii="Arial" w:hAnsi="Arial"/>
        <w:b/>
        <w:color w:val="FAFAFA"/>
        <w:sz w:val="22"/>
      </w:rPr>
      <w:tblPr/>
      <w:tcPr>
        <w:tcBorders>
          <w:top w:val="single" w:sz="4" w:space="0" w:color="FAFAFA"/>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FAFAFA"/>
        <w:sz w:val="22"/>
      </w:rPr>
      <w:tblPr/>
      <w:tcPr>
        <w:tcBorders>
          <w:top w:val="none" w:sz="0" w:space="0" w:color="auto"/>
          <w:left w:val="none" w:sz="0" w:space="0" w:color="auto"/>
          <w:bottom w:val="none" w:sz="0" w:space="0" w:color="auto"/>
          <w:right w:val="single" w:sz="4" w:space="0" w:color="FAFAFA"/>
        </w:tcBorders>
        <w:shd w:val="clear" w:color="FFFFFF" w:fill="auto"/>
      </w:tcPr>
    </w:tblStylePr>
    <w:tblStylePr w:type="lastCol">
      <w:rPr>
        <w:rFonts w:ascii="Arial" w:hAnsi="Arial"/>
        <w:i/>
        <w:color w:val="FAFAFA"/>
        <w:sz w:val="22"/>
      </w:rPr>
      <w:tblPr/>
      <w:tcPr>
        <w:tcBorders>
          <w:top w:val="none" w:sz="0" w:space="0" w:color="auto"/>
          <w:left w:val="single" w:sz="4" w:space="0" w:color="FAFAFA"/>
          <w:bottom w:val="none" w:sz="0" w:space="0" w:color="auto"/>
          <w:right w:val="none" w:sz="0" w:space="0" w:color="auto"/>
        </w:tcBorders>
        <w:shd w:val="clear" w:color="FFFFFF" w:fill="auto"/>
      </w:tcPr>
    </w:tblStylePr>
    <w:tblStylePr w:type="band1Vert">
      <w:tblPr/>
      <w:tcPr>
        <w:shd w:val="clear" w:color="FDFDFD" w:fill="FDFDFD"/>
      </w:tcPr>
    </w:tblStylePr>
    <w:tblStylePr w:type="band1Horz">
      <w:rPr>
        <w:rFonts w:ascii="Arial" w:hAnsi="Arial"/>
        <w:color w:val="FAFAFA"/>
        <w:sz w:val="22"/>
      </w:rPr>
      <w:tblPr/>
      <w:tcPr>
        <w:shd w:val="clear" w:color="FDFDFD" w:fill="FDFDFD"/>
      </w:tcPr>
    </w:tblStylePr>
    <w:tblStylePr w:type="band2Horz">
      <w:rPr>
        <w:rFonts w:ascii="Arial" w:hAnsi="Arial"/>
        <w:color w:val="FAFAFA"/>
        <w:sz w:val="22"/>
      </w:rPr>
    </w:tblStylePr>
  </w:style>
  <w:style w:type="table" w:customStyle="1" w:styleId="GridTable7Colorful-Accent51">
    <w:name w:val="Grid Table 7 Colorful - Accent 51"/>
    <w:basedOn w:val="NormaleTabelle"/>
    <w:uiPriority w:val="99"/>
    <w:rsid w:val="0062351B"/>
    <w:tblPr>
      <w:tblStyleRowBandSize w:val="1"/>
      <w:tblStyleColBandSize w:val="1"/>
      <w:tblBorders>
        <w:bottom w:val="single" w:sz="4" w:space="0" w:color="8B8B8B"/>
        <w:right w:val="single" w:sz="4" w:space="0" w:color="8B8B8B"/>
        <w:insideH w:val="single" w:sz="4" w:space="0" w:color="8B8B8B"/>
        <w:insideV w:val="single" w:sz="4" w:space="0" w:color="8B8B8B"/>
      </w:tblBorders>
    </w:tblPr>
    <w:tblStylePr w:type="firstRow">
      <w:rPr>
        <w:rFonts w:ascii="Arial" w:hAnsi="Arial"/>
        <w:b/>
        <w:color w:val="1D1D1D"/>
        <w:sz w:val="22"/>
      </w:rPr>
      <w:tblPr/>
      <w:tcPr>
        <w:tcBorders>
          <w:top w:val="none" w:sz="0" w:space="0" w:color="auto"/>
          <w:left w:val="none" w:sz="0" w:space="0" w:color="auto"/>
          <w:bottom w:val="single" w:sz="4" w:space="0" w:color="8B8B8B"/>
          <w:right w:val="none" w:sz="0" w:space="0" w:color="auto"/>
        </w:tcBorders>
        <w:shd w:val="clear" w:color="FEFFFF" w:fill="FEFFFF"/>
      </w:tcPr>
    </w:tblStylePr>
    <w:tblStylePr w:type="lastRow">
      <w:rPr>
        <w:rFonts w:ascii="Arial" w:hAnsi="Arial"/>
        <w:b/>
        <w:color w:val="1D1D1D"/>
        <w:sz w:val="22"/>
      </w:rPr>
      <w:tblPr/>
      <w:tcPr>
        <w:tcBorders>
          <w:top w:val="single" w:sz="4" w:space="0" w:color="8B8B8B"/>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1D1D1D"/>
        <w:sz w:val="22"/>
      </w:rPr>
      <w:tblPr/>
      <w:tcPr>
        <w:tcBorders>
          <w:top w:val="none" w:sz="0" w:space="0" w:color="auto"/>
          <w:left w:val="none" w:sz="0" w:space="0" w:color="auto"/>
          <w:bottom w:val="none" w:sz="0" w:space="0" w:color="auto"/>
          <w:right w:val="single" w:sz="4" w:space="0" w:color="8B8B8B"/>
        </w:tcBorders>
        <w:shd w:val="clear" w:color="FFFFFF" w:fill="auto"/>
      </w:tcPr>
    </w:tblStylePr>
    <w:tblStylePr w:type="lastCol">
      <w:rPr>
        <w:rFonts w:ascii="Arial" w:hAnsi="Arial"/>
        <w:i/>
        <w:color w:val="1D1D1D"/>
        <w:sz w:val="22"/>
      </w:rPr>
      <w:tblPr/>
      <w:tcPr>
        <w:tcBorders>
          <w:top w:val="none" w:sz="0" w:space="0" w:color="auto"/>
          <w:left w:val="single" w:sz="4" w:space="0" w:color="8B8B8B"/>
          <w:bottom w:val="none" w:sz="0" w:space="0" w:color="auto"/>
          <w:right w:val="none" w:sz="0" w:space="0" w:color="auto"/>
        </w:tcBorders>
        <w:shd w:val="clear" w:color="FFFFFF" w:fill="auto"/>
      </w:tcPr>
    </w:tblStylePr>
    <w:tblStylePr w:type="band1Vert">
      <w:tblPr/>
      <w:tcPr>
        <w:shd w:val="clear" w:color="D5D5D5" w:fill="D5D5D5"/>
      </w:tcPr>
    </w:tblStylePr>
    <w:tblStylePr w:type="band1Horz">
      <w:rPr>
        <w:rFonts w:ascii="Arial" w:hAnsi="Arial"/>
        <w:color w:val="1D1D1D"/>
        <w:sz w:val="22"/>
      </w:rPr>
      <w:tblPr/>
      <w:tcPr>
        <w:shd w:val="clear" w:color="D5D5D5" w:fill="D5D5D5"/>
      </w:tcPr>
    </w:tblStylePr>
    <w:tblStylePr w:type="band2Horz">
      <w:rPr>
        <w:rFonts w:ascii="Arial" w:hAnsi="Arial"/>
        <w:color w:val="1D1D1D"/>
        <w:sz w:val="22"/>
      </w:rPr>
    </w:tblStylePr>
  </w:style>
  <w:style w:type="table" w:customStyle="1" w:styleId="GridTable7Colorful-Accent61">
    <w:name w:val="Grid Table 7 Colorful - Accent 61"/>
    <w:basedOn w:val="NormaleTabelle"/>
    <w:uiPriority w:val="99"/>
    <w:rsid w:val="0062351B"/>
    <w:tblPr>
      <w:tblStyleRowBandSize w:val="1"/>
      <w:tblStyleColBandSize w:val="1"/>
      <w:tblBorders>
        <w:bottom w:val="single" w:sz="4" w:space="0" w:color="F8F8F8"/>
        <w:right w:val="single" w:sz="4" w:space="0" w:color="F8F8F8"/>
        <w:insideH w:val="single" w:sz="4" w:space="0" w:color="F8F8F8"/>
        <w:insideV w:val="single" w:sz="4" w:space="0" w:color="F8F8F8"/>
      </w:tblBorders>
    </w:tblPr>
    <w:tblStylePr w:type="firstRow">
      <w:rPr>
        <w:rFonts w:ascii="Arial" w:hAnsi="Arial"/>
        <w:b/>
        <w:color w:val="939389"/>
        <w:sz w:val="22"/>
      </w:rPr>
      <w:tblPr/>
      <w:tcPr>
        <w:tcBorders>
          <w:top w:val="none" w:sz="0" w:space="0" w:color="auto"/>
          <w:left w:val="none" w:sz="0" w:space="0" w:color="auto"/>
          <w:bottom w:val="single" w:sz="4" w:space="0" w:color="F8F8F8"/>
          <w:right w:val="none" w:sz="0" w:space="0" w:color="auto"/>
        </w:tcBorders>
        <w:shd w:val="clear" w:color="FEFFFF" w:fill="FEFFFF"/>
      </w:tcPr>
    </w:tblStylePr>
    <w:tblStylePr w:type="lastRow">
      <w:rPr>
        <w:rFonts w:ascii="Arial" w:hAnsi="Arial"/>
        <w:b/>
        <w:color w:val="939389"/>
        <w:sz w:val="22"/>
      </w:rPr>
      <w:tblPr/>
      <w:tcPr>
        <w:tcBorders>
          <w:top w:val="single" w:sz="4" w:space="0" w:color="F8F8F8"/>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939389"/>
        <w:sz w:val="22"/>
      </w:rPr>
      <w:tblPr/>
      <w:tcPr>
        <w:tcBorders>
          <w:top w:val="none" w:sz="0" w:space="0" w:color="auto"/>
          <w:left w:val="none" w:sz="0" w:space="0" w:color="auto"/>
          <w:bottom w:val="none" w:sz="0" w:space="0" w:color="auto"/>
          <w:right w:val="single" w:sz="4" w:space="0" w:color="F8F8F8"/>
        </w:tcBorders>
        <w:shd w:val="clear" w:color="FFFFFF" w:fill="auto"/>
      </w:tcPr>
    </w:tblStylePr>
    <w:tblStylePr w:type="lastCol">
      <w:rPr>
        <w:rFonts w:ascii="Arial" w:hAnsi="Arial"/>
        <w:i/>
        <w:color w:val="939389"/>
        <w:sz w:val="22"/>
      </w:rPr>
      <w:tblPr/>
      <w:tcPr>
        <w:tcBorders>
          <w:top w:val="none" w:sz="0" w:space="0" w:color="auto"/>
          <w:left w:val="single" w:sz="4" w:space="0" w:color="F8F8F8"/>
          <w:bottom w:val="none" w:sz="0" w:space="0" w:color="auto"/>
          <w:right w:val="none" w:sz="0" w:space="0" w:color="auto"/>
        </w:tcBorders>
        <w:shd w:val="clear" w:color="FFFFFF" w:fill="auto"/>
      </w:tcPr>
    </w:tblStylePr>
    <w:tblStylePr w:type="band1Vert">
      <w:tblPr/>
      <w:tcPr>
        <w:shd w:val="clear" w:color="FCFCFC" w:fill="FCFCFC"/>
      </w:tcPr>
    </w:tblStylePr>
    <w:tblStylePr w:type="band1Horz">
      <w:rPr>
        <w:rFonts w:ascii="Arial" w:hAnsi="Arial"/>
        <w:color w:val="939389"/>
        <w:sz w:val="22"/>
      </w:rPr>
      <w:tblPr/>
      <w:tcPr>
        <w:shd w:val="clear" w:color="FCFCFC" w:fill="FCFCFC"/>
      </w:tcPr>
    </w:tblStylePr>
    <w:tblStylePr w:type="band2Horz">
      <w:rPr>
        <w:rFonts w:ascii="Arial" w:hAnsi="Arial"/>
        <w:color w:val="939389"/>
        <w:sz w:val="22"/>
      </w:rPr>
    </w:tblStylePr>
  </w:style>
  <w:style w:type="table" w:customStyle="1" w:styleId="Listentabelle1hell1">
    <w:name w:val="Listentabelle 1 hell1"/>
    <w:basedOn w:val="NormaleTabelle"/>
    <w:uiPriority w:val="99"/>
    <w:rsid w:val="0062351B"/>
    <w:tblPr>
      <w:tblStyleRowBandSize w:val="1"/>
      <w:tblStyleColBandSize w:val="1"/>
    </w:tblPr>
    <w:tblStylePr w:type="firstRow">
      <w:rPr>
        <w:b/>
        <w:color w:val="404040"/>
      </w:rPr>
      <w:tblPr/>
      <w:tcPr>
        <w:tcBorders>
          <w:top w:val="none" w:sz="4" w:space="0" w:color="000000"/>
          <w:left w:val="none" w:sz="4" w:space="0" w:color="000000"/>
          <w:bottom w:val="single" w:sz="4" w:space="0" w:color="333333"/>
          <w:right w:val="none" w:sz="4" w:space="0" w:color="000000"/>
        </w:tcBorders>
      </w:tcPr>
    </w:tblStylePr>
    <w:tblStylePr w:type="lastRow">
      <w:rPr>
        <w:b/>
        <w:color w:val="404040"/>
      </w:rPr>
      <w:tblPr/>
      <w:tcPr>
        <w:tcBorders>
          <w:top w:val="single" w:sz="4" w:space="0" w:color="33333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BCBCB" w:fill="CBCBCB"/>
      </w:tcPr>
    </w:tblStylePr>
    <w:tblStylePr w:type="band1Horz">
      <w:tblPr/>
      <w:tcPr>
        <w:shd w:val="clear" w:color="CBCBCB" w:fill="CBCBCB"/>
      </w:tcPr>
    </w:tblStylePr>
  </w:style>
  <w:style w:type="table" w:customStyle="1" w:styleId="ListTable1Light-Accent11">
    <w:name w:val="List Table 1 Light - Accent 11"/>
    <w:basedOn w:val="NormaleTabelle"/>
    <w:uiPriority w:val="99"/>
    <w:rsid w:val="0062351B"/>
    <w:tblPr>
      <w:tblStyleRowBandSize w:val="1"/>
      <w:tblStyleColBandSize w:val="1"/>
    </w:tblPr>
    <w:tblStylePr w:type="firstRow">
      <w:rPr>
        <w:b/>
        <w:color w:val="404040"/>
      </w:rPr>
      <w:tblPr/>
      <w:tcPr>
        <w:tcBorders>
          <w:top w:val="none" w:sz="4" w:space="0" w:color="000000"/>
          <w:left w:val="none" w:sz="4" w:space="0" w:color="000000"/>
          <w:bottom w:val="single" w:sz="4" w:space="0" w:color="104C91"/>
          <w:right w:val="none" w:sz="4" w:space="0" w:color="000000"/>
        </w:tcBorders>
      </w:tcPr>
    </w:tblStylePr>
    <w:tblStylePr w:type="lastRow">
      <w:rPr>
        <w:b/>
        <w:color w:val="404040"/>
      </w:rPr>
      <w:tblPr/>
      <w:tcPr>
        <w:tcBorders>
          <w:top w:val="single" w:sz="4" w:space="0" w:color="104C9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0D0F6" w:fill="B0D0F6"/>
      </w:tcPr>
    </w:tblStylePr>
    <w:tblStylePr w:type="band1Horz">
      <w:tblPr/>
      <w:tcPr>
        <w:shd w:val="clear" w:color="B0D0F6" w:fill="B0D0F6"/>
      </w:tcPr>
    </w:tblStylePr>
  </w:style>
  <w:style w:type="table" w:customStyle="1" w:styleId="ListTable1Light-Accent21">
    <w:name w:val="List Table 1 Light - Accent 21"/>
    <w:basedOn w:val="NormaleTabelle"/>
    <w:uiPriority w:val="99"/>
    <w:rsid w:val="0062351B"/>
    <w:tblPr>
      <w:tblStyleRowBandSize w:val="1"/>
      <w:tblStyleColBandSize w:val="1"/>
    </w:tblPr>
    <w:tblStylePr w:type="firstRow">
      <w:rPr>
        <w:b/>
        <w:color w:val="404040"/>
      </w:rPr>
      <w:tblPr/>
      <w:tcPr>
        <w:tcBorders>
          <w:top w:val="none" w:sz="4" w:space="0" w:color="000000"/>
          <w:left w:val="none" w:sz="4" w:space="0" w:color="000000"/>
          <w:bottom w:val="single" w:sz="4" w:space="0" w:color="86B3E1"/>
          <w:right w:val="none" w:sz="4" w:space="0" w:color="000000"/>
        </w:tcBorders>
      </w:tcPr>
    </w:tblStylePr>
    <w:tblStylePr w:type="lastRow">
      <w:rPr>
        <w:b/>
        <w:color w:val="404040"/>
      </w:rPr>
      <w:tblPr/>
      <w:tcPr>
        <w:tcBorders>
          <w:top w:val="single" w:sz="4" w:space="0" w:color="86B3E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0EBF7" w:fill="E0EBF7"/>
      </w:tcPr>
    </w:tblStylePr>
    <w:tblStylePr w:type="band1Horz">
      <w:tblPr/>
      <w:tcPr>
        <w:shd w:val="clear" w:color="E0EBF7" w:fill="E0EBF7"/>
      </w:tcPr>
    </w:tblStylePr>
  </w:style>
  <w:style w:type="table" w:customStyle="1" w:styleId="ListTable1Light-Accent31">
    <w:name w:val="List Table 1 Light - Accent 31"/>
    <w:basedOn w:val="NormaleTabelle"/>
    <w:uiPriority w:val="99"/>
    <w:rsid w:val="0062351B"/>
    <w:tblPr>
      <w:tblStyleRowBandSize w:val="1"/>
      <w:tblStyleColBandSize w:val="1"/>
    </w:tblPr>
    <w:tblStylePr w:type="firstRow">
      <w:rPr>
        <w:b/>
        <w:color w:val="404040"/>
      </w:rPr>
      <w:tblPr/>
      <w:tcPr>
        <w:tcBorders>
          <w:top w:val="none" w:sz="4" w:space="0" w:color="000000"/>
          <w:left w:val="none" w:sz="4" w:space="0" w:color="000000"/>
          <w:bottom w:val="single" w:sz="4" w:space="0" w:color="F49B19"/>
          <w:right w:val="none" w:sz="4" w:space="0" w:color="000000"/>
        </w:tcBorders>
      </w:tcPr>
    </w:tblStylePr>
    <w:tblStylePr w:type="lastRow">
      <w:rPr>
        <w:b/>
        <w:color w:val="404040"/>
      </w:rPr>
      <w:tblPr/>
      <w:tcPr>
        <w:tcBorders>
          <w:top w:val="single" w:sz="4" w:space="0" w:color="F49B19"/>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CE5C5" w:fill="FCE5C5"/>
      </w:tcPr>
    </w:tblStylePr>
    <w:tblStylePr w:type="band1Horz">
      <w:tblPr/>
      <w:tcPr>
        <w:shd w:val="clear" w:color="FCE5C5" w:fill="FCE5C5"/>
      </w:tcPr>
    </w:tblStylePr>
  </w:style>
  <w:style w:type="table" w:customStyle="1" w:styleId="ListTable1Light-Accent41">
    <w:name w:val="List Table 1 Light - Accent 41"/>
    <w:basedOn w:val="NormaleTabelle"/>
    <w:uiPriority w:val="99"/>
    <w:rsid w:val="0062351B"/>
    <w:tblPr>
      <w:tblStyleRowBandSize w:val="1"/>
      <w:tblStyleColBandSize w:val="1"/>
    </w:tblPr>
    <w:tblStylePr w:type="firstRow">
      <w:rPr>
        <w:b/>
        <w:color w:val="404040"/>
      </w:rPr>
      <w:tblPr/>
      <w:tcPr>
        <w:tcBorders>
          <w:top w:val="none" w:sz="4" w:space="0" w:color="000000"/>
          <w:left w:val="none" w:sz="4" w:space="0" w:color="000000"/>
          <w:bottom w:val="single" w:sz="4" w:space="0" w:color="F8F8F7"/>
          <w:right w:val="none" w:sz="4" w:space="0" w:color="000000"/>
        </w:tcBorders>
      </w:tcPr>
    </w:tblStylePr>
    <w:tblStylePr w:type="lastRow">
      <w:rPr>
        <w:b/>
        <w:color w:val="404040"/>
      </w:rPr>
      <w:tblPr/>
      <w:tcPr>
        <w:tcBorders>
          <w:top w:val="single" w:sz="4" w:space="0" w:color="F8F8F7"/>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FDFC" w:fill="FDFDFC"/>
      </w:tcPr>
    </w:tblStylePr>
    <w:tblStylePr w:type="band1Horz">
      <w:tblPr/>
      <w:tcPr>
        <w:shd w:val="clear" w:color="FDFDFC" w:fill="FDFDFC"/>
      </w:tcPr>
    </w:tblStylePr>
  </w:style>
  <w:style w:type="table" w:customStyle="1" w:styleId="ListTable1Light-Accent51">
    <w:name w:val="List Table 1 Light - Accent 51"/>
    <w:basedOn w:val="NormaleTabelle"/>
    <w:uiPriority w:val="99"/>
    <w:rsid w:val="0062351B"/>
    <w:tblPr>
      <w:tblStyleRowBandSize w:val="1"/>
      <w:tblStyleColBandSize w:val="1"/>
    </w:tblPr>
    <w:tblStylePr w:type="firstRow">
      <w:rPr>
        <w:b/>
        <w:color w:val="404040"/>
      </w:rPr>
      <w:tblPr/>
      <w:tcPr>
        <w:tcBorders>
          <w:top w:val="none" w:sz="4" w:space="0" w:color="000000"/>
          <w:left w:val="none" w:sz="4" w:space="0" w:color="000000"/>
          <w:bottom w:val="single" w:sz="4" w:space="0" w:color="333333"/>
          <w:right w:val="none" w:sz="4" w:space="0" w:color="000000"/>
        </w:tcBorders>
      </w:tcPr>
    </w:tblStylePr>
    <w:tblStylePr w:type="lastRow">
      <w:rPr>
        <w:b/>
        <w:color w:val="404040"/>
      </w:rPr>
      <w:tblPr/>
      <w:tcPr>
        <w:tcBorders>
          <w:top w:val="single" w:sz="4" w:space="0" w:color="33333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BCBCB" w:fill="CBCBCB"/>
      </w:tcPr>
    </w:tblStylePr>
    <w:tblStylePr w:type="band1Horz">
      <w:tblPr/>
      <w:tcPr>
        <w:shd w:val="clear" w:color="CBCBCB" w:fill="CBCBCB"/>
      </w:tcPr>
    </w:tblStylePr>
  </w:style>
  <w:style w:type="table" w:customStyle="1" w:styleId="ListTable1Light-Accent61">
    <w:name w:val="List Table 1 Light - Accent 61"/>
    <w:basedOn w:val="NormaleTabelle"/>
    <w:uiPriority w:val="99"/>
    <w:rsid w:val="0062351B"/>
    <w:tblPr>
      <w:tblStyleRowBandSize w:val="1"/>
      <w:tblStyleColBandSize w:val="1"/>
    </w:tblPr>
    <w:tblStylePr w:type="firstRow">
      <w:rPr>
        <w:b/>
        <w:color w:val="404040"/>
      </w:rPr>
      <w:tblPr/>
      <w:tcPr>
        <w:tcBorders>
          <w:top w:val="none" w:sz="4" w:space="0" w:color="000000"/>
          <w:left w:val="none" w:sz="4" w:space="0" w:color="000000"/>
          <w:bottom w:val="single" w:sz="4" w:space="0" w:color="F4F4F3"/>
          <w:right w:val="none" w:sz="4" w:space="0" w:color="000000"/>
        </w:tcBorders>
      </w:tcPr>
    </w:tblStylePr>
    <w:tblStylePr w:type="lastRow">
      <w:rPr>
        <w:b/>
        <w:color w:val="404040"/>
      </w:rPr>
      <w:tblPr/>
      <w:tcPr>
        <w:tcBorders>
          <w:top w:val="single" w:sz="4" w:space="0" w:color="F4F4F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CFCFB" w:fill="FCFCFB"/>
      </w:tcPr>
    </w:tblStylePr>
    <w:tblStylePr w:type="band1Horz">
      <w:tblPr/>
      <w:tcPr>
        <w:shd w:val="clear" w:color="FCFCFB" w:fill="FCFCFB"/>
      </w:tcPr>
    </w:tblStylePr>
  </w:style>
  <w:style w:type="table" w:customStyle="1" w:styleId="Listentabelle21">
    <w:name w:val="Listentabelle 21"/>
    <w:basedOn w:val="NormaleTabelle"/>
    <w:uiPriority w:val="99"/>
    <w:rsid w:val="0062351B"/>
    <w:tblPr>
      <w:tblStyleRowBandSize w:val="1"/>
      <w:tblStyleColBandSize w:val="1"/>
      <w:tblBorders>
        <w:top w:val="single" w:sz="4" w:space="0" w:color="8B8B8B"/>
        <w:bottom w:val="single" w:sz="4" w:space="0" w:color="8B8B8B"/>
        <w:insideH w:val="single" w:sz="4" w:space="0" w:color="8B8B8B"/>
      </w:tblBorders>
    </w:tblPr>
    <w:tblStylePr w:type="firstRow">
      <w:rPr>
        <w:rFonts w:ascii="Arial" w:hAnsi="Arial"/>
        <w:b/>
        <w:color w:val="404040"/>
        <w:sz w:val="22"/>
      </w:rPr>
      <w:tblPr/>
      <w:tcPr>
        <w:tcBorders>
          <w:top w:val="single" w:sz="4" w:space="0" w:color="8B8B8B"/>
          <w:left w:val="none" w:sz="4" w:space="0" w:color="000000"/>
          <w:bottom w:val="single" w:sz="4" w:space="0" w:color="8B8B8B"/>
          <w:right w:val="none" w:sz="4" w:space="0" w:color="000000"/>
        </w:tcBorders>
      </w:tcPr>
    </w:tblStylePr>
    <w:tblStylePr w:type="lastRow">
      <w:rPr>
        <w:rFonts w:ascii="Arial" w:hAnsi="Arial"/>
        <w:b/>
        <w:color w:val="404040"/>
        <w:sz w:val="22"/>
      </w:rPr>
      <w:tblPr/>
      <w:tcPr>
        <w:tcBorders>
          <w:top w:val="single" w:sz="4" w:space="0" w:color="8B8B8B"/>
          <w:left w:val="none" w:sz="4" w:space="0" w:color="000000"/>
          <w:bottom w:val="single" w:sz="4" w:space="0" w:color="8B8B8B"/>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ListTable2-Accent11">
    <w:name w:val="List Table 2 - Accent 11"/>
    <w:basedOn w:val="NormaleTabelle"/>
    <w:uiPriority w:val="99"/>
    <w:rsid w:val="0062351B"/>
    <w:tblPr>
      <w:tblStyleRowBandSize w:val="1"/>
      <w:tblStyleColBandSize w:val="1"/>
      <w:tblBorders>
        <w:top w:val="single" w:sz="4" w:space="0" w:color="4D96EB"/>
        <w:bottom w:val="single" w:sz="4" w:space="0" w:color="4D96EB"/>
        <w:insideH w:val="single" w:sz="4" w:space="0" w:color="4D96EB"/>
      </w:tblBorders>
    </w:tblPr>
    <w:tblStylePr w:type="firstRow">
      <w:rPr>
        <w:rFonts w:ascii="Arial" w:hAnsi="Arial"/>
        <w:b/>
        <w:color w:val="404040"/>
        <w:sz w:val="22"/>
      </w:rPr>
      <w:tblPr/>
      <w:tcPr>
        <w:tcBorders>
          <w:top w:val="single" w:sz="4" w:space="0" w:color="4D96EB"/>
          <w:left w:val="none" w:sz="4" w:space="0" w:color="000000"/>
          <w:bottom w:val="single" w:sz="4" w:space="0" w:color="4D96EB"/>
          <w:right w:val="none" w:sz="4" w:space="0" w:color="000000"/>
        </w:tcBorders>
      </w:tcPr>
    </w:tblStylePr>
    <w:tblStylePr w:type="lastRow">
      <w:rPr>
        <w:rFonts w:ascii="Arial" w:hAnsi="Arial"/>
        <w:b/>
        <w:color w:val="404040"/>
        <w:sz w:val="22"/>
      </w:rPr>
      <w:tblPr/>
      <w:tcPr>
        <w:tcBorders>
          <w:top w:val="single" w:sz="4" w:space="0" w:color="4D96EB"/>
          <w:left w:val="none" w:sz="4" w:space="0" w:color="000000"/>
          <w:bottom w:val="single" w:sz="4" w:space="0" w:color="4D96EB"/>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0D0F6" w:fill="B0D0F6"/>
      </w:tcPr>
    </w:tblStylePr>
    <w:tblStylePr w:type="band1Horz">
      <w:rPr>
        <w:rFonts w:ascii="Arial" w:hAnsi="Arial"/>
        <w:color w:val="404040"/>
        <w:sz w:val="22"/>
      </w:rPr>
      <w:tblPr/>
      <w:tcPr>
        <w:shd w:val="clear" w:color="B0D0F6" w:fill="B0D0F6"/>
      </w:tcPr>
    </w:tblStylePr>
  </w:style>
  <w:style w:type="table" w:customStyle="1" w:styleId="ListTable2-Accent21">
    <w:name w:val="List Table 2 - Accent 21"/>
    <w:basedOn w:val="NormaleTabelle"/>
    <w:uiPriority w:val="99"/>
    <w:rsid w:val="0062351B"/>
    <w:tblPr>
      <w:tblStyleRowBandSize w:val="1"/>
      <w:tblStyleColBandSize w:val="1"/>
      <w:tblBorders>
        <w:top w:val="single" w:sz="4" w:space="0" w:color="BAD4EE"/>
        <w:bottom w:val="single" w:sz="4" w:space="0" w:color="BAD4EE"/>
        <w:insideH w:val="single" w:sz="4" w:space="0" w:color="BAD4EE"/>
      </w:tblBorders>
    </w:tblPr>
    <w:tblStylePr w:type="firstRow">
      <w:rPr>
        <w:rFonts w:ascii="Arial" w:hAnsi="Arial"/>
        <w:b/>
        <w:color w:val="404040"/>
        <w:sz w:val="22"/>
      </w:rPr>
      <w:tblPr/>
      <w:tcPr>
        <w:tcBorders>
          <w:top w:val="single" w:sz="4" w:space="0" w:color="BAD4EE"/>
          <w:left w:val="none" w:sz="4" w:space="0" w:color="000000"/>
          <w:bottom w:val="single" w:sz="4" w:space="0" w:color="BAD4EE"/>
          <w:right w:val="none" w:sz="4" w:space="0" w:color="000000"/>
        </w:tcBorders>
      </w:tcPr>
    </w:tblStylePr>
    <w:tblStylePr w:type="lastRow">
      <w:rPr>
        <w:rFonts w:ascii="Arial" w:hAnsi="Arial"/>
        <w:b/>
        <w:color w:val="404040"/>
        <w:sz w:val="22"/>
      </w:rPr>
      <w:tblPr/>
      <w:tcPr>
        <w:tcBorders>
          <w:top w:val="single" w:sz="4" w:space="0" w:color="BAD4EE"/>
          <w:left w:val="none" w:sz="4" w:space="0" w:color="000000"/>
          <w:bottom w:val="single" w:sz="4" w:space="0" w:color="BAD4EE"/>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0EBF7" w:fill="E0EBF7"/>
      </w:tcPr>
    </w:tblStylePr>
    <w:tblStylePr w:type="band1Horz">
      <w:rPr>
        <w:rFonts w:ascii="Arial" w:hAnsi="Arial"/>
        <w:color w:val="404040"/>
        <w:sz w:val="22"/>
      </w:rPr>
      <w:tblPr/>
      <w:tcPr>
        <w:shd w:val="clear" w:color="E0EBF7" w:fill="E0EBF7"/>
      </w:tcPr>
    </w:tblStylePr>
  </w:style>
  <w:style w:type="table" w:customStyle="1" w:styleId="ListTable2-Accent31">
    <w:name w:val="List Table 2 - Accent 31"/>
    <w:basedOn w:val="NormaleTabelle"/>
    <w:uiPriority w:val="99"/>
    <w:rsid w:val="0062351B"/>
    <w:tblPr>
      <w:tblStyleRowBandSize w:val="1"/>
      <w:tblStyleColBandSize w:val="1"/>
      <w:tblBorders>
        <w:top w:val="single" w:sz="4" w:space="0" w:color="F8C67C"/>
        <w:bottom w:val="single" w:sz="4" w:space="0" w:color="F8C67C"/>
        <w:insideH w:val="single" w:sz="4" w:space="0" w:color="F8C67C"/>
      </w:tblBorders>
    </w:tblPr>
    <w:tblStylePr w:type="firstRow">
      <w:rPr>
        <w:rFonts w:ascii="Arial" w:hAnsi="Arial"/>
        <w:b/>
        <w:color w:val="404040"/>
        <w:sz w:val="22"/>
      </w:rPr>
      <w:tblPr/>
      <w:tcPr>
        <w:tcBorders>
          <w:top w:val="single" w:sz="4" w:space="0" w:color="F8C67C"/>
          <w:left w:val="none" w:sz="4" w:space="0" w:color="000000"/>
          <w:bottom w:val="single" w:sz="4" w:space="0" w:color="F8C67C"/>
          <w:right w:val="none" w:sz="4" w:space="0" w:color="000000"/>
        </w:tcBorders>
      </w:tcPr>
    </w:tblStylePr>
    <w:tblStylePr w:type="lastRow">
      <w:rPr>
        <w:rFonts w:ascii="Arial" w:hAnsi="Arial"/>
        <w:b/>
        <w:color w:val="404040"/>
        <w:sz w:val="22"/>
      </w:rPr>
      <w:tblPr/>
      <w:tcPr>
        <w:tcBorders>
          <w:top w:val="single" w:sz="4" w:space="0" w:color="F8C67C"/>
          <w:left w:val="none" w:sz="4" w:space="0" w:color="000000"/>
          <w:bottom w:val="single" w:sz="4" w:space="0" w:color="F8C67C"/>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CE5C5" w:fill="FCE5C5"/>
      </w:tcPr>
    </w:tblStylePr>
    <w:tblStylePr w:type="band1Horz">
      <w:rPr>
        <w:rFonts w:ascii="Arial" w:hAnsi="Arial"/>
        <w:color w:val="404040"/>
        <w:sz w:val="22"/>
      </w:rPr>
      <w:tblPr/>
      <w:tcPr>
        <w:shd w:val="clear" w:color="FCE5C5" w:fill="FCE5C5"/>
      </w:tcPr>
    </w:tblStylePr>
  </w:style>
  <w:style w:type="table" w:customStyle="1" w:styleId="ListTable2-Accent41">
    <w:name w:val="List Table 2 - Accent 41"/>
    <w:basedOn w:val="NormaleTabelle"/>
    <w:uiPriority w:val="99"/>
    <w:rsid w:val="0062351B"/>
    <w:tblPr>
      <w:tblStyleRowBandSize w:val="1"/>
      <w:tblStyleColBandSize w:val="1"/>
      <w:tblBorders>
        <w:top w:val="single" w:sz="4" w:space="0" w:color="FBFBFA"/>
        <w:bottom w:val="single" w:sz="4" w:space="0" w:color="FBFBFA"/>
        <w:insideH w:val="single" w:sz="4" w:space="0" w:color="FBFBFA"/>
      </w:tblBorders>
    </w:tblPr>
    <w:tblStylePr w:type="firstRow">
      <w:rPr>
        <w:rFonts w:ascii="Arial" w:hAnsi="Arial"/>
        <w:b/>
        <w:color w:val="404040"/>
        <w:sz w:val="22"/>
      </w:rPr>
      <w:tblPr/>
      <w:tcPr>
        <w:tcBorders>
          <w:top w:val="single" w:sz="4" w:space="0" w:color="FBFBFA"/>
          <w:left w:val="none" w:sz="4" w:space="0" w:color="000000"/>
          <w:bottom w:val="single" w:sz="4" w:space="0" w:color="FBFBFA"/>
          <w:right w:val="none" w:sz="4" w:space="0" w:color="000000"/>
        </w:tcBorders>
      </w:tcPr>
    </w:tblStylePr>
    <w:tblStylePr w:type="lastRow">
      <w:rPr>
        <w:rFonts w:ascii="Arial" w:hAnsi="Arial"/>
        <w:b/>
        <w:color w:val="404040"/>
        <w:sz w:val="22"/>
      </w:rPr>
      <w:tblPr/>
      <w:tcPr>
        <w:tcBorders>
          <w:top w:val="single" w:sz="4" w:space="0" w:color="FBFBFA"/>
          <w:left w:val="none" w:sz="4" w:space="0" w:color="000000"/>
          <w:bottom w:val="single" w:sz="4" w:space="0" w:color="FBFBFA"/>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FDFC" w:fill="FDFDFC"/>
      </w:tcPr>
    </w:tblStylePr>
    <w:tblStylePr w:type="band1Horz">
      <w:rPr>
        <w:rFonts w:ascii="Arial" w:hAnsi="Arial"/>
        <w:color w:val="404040"/>
        <w:sz w:val="22"/>
      </w:rPr>
      <w:tblPr/>
      <w:tcPr>
        <w:shd w:val="clear" w:color="FDFDFC" w:fill="FDFDFC"/>
      </w:tcPr>
    </w:tblStylePr>
  </w:style>
  <w:style w:type="table" w:customStyle="1" w:styleId="ListTable2-Accent51">
    <w:name w:val="List Table 2 - Accent 51"/>
    <w:basedOn w:val="NormaleTabelle"/>
    <w:uiPriority w:val="99"/>
    <w:rsid w:val="0062351B"/>
    <w:tblPr>
      <w:tblStyleRowBandSize w:val="1"/>
      <w:tblStyleColBandSize w:val="1"/>
      <w:tblBorders>
        <w:top w:val="single" w:sz="4" w:space="0" w:color="8B8B8B"/>
        <w:bottom w:val="single" w:sz="4" w:space="0" w:color="8B8B8B"/>
        <w:insideH w:val="single" w:sz="4" w:space="0" w:color="8B8B8B"/>
      </w:tblBorders>
    </w:tblPr>
    <w:tblStylePr w:type="firstRow">
      <w:rPr>
        <w:rFonts w:ascii="Arial" w:hAnsi="Arial"/>
        <w:b/>
        <w:color w:val="404040"/>
        <w:sz w:val="22"/>
      </w:rPr>
      <w:tblPr/>
      <w:tcPr>
        <w:tcBorders>
          <w:top w:val="single" w:sz="4" w:space="0" w:color="8B8B8B"/>
          <w:left w:val="none" w:sz="4" w:space="0" w:color="000000"/>
          <w:bottom w:val="single" w:sz="4" w:space="0" w:color="8B8B8B"/>
          <w:right w:val="none" w:sz="4" w:space="0" w:color="000000"/>
        </w:tcBorders>
      </w:tcPr>
    </w:tblStylePr>
    <w:tblStylePr w:type="lastRow">
      <w:rPr>
        <w:rFonts w:ascii="Arial" w:hAnsi="Arial"/>
        <w:b/>
        <w:color w:val="404040"/>
        <w:sz w:val="22"/>
      </w:rPr>
      <w:tblPr/>
      <w:tcPr>
        <w:tcBorders>
          <w:top w:val="single" w:sz="4" w:space="0" w:color="8B8B8B"/>
          <w:left w:val="none" w:sz="4" w:space="0" w:color="000000"/>
          <w:bottom w:val="single" w:sz="4" w:space="0" w:color="8B8B8B"/>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ListTable2-Accent61">
    <w:name w:val="List Table 2 - Accent 61"/>
    <w:basedOn w:val="NormaleTabelle"/>
    <w:uiPriority w:val="99"/>
    <w:rsid w:val="0062351B"/>
    <w:tblPr>
      <w:tblStyleRowBandSize w:val="1"/>
      <w:tblStyleColBandSize w:val="1"/>
      <w:tblBorders>
        <w:top w:val="single" w:sz="4" w:space="0" w:color="F8F8F8"/>
        <w:bottom w:val="single" w:sz="4" w:space="0" w:color="F8F8F8"/>
        <w:insideH w:val="single" w:sz="4" w:space="0" w:color="F8F8F8"/>
      </w:tblBorders>
    </w:tblPr>
    <w:tblStylePr w:type="firstRow">
      <w:rPr>
        <w:rFonts w:ascii="Arial" w:hAnsi="Arial"/>
        <w:b/>
        <w:color w:val="404040"/>
        <w:sz w:val="22"/>
      </w:rPr>
      <w:tblPr/>
      <w:tcPr>
        <w:tcBorders>
          <w:top w:val="single" w:sz="4" w:space="0" w:color="F8F8F8"/>
          <w:left w:val="none" w:sz="4" w:space="0" w:color="000000"/>
          <w:bottom w:val="single" w:sz="4" w:space="0" w:color="F8F8F8"/>
          <w:right w:val="none" w:sz="4" w:space="0" w:color="000000"/>
        </w:tcBorders>
      </w:tcPr>
    </w:tblStylePr>
    <w:tblStylePr w:type="lastRow">
      <w:rPr>
        <w:rFonts w:ascii="Arial" w:hAnsi="Arial"/>
        <w:b/>
        <w:color w:val="404040"/>
        <w:sz w:val="22"/>
      </w:rPr>
      <w:tblPr/>
      <w:tcPr>
        <w:tcBorders>
          <w:top w:val="single" w:sz="4" w:space="0" w:color="F8F8F8"/>
          <w:left w:val="none" w:sz="4" w:space="0" w:color="000000"/>
          <w:bottom w:val="single" w:sz="4" w:space="0" w:color="F8F8F8"/>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CFCFB" w:fill="FCFCFB"/>
      </w:tcPr>
    </w:tblStylePr>
    <w:tblStylePr w:type="band1Horz">
      <w:rPr>
        <w:rFonts w:ascii="Arial" w:hAnsi="Arial"/>
        <w:color w:val="404040"/>
        <w:sz w:val="22"/>
      </w:rPr>
      <w:tblPr/>
      <w:tcPr>
        <w:shd w:val="clear" w:color="FCFCFB" w:fill="FCFCFB"/>
      </w:tcPr>
    </w:tblStylePr>
  </w:style>
  <w:style w:type="table" w:customStyle="1" w:styleId="Listentabelle31">
    <w:name w:val="Listentabelle 31"/>
    <w:basedOn w:val="NormaleTabelle"/>
    <w:uiPriority w:val="99"/>
    <w:rsid w:val="0062351B"/>
    <w:tblPr>
      <w:tblStyleRowBandSize w:val="1"/>
      <w:tblStyleColBandSize w:val="1"/>
      <w:tblBorders>
        <w:top w:val="single" w:sz="4" w:space="0" w:color="333333"/>
        <w:left w:val="single" w:sz="4" w:space="0" w:color="333333"/>
        <w:bottom w:val="single" w:sz="4" w:space="0" w:color="333333"/>
        <w:right w:val="single" w:sz="4" w:space="0" w:color="333333"/>
      </w:tblBorders>
    </w:tblPr>
    <w:tblStylePr w:type="firstRow">
      <w:rPr>
        <w:rFonts w:ascii="Arial" w:hAnsi="Arial"/>
        <w:b/>
        <w:color w:val="FFFFFF"/>
        <w:sz w:val="22"/>
      </w:rPr>
      <w:tblPr/>
      <w:tcPr>
        <w:shd w:val="clear" w:color="333333" w:fill="33333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333333"/>
          <w:right w:val="single" w:sz="4" w:space="0" w:color="333333"/>
        </w:tcBorders>
      </w:tcPr>
    </w:tblStylePr>
    <w:tblStylePr w:type="band1Horz">
      <w:rPr>
        <w:rFonts w:ascii="Arial" w:hAnsi="Arial"/>
        <w:color w:val="404040"/>
        <w:sz w:val="22"/>
      </w:rPr>
      <w:tblPr/>
      <w:tcPr>
        <w:tcBorders>
          <w:top w:val="single" w:sz="4" w:space="0" w:color="333333"/>
          <w:bottom w:val="single" w:sz="4" w:space="0" w:color="333333"/>
        </w:tcBorders>
      </w:tcPr>
    </w:tblStylePr>
  </w:style>
  <w:style w:type="table" w:customStyle="1" w:styleId="ListTable3-Accent11">
    <w:name w:val="List Table 3 - Accent 11"/>
    <w:basedOn w:val="NormaleTabelle"/>
    <w:uiPriority w:val="99"/>
    <w:rsid w:val="0062351B"/>
    <w:tblPr>
      <w:tblStyleRowBandSize w:val="1"/>
      <w:tblStyleColBandSize w:val="1"/>
      <w:tblBorders>
        <w:top w:val="single" w:sz="4" w:space="0" w:color="104C91"/>
        <w:left w:val="single" w:sz="4" w:space="0" w:color="104C91"/>
        <w:bottom w:val="single" w:sz="4" w:space="0" w:color="104C91"/>
        <w:right w:val="single" w:sz="4" w:space="0" w:color="104C91"/>
      </w:tblBorders>
    </w:tblPr>
    <w:tblStylePr w:type="firstRow">
      <w:rPr>
        <w:rFonts w:ascii="Arial" w:hAnsi="Arial"/>
        <w:b/>
        <w:color w:val="FFFFFF"/>
        <w:sz w:val="22"/>
      </w:rPr>
      <w:tblPr/>
      <w:tcPr>
        <w:shd w:val="clear" w:color="104C91" w:fill="104C9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04C91"/>
          <w:right w:val="single" w:sz="4" w:space="0" w:color="104C91"/>
        </w:tcBorders>
      </w:tcPr>
    </w:tblStylePr>
    <w:tblStylePr w:type="band1Horz">
      <w:rPr>
        <w:rFonts w:ascii="Arial" w:hAnsi="Arial"/>
        <w:color w:val="404040"/>
        <w:sz w:val="22"/>
      </w:rPr>
      <w:tblPr/>
      <w:tcPr>
        <w:tcBorders>
          <w:top w:val="single" w:sz="4" w:space="0" w:color="104C91"/>
          <w:bottom w:val="single" w:sz="4" w:space="0" w:color="104C91"/>
        </w:tcBorders>
      </w:tcPr>
    </w:tblStylePr>
  </w:style>
  <w:style w:type="table" w:customStyle="1" w:styleId="ListTable3-Accent21">
    <w:name w:val="List Table 3 - Accent 21"/>
    <w:basedOn w:val="NormaleTabelle"/>
    <w:uiPriority w:val="99"/>
    <w:rsid w:val="0062351B"/>
    <w:tblPr>
      <w:tblStyleRowBandSize w:val="1"/>
      <w:tblStyleColBandSize w:val="1"/>
      <w:tblBorders>
        <w:top w:val="single" w:sz="4" w:space="0" w:color="B7D1ED"/>
        <w:left w:val="single" w:sz="4" w:space="0" w:color="B7D1ED"/>
        <w:bottom w:val="single" w:sz="4" w:space="0" w:color="B7D1ED"/>
        <w:right w:val="single" w:sz="4" w:space="0" w:color="B7D1ED"/>
      </w:tblBorders>
    </w:tblPr>
    <w:tblStylePr w:type="firstRow">
      <w:rPr>
        <w:rFonts w:ascii="Arial" w:hAnsi="Arial"/>
        <w:b/>
        <w:color w:val="FFFFFF"/>
        <w:sz w:val="22"/>
      </w:rPr>
      <w:tblPr/>
      <w:tcPr>
        <w:shd w:val="clear" w:color="B7D1ED" w:fill="B7D1ED"/>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7D1ED"/>
          <w:right w:val="single" w:sz="4" w:space="0" w:color="B7D1ED"/>
        </w:tcBorders>
      </w:tcPr>
    </w:tblStylePr>
    <w:tblStylePr w:type="band1Horz">
      <w:rPr>
        <w:rFonts w:ascii="Arial" w:hAnsi="Arial"/>
        <w:color w:val="404040"/>
        <w:sz w:val="22"/>
      </w:rPr>
      <w:tblPr/>
      <w:tcPr>
        <w:tcBorders>
          <w:top w:val="single" w:sz="4" w:space="0" w:color="B7D1ED"/>
          <w:bottom w:val="single" w:sz="4" w:space="0" w:color="B7D1ED"/>
        </w:tcBorders>
      </w:tcPr>
    </w:tblStylePr>
  </w:style>
  <w:style w:type="table" w:customStyle="1" w:styleId="ListTable3-Accent31">
    <w:name w:val="List Table 3 - Accent 31"/>
    <w:basedOn w:val="NormaleTabelle"/>
    <w:uiPriority w:val="99"/>
    <w:rsid w:val="0062351B"/>
    <w:tblPr>
      <w:tblStyleRowBandSize w:val="1"/>
      <w:tblStyleColBandSize w:val="1"/>
      <w:tblBorders>
        <w:top w:val="single" w:sz="4" w:space="0" w:color="F8C375"/>
        <w:left w:val="single" w:sz="4" w:space="0" w:color="F8C375"/>
        <w:bottom w:val="single" w:sz="4" w:space="0" w:color="F8C375"/>
        <w:right w:val="single" w:sz="4" w:space="0" w:color="F8C375"/>
      </w:tblBorders>
    </w:tblPr>
    <w:tblStylePr w:type="firstRow">
      <w:rPr>
        <w:rFonts w:ascii="Arial" w:hAnsi="Arial"/>
        <w:b/>
        <w:color w:val="FFFFFF"/>
        <w:sz w:val="22"/>
      </w:rPr>
      <w:tblPr/>
      <w:tcPr>
        <w:shd w:val="clear" w:color="F8C375" w:fill="F8C37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8C375"/>
          <w:right w:val="single" w:sz="4" w:space="0" w:color="F8C375"/>
        </w:tcBorders>
      </w:tcPr>
    </w:tblStylePr>
    <w:tblStylePr w:type="band1Horz">
      <w:rPr>
        <w:rFonts w:ascii="Arial" w:hAnsi="Arial"/>
        <w:color w:val="404040"/>
        <w:sz w:val="22"/>
      </w:rPr>
      <w:tblPr/>
      <w:tcPr>
        <w:tcBorders>
          <w:top w:val="single" w:sz="4" w:space="0" w:color="F8C375"/>
          <w:bottom w:val="single" w:sz="4" w:space="0" w:color="F8C375"/>
        </w:tcBorders>
      </w:tcPr>
    </w:tblStylePr>
  </w:style>
  <w:style w:type="table" w:customStyle="1" w:styleId="ListTable3-Accent41">
    <w:name w:val="List Table 3 - Accent 41"/>
    <w:basedOn w:val="NormaleTabelle"/>
    <w:uiPriority w:val="99"/>
    <w:rsid w:val="0062351B"/>
    <w:tblPr>
      <w:tblStyleRowBandSize w:val="1"/>
      <w:tblStyleColBandSize w:val="1"/>
      <w:tblBorders>
        <w:top w:val="single" w:sz="4" w:space="0" w:color="FAFAFA"/>
        <w:left w:val="single" w:sz="4" w:space="0" w:color="FAFAFA"/>
        <w:bottom w:val="single" w:sz="4" w:space="0" w:color="FAFAFA"/>
        <w:right w:val="single" w:sz="4" w:space="0" w:color="FAFAFA"/>
      </w:tblBorders>
    </w:tblPr>
    <w:tblStylePr w:type="firstRow">
      <w:rPr>
        <w:rFonts w:ascii="Arial" w:hAnsi="Arial"/>
        <w:b/>
        <w:color w:val="FFFFFF"/>
        <w:sz w:val="22"/>
      </w:rPr>
      <w:tblPr/>
      <w:tcPr>
        <w:shd w:val="clear" w:color="FAFAFA" w:fill="FAFAF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FAFA"/>
          <w:right w:val="single" w:sz="4" w:space="0" w:color="FAFAFA"/>
        </w:tcBorders>
      </w:tcPr>
    </w:tblStylePr>
    <w:tblStylePr w:type="band1Horz">
      <w:rPr>
        <w:rFonts w:ascii="Arial" w:hAnsi="Arial"/>
        <w:color w:val="404040"/>
        <w:sz w:val="22"/>
      </w:rPr>
      <w:tblPr/>
      <w:tcPr>
        <w:tcBorders>
          <w:top w:val="single" w:sz="4" w:space="0" w:color="FAFAFA"/>
          <w:bottom w:val="single" w:sz="4" w:space="0" w:color="FAFAFA"/>
        </w:tcBorders>
      </w:tcPr>
    </w:tblStylePr>
  </w:style>
  <w:style w:type="table" w:customStyle="1" w:styleId="ListTable3-Accent51">
    <w:name w:val="List Table 3 - Accent 51"/>
    <w:basedOn w:val="NormaleTabelle"/>
    <w:uiPriority w:val="99"/>
    <w:rsid w:val="0062351B"/>
    <w:tblPr>
      <w:tblStyleRowBandSize w:val="1"/>
      <w:tblStyleColBandSize w:val="1"/>
      <w:tblBorders>
        <w:top w:val="single" w:sz="4" w:space="0" w:color="838383"/>
        <w:left w:val="single" w:sz="4" w:space="0" w:color="838383"/>
        <w:bottom w:val="single" w:sz="4" w:space="0" w:color="838383"/>
        <w:right w:val="single" w:sz="4" w:space="0" w:color="838383"/>
      </w:tblBorders>
    </w:tblPr>
    <w:tblStylePr w:type="firstRow">
      <w:rPr>
        <w:rFonts w:ascii="Arial" w:hAnsi="Arial"/>
        <w:b/>
        <w:color w:val="FFFFFF"/>
        <w:sz w:val="22"/>
      </w:rPr>
      <w:tblPr/>
      <w:tcPr>
        <w:shd w:val="clear" w:color="838383" w:fill="83838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38383"/>
          <w:right w:val="single" w:sz="4" w:space="0" w:color="838383"/>
        </w:tcBorders>
      </w:tcPr>
    </w:tblStylePr>
    <w:tblStylePr w:type="band1Horz">
      <w:rPr>
        <w:rFonts w:ascii="Arial" w:hAnsi="Arial"/>
        <w:color w:val="404040"/>
        <w:sz w:val="22"/>
      </w:rPr>
      <w:tblPr/>
      <w:tcPr>
        <w:tcBorders>
          <w:top w:val="single" w:sz="4" w:space="0" w:color="838383"/>
          <w:bottom w:val="single" w:sz="4" w:space="0" w:color="838383"/>
        </w:tcBorders>
      </w:tcPr>
    </w:tblStylePr>
  </w:style>
  <w:style w:type="table" w:customStyle="1" w:styleId="ListTable3-Accent61">
    <w:name w:val="List Table 3 - Accent 61"/>
    <w:basedOn w:val="NormaleTabelle"/>
    <w:uiPriority w:val="99"/>
    <w:rsid w:val="0062351B"/>
    <w:tblPr>
      <w:tblStyleRowBandSize w:val="1"/>
      <w:tblStyleColBandSize w:val="1"/>
      <w:tblBorders>
        <w:top w:val="single" w:sz="4" w:space="0" w:color="F8F8F7"/>
        <w:left w:val="single" w:sz="4" w:space="0" w:color="F8F8F7"/>
        <w:bottom w:val="single" w:sz="4" w:space="0" w:color="F8F8F7"/>
        <w:right w:val="single" w:sz="4" w:space="0" w:color="F8F8F7"/>
      </w:tblBorders>
    </w:tblPr>
    <w:tblStylePr w:type="firstRow">
      <w:rPr>
        <w:rFonts w:ascii="Arial" w:hAnsi="Arial"/>
        <w:b/>
        <w:color w:val="FFFFFF"/>
        <w:sz w:val="22"/>
      </w:rPr>
      <w:tblPr/>
      <w:tcPr>
        <w:shd w:val="clear" w:color="F8F8F7" w:fill="F8F8F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8F8F7"/>
          <w:right w:val="single" w:sz="4" w:space="0" w:color="F8F8F7"/>
        </w:tcBorders>
      </w:tcPr>
    </w:tblStylePr>
    <w:tblStylePr w:type="band1Horz">
      <w:rPr>
        <w:rFonts w:ascii="Arial" w:hAnsi="Arial"/>
        <w:color w:val="404040"/>
        <w:sz w:val="22"/>
      </w:rPr>
      <w:tblPr/>
      <w:tcPr>
        <w:tcBorders>
          <w:top w:val="single" w:sz="4" w:space="0" w:color="F8F8F7"/>
          <w:bottom w:val="single" w:sz="4" w:space="0" w:color="F8F8F7"/>
        </w:tcBorders>
      </w:tcPr>
    </w:tblStylePr>
  </w:style>
  <w:style w:type="table" w:customStyle="1" w:styleId="Listentabelle41">
    <w:name w:val="Listentabelle 41"/>
    <w:basedOn w:val="NormaleTabelle"/>
    <w:uiPriority w:val="99"/>
    <w:rsid w:val="0062351B"/>
    <w:tblPr>
      <w:tblStyleRowBandSize w:val="1"/>
      <w:tblStyleColBandSize w:val="1"/>
      <w:tblBorders>
        <w:top w:val="single" w:sz="4" w:space="0" w:color="333333"/>
        <w:left w:val="single" w:sz="4" w:space="0" w:color="333333"/>
        <w:bottom w:val="single" w:sz="4" w:space="0" w:color="333333"/>
        <w:right w:val="single" w:sz="4" w:space="0" w:color="333333"/>
        <w:insideH w:val="single" w:sz="4" w:space="0" w:color="333333"/>
      </w:tblBorders>
    </w:tblPr>
    <w:tblStylePr w:type="firstRow">
      <w:rPr>
        <w:rFonts w:ascii="Arial" w:hAnsi="Arial"/>
        <w:b/>
        <w:color w:val="FFFFFF"/>
        <w:sz w:val="22"/>
      </w:rPr>
      <w:tblPr/>
      <w:tcPr>
        <w:shd w:val="clear" w:color="333333" w:fill="33333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ListTable4-Accent11">
    <w:name w:val="List Table 4 - Accent 11"/>
    <w:basedOn w:val="NormaleTabelle"/>
    <w:uiPriority w:val="99"/>
    <w:rsid w:val="0062351B"/>
    <w:tblPr>
      <w:tblStyleRowBandSize w:val="1"/>
      <w:tblStyleColBandSize w:val="1"/>
      <w:tblBorders>
        <w:top w:val="single" w:sz="4" w:space="0" w:color="4D96EB"/>
        <w:left w:val="single" w:sz="4" w:space="0" w:color="4D96EB"/>
        <w:bottom w:val="single" w:sz="4" w:space="0" w:color="4D96EB"/>
        <w:right w:val="single" w:sz="4" w:space="0" w:color="4D96EB"/>
        <w:insideH w:val="single" w:sz="4" w:space="0" w:color="4D96EB"/>
      </w:tblBorders>
    </w:tblPr>
    <w:tblStylePr w:type="firstRow">
      <w:rPr>
        <w:rFonts w:ascii="Arial" w:hAnsi="Arial"/>
        <w:b/>
        <w:color w:val="FFFFFF"/>
        <w:sz w:val="22"/>
      </w:rPr>
      <w:tblPr/>
      <w:tcPr>
        <w:shd w:val="clear" w:color="104C91" w:fill="104C9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0D0F6" w:fill="B0D0F6"/>
      </w:tcPr>
    </w:tblStylePr>
    <w:tblStylePr w:type="band1Horz">
      <w:rPr>
        <w:rFonts w:ascii="Arial" w:hAnsi="Arial"/>
        <w:color w:val="404040"/>
        <w:sz w:val="22"/>
      </w:rPr>
      <w:tblPr/>
      <w:tcPr>
        <w:shd w:val="clear" w:color="B0D0F6" w:fill="B0D0F6"/>
      </w:tcPr>
    </w:tblStylePr>
  </w:style>
  <w:style w:type="table" w:customStyle="1" w:styleId="ListTable4-Accent21">
    <w:name w:val="List Table 4 - Accent 21"/>
    <w:basedOn w:val="NormaleTabelle"/>
    <w:uiPriority w:val="99"/>
    <w:rsid w:val="0062351B"/>
    <w:tblPr>
      <w:tblStyleRowBandSize w:val="1"/>
      <w:tblStyleColBandSize w:val="1"/>
      <w:tblBorders>
        <w:top w:val="single" w:sz="4" w:space="0" w:color="BAD4EE"/>
        <w:left w:val="single" w:sz="4" w:space="0" w:color="BAD4EE"/>
        <w:bottom w:val="single" w:sz="4" w:space="0" w:color="BAD4EE"/>
        <w:right w:val="single" w:sz="4" w:space="0" w:color="BAD4EE"/>
        <w:insideH w:val="single" w:sz="4" w:space="0" w:color="BAD4EE"/>
      </w:tblBorders>
    </w:tblPr>
    <w:tblStylePr w:type="firstRow">
      <w:rPr>
        <w:rFonts w:ascii="Arial" w:hAnsi="Arial"/>
        <w:b/>
        <w:color w:val="FFFFFF"/>
        <w:sz w:val="22"/>
      </w:rPr>
      <w:tblPr/>
      <w:tcPr>
        <w:shd w:val="clear" w:color="86B3E1" w:fill="86B3E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0EBF7" w:fill="E0EBF7"/>
      </w:tcPr>
    </w:tblStylePr>
    <w:tblStylePr w:type="band1Horz">
      <w:rPr>
        <w:rFonts w:ascii="Arial" w:hAnsi="Arial"/>
        <w:color w:val="404040"/>
        <w:sz w:val="22"/>
      </w:rPr>
      <w:tblPr/>
      <w:tcPr>
        <w:shd w:val="clear" w:color="E0EBF7" w:fill="E0EBF7"/>
      </w:tcPr>
    </w:tblStylePr>
  </w:style>
  <w:style w:type="table" w:customStyle="1" w:styleId="ListTable4-Accent31">
    <w:name w:val="List Table 4 - Accent 31"/>
    <w:basedOn w:val="NormaleTabelle"/>
    <w:uiPriority w:val="99"/>
    <w:rsid w:val="0062351B"/>
    <w:tblPr>
      <w:tblStyleRowBandSize w:val="1"/>
      <w:tblStyleColBandSize w:val="1"/>
      <w:tblBorders>
        <w:top w:val="single" w:sz="4" w:space="0" w:color="F8C67C"/>
        <w:left w:val="single" w:sz="4" w:space="0" w:color="F8C67C"/>
        <w:bottom w:val="single" w:sz="4" w:space="0" w:color="F8C67C"/>
        <w:right w:val="single" w:sz="4" w:space="0" w:color="F8C67C"/>
        <w:insideH w:val="single" w:sz="4" w:space="0" w:color="F8C67C"/>
      </w:tblBorders>
    </w:tblPr>
    <w:tblStylePr w:type="firstRow">
      <w:rPr>
        <w:rFonts w:ascii="Arial" w:hAnsi="Arial"/>
        <w:b/>
        <w:color w:val="FFFFFF"/>
        <w:sz w:val="22"/>
      </w:rPr>
      <w:tblPr/>
      <w:tcPr>
        <w:shd w:val="clear" w:color="F49B19" w:fill="F49B1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CE5C5" w:fill="FCE5C5"/>
      </w:tcPr>
    </w:tblStylePr>
    <w:tblStylePr w:type="band1Horz">
      <w:rPr>
        <w:rFonts w:ascii="Arial" w:hAnsi="Arial"/>
        <w:color w:val="404040"/>
        <w:sz w:val="22"/>
      </w:rPr>
      <w:tblPr/>
      <w:tcPr>
        <w:shd w:val="clear" w:color="FCE5C5" w:fill="FCE5C5"/>
      </w:tcPr>
    </w:tblStylePr>
  </w:style>
  <w:style w:type="table" w:customStyle="1" w:styleId="ListTable4-Accent41">
    <w:name w:val="List Table 4 - Accent 41"/>
    <w:basedOn w:val="NormaleTabelle"/>
    <w:uiPriority w:val="99"/>
    <w:rsid w:val="0062351B"/>
    <w:tblPr>
      <w:tblStyleRowBandSize w:val="1"/>
      <w:tblStyleColBandSize w:val="1"/>
      <w:tblBorders>
        <w:top w:val="single" w:sz="4" w:space="0" w:color="FBFBFA"/>
        <w:left w:val="single" w:sz="4" w:space="0" w:color="FBFBFA"/>
        <w:bottom w:val="single" w:sz="4" w:space="0" w:color="FBFBFA"/>
        <w:right w:val="single" w:sz="4" w:space="0" w:color="FBFBFA"/>
        <w:insideH w:val="single" w:sz="4" w:space="0" w:color="FBFBFA"/>
      </w:tblBorders>
    </w:tblPr>
    <w:tblStylePr w:type="firstRow">
      <w:rPr>
        <w:rFonts w:ascii="Arial" w:hAnsi="Arial"/>
        <w:b/>
        <w:color w:val="FFFFFF"/>
        <w:sz w:val="22"/>
      </w:rPr>
      <w:tblPr/>
      <w:tcPr>
        <w:shd w:val="clear" w:color="F8F8F7" w:fill="F8F8F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FDFC" w:fill="FDFDFC"/>
      </w:tcPr>
    </w:tblStylePr>
    <w:tblStylePr w:type="band1Horz">
      <w:rPr>
        <w:rFonts w:ascii="Arial" w:hAnsi="Arial"/>
        <w:color w:val="404040"/>
        <w:sz w:val="22"/>
      </w:rPr>
      <w:tblPr/>
      <w:tcPr>
        <w:shd w:val="clear" w:color="FDFDFC" w:fill="FDFDFC"/>
      </w:tcPr>
    </w:tblStylePr>
  </w:style>
  <w:style w:type="table" w:customStyle="1" w:styleId="ListTable4-Accent51">
    <w:name w:val="List Table 4 - Accent 51"/>
    <w:basedOn w:val="NormaleTabelle"/>
    <w:uiPriority w:val="99"/>
    <w:rsid w:val="0062351B"/>
    <w:tblPr>
      <w:tblStyleRowBandSize w:val="1"/>
      <w:tblStyleColBandSize w:val="1"/>
      <w:tblBorders>
        <w:top w:val="single" w:sz="4" w:space="0" w:color="8B8B8B"/>
        <w:left w:val="single" w:sz="4" w:space="0" w:color="8B8B8B"/>
        <w:bottom w:val="single" w:sz="4" w:space="0" w:color="8B8B8B"/>
        <w:right w:val="single" w:sz="4" w:space="0" w:color="8B8B8B"/>
        <w:insideH w:val="single" w:sz="4" w:space="0" w:color="8B8B8B"/>
      </w:tblBorders>
    </w:tblPr>
    <w:tblStylePr w:type="firstRow">
      <w:rPr>
        <w:rFonts w:ascii="Arial" w:hAnsi="Arial"/>
        <w:b/>
        <w:color w:val="FFFFFF"/>
        <w:sz w:val="22"/>
      </w:rPr>
      <w:tblPr/>
      <w:tcPr>
        <w:shd w:val="clear" w:color="333333" w:fill="33333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ListTable4-Accent61">
    <w:name w:val="List Table 4 - Accent 61"/>
    <w:basedOn w:val="NormaleTabelle"/>
    <w:uiPriority w:val="99"/>
    <w:rsid w:val="0062351B"/>
    <w:tblPr>
      <w:tblStyleRowBandSize w:val="1"/>
      <w:tblStyleColBandSize w:val="1"/>
      <w:tblBorders>
        <w:top w:val="single" w:sz="4" w:space="0" w:color="F8F8F8"/>
        <w:left w:val="single" w:sz="4" w:space="0" w:color="F8F8F8"/>
        <w:bottom w:val="single" w:sz="4" w:space="0" w:color="F8F8F8"/>
        <w:right w:val="single" w:sz="4" w:space="0" w:color="F8F8F8"/>
        <w:insideH w:val="single" w:sz="4" w:space="0" w:color="F8F8F8"/>
      </w:tblBorders>
    </w:tblPr>
    <w:tblStylePr w:type="firstRow">
      <w:rPr>
        <w:rFonts w:ascii="Arial" w:hAnsi="Arial"/>
        <w:b/>
        <w:color w:val="FFFFFF"/>
        <w:sz w:val="22"/>
      </w:rPr>
      <w:tblPr/>
      <w:tcPr>
        <w:shd w:val="clear" w:color="F4F4F3" w:fill="F4F4F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CFCFB" w:fill="FCFCFB"/>
      </w:tcPr>
    </w:tblStylePr>
    <w:tblStylePr w:type="band1Horz">
      <w:rPr>
        <w:rFonts w:ascii="Arial" w:hAnsi="Arial"/>
        <w:color w:val="404040"/>
        <w:sz w:val="22"/>
      </w:rPr>
      <w:tblPr/>
      <w:tcPr>
        <w:shd w:val="clear" w:color="FCFCFB" w:fill="FCFCFB"/>
      </w:tcPr>
    </w:tblStylePr>
  </w:style>
  <w:style w:type="table" w:customStyle="1" w:styleId="Listentabelle5dunkel1">
    <w:name w:val="Listentabelle 5 dunkel1"/>
    <w:basedOn w:val="NormaleTabelle"/>
    <w:uiPriority w:val="99"/>
    <w:rsid w:val="0062351B"/>
    <w:tblPr>
      <w:tblStyleRowBandSize w:val="1"/>
      <w:tblStyleColBandSize w:val="1"/>
      <w:tblBorders>
        <w:top w:val="single" w:sz="32" w:space="0" w:color="989898"/>
        <w:left w:val="single" w:sz="32" w:space="0" w:color="989898"/>
        <w:bottom w:val="single" w:sz="32" w:space="0" w:color="989898"/>
        <w:right w:val="single" w:sz="32" w:space="0" w:color="989898"/>
      </w:tblBorders>
      <w:shd w:val="clear" w:color="989898" w:fill="989898"/>
    </w:tblPr>
    <w:tblStylePr w:type="firstRow">
      <w:rPr>
        <w:rFonts w:ascii="Arial" w:hAnsi="Arial"/>
        <w:b/>
        <w:color w:val="FEFFFF"/>
        <w:sz w:val="22"/>
      </w:rPr>
      <w:tblPr/>
      <w:tcPr>
        <w:tcBorders>
          <w:top w:val="single" w:sz="32" w:space="0" w:color="989898"/>
          <w:bottom w:val="single" w:sz="12" w:space="0" w:color="FEFFFF"/>
        </w:tcBorders>
        <w:shd w:val="clear" w:color="989898" w:fill="989898"/>
      </w:tcPr>
    </w:tblStylePr>
    <w:tblStylePr w:type="lastRow">
      <w:rPr>
        <w:rFonts w:ascii="Arial" w:hAnsi="Arial"/>
        <w:b/>
        <w:color w:val="FEFFFF"/>
        <w:sz w:val="22"/>
      </w:rPr>
    </w:tblStylePr>
    <w:tblStylePr w:type="firstCol">
      <w:rPr>
        <w:rFonts w:ascii="Arial" w:hAnsi="Arial"/>
        <w:b/>
        <w:color w:val="FEFFFF"/>
        <w:sz w:val="22"/>
      </w:rPr>
      <w:tblPr/>
      <w:tcPr>
        <w:tcBorders>
          <w:left w:val="single" w:sz="32" w:space="0" w:color="989898"/>
          <w:right w:val="single" w:sz="4" w:space="0" w:color="FEFFFF"/>
        </w:tcBorders>
      </w:tcPr>
    </w:tblStylePr>
    <w:tblStylePr w:type="lastCol">
      <w:tblPr/>
      <w:tcPr>
        <w:tcBorders>
          <w:left w:val="single" w:sz="4" w:space="0" w:color="FEFFFF"/>
          <w:right w:val="single" w:sz="32" w:space="0" w:color="989898"/>
        </w:tcBorders>
      </w:tcPr>
    </w:tblStylePr>
    <w:tblStylePr w:type="band1Vert">
      <w:tblPr/>
      <w:tcPr>
        <w:tcBorders>
          <w:left w:val="single" w:sz="4" w:space="0" w:color="FEFFFF"/>
          <w:right w:val="single" w:sz="4" w:space="0" w:color="FEFFFF"/>
        </w:tcBorders>
        <w:shd w:val="clear" w:color="989898" w:fill="989898"/>
      </w:tcPr>
    </w:tblStylePr>
    <w:tblStylePr w:type="band2Vert">
      <w:tblPr/>
      <w:tcPr>
        <w:tcBorders>
          <w:left w:val="single" w:sz="4" w:space="0" w:color="FEFFFF"/>
          <w:right w:val="single" w:sz="4" w:space="0" w:color="FEFFFF"/>
        </w:tcBorders>
      </w:tcPr>
    </w:tblStylePr>
    <w:tblStylePr w:type="band1Horz">
      <w:tblPr/>
      <w:tcPr>
        <w:tcBorders>
          <w:top w:val="single" w:sz="4" w:space="0" w:color="FEFFFF"/>
          <w:bottom w:val="single" w:sz="4" w:space="0" w:color="FEFFFF"/>
        </w:tcBorders>
        <w:shd w:val="clear" w:color="989898" w:fill="989898"/>
      </w:tcPr>
    </w:tblStylePr>
    <w:tblStylePr w:type="band2Horz">
      <w:tblPr/>
      <w:tcPr>
        <w:tcBorders>
          <w:top w:val="single" w:sz="4" w:space="0" w:color="FEFFFF"/>
          <w:bottom w:val="single" w:sz="4" w:space="0" w:color="FEFFFF"/>
        </w:tcBorders>
        <w:shd w:val="clear" w:color="989898" w:fill="989898"/>
      </w:tcPr>
    </w:tblStylePr>
  </w:style>
  <w:style w:type="table" w:customStyle="1" w:styleId="ListTable5Dark-Accent11">
    <w:name w:val="List Table 5 Dark - Accent 11"/>
    <w:basedOn w:val="NormaleTabelle"/>
    <w:uiPriority w:val="99"/>
    <w:rsid w:val="0062351B"/>
    <w:tblPr>
      <w:tblStyleRowBandSize w:val="1"/>
      <w:tblStyleColBandSize w:val="1"/>
      <w:tblBorders>
        <w:top w:val="single" w:sz="32" w:space="0" w:color="104C91"/>
        <w:left w:val="single" w:sz="32" w:space="0" w:color="104C91"/>
        <w:bottom w:val="single" w:sz="32" w:space="0" w:color="104C91"/>
        <w:right w:val="single" w:sz="32" w:space="0" w:color="104C91"/>
      </w:tblBorders>
      <w:shd w:val="clear" w:color="104C91" w:fill="104C91"/>
    </w:tblPr>
    <w:tblStylePr w:type="firstRow">
      <w:rPr>
        <w:rFonts w:ascii="Arial" w:hAnsi="Arial"/>
        <w:b/>
        <w:color w:val="FEFFFF"/>
        <w:sz w:val="22"/>
      </w:rPr>
      <w:tblPr/>
      <w:tcPr>
        <w:tcBorders>
          <w:top w:val="single" w:sz="32" w:space="0" w:color="104C91"/>
          <w:bottom w:val="single" w:sz="12" w:space="0" w:color="FEFFFF"/>
        </w:tcBorders>
        <w:shd w:val="clear" w:color="104C91" w:fill="104C91"/>
      </w:tcPr>
    </w:tblStylePr>
    <w:tblStylePr w:type="lastRow">
      <w:rPr>
        <w:rFonts w:ascii="Arial" w:hAnsi="Arial"/>
        <w:b/>
        <w:color w:val="FEFFFF"/>
        <w:sz w:val="22"/>
      </w:rPr>
    </w:tblStylePr>
    <w:tblStylePr w:type="firstCol">
      <w:rPr>
        <w:rFonts w:ascii="Arial" w:hAnsi="Arial"/>
        <w:b/>
        <w:color w:val="FEFFFF"/>
        <w:sz w:val="22"/>
      </w:rPr>
      <w:tblPr/>
      <w:tcPr>
        <w:tcBorders>
          <w:left w:val="single" w:sz="32" w:space="0" w:color="104C91"/>
          <w:right w:val="single" w:sz="4" w:space="0" w:color="FEFFFF"/>
        </w:tcBorders>
      </w:tcPr>
    </w:tblStylePr>
    <w:tblStylePr w:type="lastCol">
      <w:tblPr/>
      <w:tcPr>
        <w:tcBorders>
          <w:left w:val="single" w:sz="4" w:space="0" w:color="FEFFFF"/>
          <w:right w:val="single" w:sz="32" w:space="0" w:color="104C91"/>
        </w:tcBorders>
      </w:tcPr>
    </w:tblStylePr>
    <w:tblStylePr w:type="band1Vert">
      <w:tblPr/>
      <w:tcPr>
        <w:tcBorders>
          <w:left w:val="single" w:sz="4" w:space="0" w:color="FEFFFF"/>
          <w:right w:val="single" w:sz="4" w:space="0" w:color="FEFFFF"/>
        </w:tcBorders>
        <w:shd w:val="clear" w:color="104C91" w:fill="104C91"/>
      </w:tcPr>
    </w:tblStylePr>
    <w:tblStylePr w:type="band2Vert">
      <w:tblPr/>
      <w:tcPr>
        <w:tcBorders>
          <w:left w:val="single" w:sz="4" w:space="0" w:color="FEFFFF"/>
          <w:right w:val="single" w:sz="4" w:space="0" w:color="FEFFFF"/>
        </w:tcBorders>
      </w:tcPr>
    </w:tblStylePr>
    <w:tblStylePr w:type="band1Horz">
      <w:tblPr/>
      <w:tcPr>
        <w:tcBorders>
          <w:top w:val="single" w:sz="4" w:space="0" w:color="FEFFFF"/>
          <w:bottom w:val="single" w:sz="4" w:space="0" w:color="FEFFFF"/>
        </w:tcBorders>
        <w:shd w:val="clear" w:color="104C91" w:fill="104C91"/>
      </w:tcPr>
    </w:tblStylePr>
    <w:tblStylePr w:type="band2Horz">
      <w:tblPr/>
      <w:tcPr>
        <w:tcBorders>
          <w:top w:val="single" w:sz="4" w:space="0" w:color="FEFFFF"/>
          <w:bottom w:val="single" w:sz="4" w:space="0" w:color="FEFFFF"/>
        </w:tcBorders>
        <w:shd w:val="clear" w:color="104C91" w:fill="104C91"/>
      </w:tcPr>
    </w:tblStylePr>
  </w:style>
  <w:style w:type="table" w:customStyle="1" w:styleId="ListTable5Dark-Accent21">
    <w:name w:val="List Table 5 Dark - Accent 21"/>
    <w:basedOn w:val="NormaleTabelle"/>
    <w:uiPriority w:val="99"/>
    <w:rsid w:val="0062351B"/>
    <w:tblPr>
      <w:tblStyleRowBandSize w:val="1"/>
      <w:tblStyleColBandSize w:val="1"/>
      <w:tblBorders>
        <w:top w:val="single" w:sz="32" w:space="0" w:color="B7D1ED"/>
        <w:left w:val="single" w:sz="32" w:space="0" w:color="B7D1ED"/>
        <w:bottom w:val="single" w:sz="32" w:space="0" w:color="B7D1ED"/>
        <w:right w:val="single" w:sz="32" w:space="0" w:color="B7D1ED"/>
      </w:tblBorders>
      <w:shd w:val="clear" w:color="B7D1ED" w:fill="B7D1ED"/>
    </w:tblPr>
    <w:tblStylePr w:type="firstRow">
      <w:rPr>
        <w:rFonts w:ascii="Arial" w:hAnsi="Arial"/>
        <w:b/>
        <w:color w:val="FEFFFF"/>
        <w:sz w:val="22"/>
      </w:rPr>
      <w:tblPr/>
      <w:tcPr>
        <w:tcBorders>
          <w:top w:val="single" w:sz="32" w:space="0" w:color="B7D1ED"/>
          <w:bottom w:val="single" w:sz="12" w:space="0" w:color="FEFFFF"/>
        </w:tcBorders>
        <w:shd w:val="clear" w:color="B7D1ED" w:fill="B7D1ED"/>
      </w:tcPr>
    </w:tblStylePr>
    <w:tblStylePr w:type="lastRow">
      <w:rPr>
        <w:rFonts w:ascii="Arial" w:hAnsi="Arial"/>
        <w:b/>
        <w:color w:val="FEFFFF"/>
        <w:sz w:val="22"/>
      </w:rPr>
    </w:tblStylePr>
    <w:tblStylePr w:type="firstCol">
      <w:rPr>
        <w:rFonts w:ascii="Arial" w:hAnsi="Arial"/>
        <w:b/>
        <w:color w:val="FEFFFF"/>
        <w:sz w:val="22"/>
      </w:rPr>
      <w:tblPr/>
      <w:tcPr>
        <w:tcBorders>
          <w:left w:val="single" w:sz="32" w:space="0" w:color="B7D1ED"/>
          <w:right w:val="single" w:sz="4" w:space="0" w:color="FEFFFF"/>
        </w:tcBorders>
      </w:tcPr>
    </w:tblStylePr>
    <w:tblStylePr w:type="lastCol">
      <w:tblPr/>
      <w:tcPr>
        <w:tcBorders>
          <w:left w:val="single" w:sz="4" w:space="0" w:color="FEFFFF"/>
          <w:right w:val="single" w:sz="32" w:space="0" w:color="B7D1ED"/>
        </w:tcBorders>
      </w:tcPr>
    </w:tblStylePr>
    <w:tblStylePr w:type="band1Vert">
      <w:tblPr/>
      <w:tcPr>
        <w:tcBorders>
          <w:left w:val="single" w:sz="4" w:space="0" w:color="FEFFFF"/>
          <w:right w:val="single" w:sz="4" w:space="0" w:color="FEFFFF"/>
        </w:tcBorders>
        <w:shd w:val="clear" w:color="B7D1ED" w:fill="B7D1ED"/>
      </w:tcPr>
    </w:tblStylePr>
    <w:tblStylePr w:type="band2Vert">
      <w:tblPr/>
      <w:tcPr>
        <w:tcBorders>
          <w:left w:val="single" w:sz="4" w:space="0" w:color="FEFFFF"/>
          <w:right w:val="single" w:sz="4" w:space="0" w:color="FEFFFF"/>
        </w:tcBorders>
      </w:tcPr>
    </w:tblStylePr>
    <w:tblStylePr w:type="band1Horz">
      <w:tblPr/>
      <w:tcPr>
        <w:tcBorders>
          <w:top w:val="single" w:sz="4" w:space="0" w:color="FEFFFF"/>
          <w:bottom w:val="single" w:sz="4" w:space="0" w:color="FEFFFF"/>
        </w:tcBorders>
        <w:shd w:val="clear" w:color="B7D1ED" w:fill="B7D1ED"/>
      </w:tcPr>
    </w:tblStylePr>
    <w:tblStylePr w:type="band2Horz">
      <w:tblPr/>
      <w:tcPr>
        <w:tcBorders>
          <w:top w:val="single" w:sz="4" w:space="0" w:color="FEFFFF"/>
          <w:bottom w:val="single" w:sz="4" w:space="0" w:color="FEFFFF"/>
        </w:tcBorders>
        <w:shd w:val="clear" w:color="B7D1ED" w:fill="B7D1ED"/>
      </w:tcPr>
    </w:tblStylePr>
  </w:style>
  <w:style w:type="table" w:customStyle="1" w:styleId="ListTable5Dark-Accent31">
    <w:name w:val="List Table 5 Dark - Accent 31"/>
    <w:basedOn w:val="NormaleTabelle"/>
    <w:uiPriority w:val="99"/>
    <w:rsid w:val="0062351B"/>
    <w:tblPr>
      <w:tblStyleRowBandSize w:val="1"/>
      <w:tblStyleColBandSize w:val="1"/>
      <w:tblBorders>
        <w:top w:val="single" w:sz="32" w:space="0" w:color="F8C375"/>
        <w:left w:val="single" w:sz="32" w:space="0" w:color="F8C375"/>
        <w:bottom w:val="single" w:sz="32" w:space="0" w:color="F8C375"/>
        <w:right w:val="single" w:sz="32" w:space="0" w:color="F8C375"/>
      </w:tblBorders>
      <w:shd w:val="clear" w:color="F8C375" w:fill="F8C375"/>
    </w:tblPr>
    <w:tblStylePr w:type="firstRow">
      <w:rPr>
        <w:rFonts w:ascii="Arial" w:hAnsi="Arial"/>
        <w:b/>
        <w:color w:val="FEFFFF"/>
        <w:sz w:val="22"/>
      </w:rPr>
      <w:tblPr/>
      <w:tcPr>
        <w:tcBorders>
          <w:top w:val="single" w:sz="32" w:space="0" w:color="F8C375"/>
          <w:bottom w:val="single" w:sz="12" w:space="0" w:color="FEFFFF"/>
        </w:tcBorders>
        <w:shd w:val="clear" w:color="F8C375" w:fill="F8C375"/>
      </w:tcPr>
    </w:tblStylePr>
    <w:tblStylePr w:type="lastRow">
      <w:rPr>
        <w:rFonts w:ascii="Arial" w:hAnsi="Arial"/>
        <w:b/>
        <w:color w:val="FEFFFF"/>
        <w:sz w:val="22"/>
      </w:rPr>
    </w:tblStylePr>
    <w:tblStylePr w:type="firstCol">
      <w:rPr>
        <w:rFonts w:ascii="Arial" w:hAnsi="Arial"/>
        <w:b/>
        <w:color w:val="FEFFFF"/>
        <w:sz w:val="22"/>
      </w:rPr>
      <w:tblPr/>
      <w:tcPr>
        <w:tcBorders>
          <w:left w:val="single" w:sz="32" w:space="0" w:color="F8C375"/>
          <w:right w:val="single" w:sz="4" w:space="0" w:color="FEFFFF"/>
        </w:tcBorders>
      </w:tcPr>
    </w:tblStylePr>
    <w:tblStylePr w:type="lastCol">
      <w:tblPr/>
      <w:tcPr>
        <w:tcBorders>
          <w:left w:val="single" w:sz="4" w:space="0" w:color="FEFFFF"/>
          <w:right w:val="single" w:sz="32" w:space="0" w:color="F8C375"/>
        </w:tcBorders>
      </w:tcPr>
    </w:tblStylePr>
    <w:tblStylePr w:type="band1Vert">
      <w:tblPr/>
      <w:tcPr>
        <w:tcBorders>
          <w:left w:val="single" w:sz="4" w:space="0" w:color="FEFFFF"/>
          <w:right w:val="single" w:sz="4" w:space="0" w:color="FEFFFF"/>
        </w:tcBorders>
        <w:shd w:val="clear" w:color="F8C375" w:fill="F8C375"/>
      </w:tcPr>
    </w:tblStylePr>
    <w:tblStylePr w:type="band2Vert">
      <w:tblPr/>
      <w:tcPr>
        <w:tcBorders>
          <w:left w:val="single" w:sz="4" w:space="0" w:color="FEFFFF"/>
          <w:right w:val="single" w:sz="4" w:space="0" w:color="FEFFFF"/>
        </w:tcBorders>
      </w:tcPr>
    </w:tblStylePr>
    <w:tblStylePr w:type="band1Horz">
      <w:tblPr/>
      <w:tcPr>
        <w:tcBorders>
          <w:top w:val="single" w:sz="4" w:space="0" w:color="FEFFFF"/>
          <w:bottom w:val="single" w:sz="4" w:space="0" w:color="FEFFFF"/>
        </w:tcBorders>
        <w:shd w:val="clear" w:color="F8C375" w:fill="F8C375"/>
      </w:tcPr>
    </w:tblStylePr>
    <w:tblStylePr w:type="band2Horz">
      <w:tblPr/>
      <w:tcPr>
        <w:tcBorders>
          <w:top w:val="single" w:sz="4" w:space="0" w:color="FEFFFF"/>
          <w:bottom w:val="single" w:sz="4" w:space="0" w:color="FEFFFF"/>
        </w:tcBorders>
        <w:shd w:val="clear" w:color="F8C375" w:fill="F8C375"/>
      </w:tcPr>
    </w:tblStylePr>
  </w:style>
  <w:style w:type="table" w:customStyle="1" w:styleId="ListTable5Dark-Accent41">
    <w:name w:val="List Table 5 Dark - Accent 41"/>
    <w:basedOn w:val="NormaleTabelle"/>
    <w:uiPriority w:val="99"/>
    <w:rsid w:val="0062351B"/>
    <w:tblPr>
      <w:tblStyleRowBandSize w:val="1"/>
      <w:tblStyleColBandSize w:val="1"/>
      <w:tblBorders>
        <w:top w:val="single" w:sz="32" w:space="0" w:color="FAFAFA"/>
        <w:left w:val="single" w:sz="32" w:space="0" w:color="FAFAFA"/>
        <w:bottom w:val="single" w:sz="32" w:space="0" w:color="FAFAFA"/>
        <w:right w:val="single" w:sz="32" w:space="0" w:color="FAFAFA"/>
      </w:tblBorders>
      <w:shd w:val="clear" w:color="FAFAFA" w:fill="FAFAFA"/>
    </w:tblPr>
    <w:tblStylePr w:type="firstRow">
      <w:rPr>
        <w:rFonts w:ascii="Arial" w:hAnsi="Arial"/>
        <w:b/>
        <w:color w:val="FEFFFF"/>
        <w:sz w:val="22"/>
      </w:rPr>
      <w:tblPr/>
      <w:tcPr>
        <w:tcBorders>
          <w:top w:val="single" w:sz="32" w:space="0" w:color="FAFAFA"/>
          <w:bottom w:val="single" w:sz="12" w:space="0" w:color="FEFFFF"/>
        </w:tcBorders>
        <w:shd w:val="clear" w:color="FAFAFA" w:fill="FAFAFA"/>
      </w:tcPr>
    </w:tblStylePr>
    <w:tblStylePr w:type="lastRow">
      <w:rPr>
        <w:rFonts w:ascii="Arial" w:hAnsi="Arial"/>
        <w:b/>
        <w:color w:val="FEFFFF"/>
        <w:sz w:val="22"/>
      </w:rPr>
    </w:tblStylePr>
    <w:tblStylePr w:type="firstCol">
      <w:rPr>
        <w:rFonts w:ascii="Arial" w:hAnsi="Arial"/>
        <w:b/>
        <w:color w:val="FEFFFF"/>
        <w:sz w:val="22"/>
      </w:rPr>
      <w:tblPr/>
      <w:tcPr>
        <w:tcBorders>
          <w:left w:val="single" w:sz="32" w:space="0" w:color="FAFAFA"/>
          <w:right w:val="single" w:sz="4" w:space="0" w:color="FEFFFF"/>
        </w:tcBorders>
      </w:tcPr>
    </w:tblStylePr>
    <w:tblStylePr w:type="lastCol">
      <w:tblPr/>
      <w:tcPr>
        <w:tcBorders>
          <w:left w:val="single" w:sz="4" w:space="0" w:color="FEFFFF"/>
          <w:right w:val="single" w:sz="32" w:space="0" w:color="FAFAFA"/>
        </w:tcBorders>
      </w:tcPr>
    </w:tblStylePr>
    <w:tblStylePr w:type="band1Vert">
      <w:tblPr/>
      <w:tcPr>
        <w:tcBorders>
          <w:left w:val="single" w:sz="4" w:space="0" w:color="FEFFFF"/>
          <w:right w:val="single" w:sz="4" w:space="0" w:color="FEFFFF"/>
        </w:tcBorders>
        <w:shd w:val="clear" w:color="FAFAFA" w:fill="FAFAFA"/>
      </w:tcPr>
    </w:tblStylePr>
    <w:tblStylePr w:type="band2Vert">
      <w:tblPr/>
      <w:tcPr>
        <w:tcBorders>
          <w:left w:val="single" w:sz="4" w:space="0" w:color="FEFFFF"/>
          <w:right w:val="single" w:sz="4" w:space="0" w:color="FEFFFF"/>
        </w:tcBorders>
      </w:tcPr>
    </w:tblStylePr>
    <w:tblStylePr w:type="band1Horz">
      <w:tblPr/>
      <w:tcPr>
        <w:tcBorders>
          <w:top w:val="single" w:sz="4" w:space="0" w:color="FEFFFF"/>
          <w:bottom w:val="single" w:sz="4" w:space="0" w:color="FEFFFF"/>
        </w:tcBorders>
        <w:shd w:val="clear" w:color="FAFAFA" w:fill="FAFAFA"/>
      </w:tcPr>
    </w:tblStylePr>
    <w:tblStylePr w:type="band2Horz">
      <w:tblPr/>
      <w:tcPr>
        <w:tcBorders>
          <w:top w:val="single" w:sz="4" w:space="0" w:color="FEFFFF"/>
          <w:bottom w:val="single" w:sz="4" w:space="0" w:color="FEFFFF"/>
        </w:tcBorders>
        <w:shd w:val="clear" w:color="FAFAFA" w:fill="FAFAFA"/>
      </w:tcPr>
    </w:tblStylePr>
  </w:style>
  <w:style w:type="table" w:customStyle="1" w:styleId="ListTable5Dark-Accent51">
    <w:name w:val="List Table 5 Dark - Accent 51"/>
    <w:basedOn w:val="NormaleTabelle"/>
    <w:uiPriority w:val="99"/>
    <w:rsid w:val="0062351B"/>
    <w:tblPr>
      <w:tblStyleRowBandSize w:val="1"/>
      <w:tblStyleColBandSize w:val="1"/>
      <w:tblBorders>
        <w:top w:val="single" w:sz="32" w:space="0" w:color="838383"/>
        <w:left w:val="single" w:sz="32" w:space="0" w:color="838383"/>
        <w:bottom w:val="single" w:sz="32" w:space="0" w:color="838383"/>
        <w:right w:val="single" w:sz="32" w:space="0" w:color="838383"/>
      </w:tblBorders>
      <w:shd w:val="clear" w:color="838383" w:fill="838383"/>
    </w:tblPr>
    <w:tblStylePr w:type="firstRow">
      <w:rPr>
        <w:rFonts w:ascii="Arial" w:hAnsi="Arial"/>
        <w:b/>
        <w:color w:val="FEFFFF"/>
        <w:sz w:val="22"/>
      </w:rPr>
      <w:tblPr/>
      <w:tcPr>
        <w:tcBorders>
          <w:top w:val="single" w:sz="32" w:space="0" w:color="838383"/>
          <w:bottom w:val="single" w:sz="12" w:space="0" w:color="FEFFFF"/>
        </w:tcBorders>
        <w:shd w:val="clear" w:color="838383" w:fill="838383"/>
      </w:tcPr>
    </w:tblStylePr>
    <w:tblStylePr w:type="lastRow">
      <w:rPr>
        <w:rFonts w:ascii="Arial" w:hAnsi="Arial"/>
        <w:b/>
        <w:color w:val="FEFFFF"/>
        <w:sz w:val="22"/>
      </w:rPr>
    </w:tblStylePr>
    <w:tblStylePr w:type="firstCol">
      <w:rPr>
        <w:rFonts w:ascii="Arial" w:hAnsi="Arial"/>
        <w:b/>
        <w:color w:val="FEFFFF"/>
        <w:sz w:val="22"/>
      </w:rPr>
      <w:tblPr/>
      <w:tcPr>
        <w:tcBorders>
          <w:left w:val="single" w:sz="32" w:space="0" w:color="838383"/>
          <w:right w:val="single" w:sz="4" w:space="0" w:color="FEFFFF"/>
        </w:tcBorders>
      </w:tcPr>
    </w:tblStylePr>
    <w:tblStylePr w:type="lastCol">
      <w:tblPr/>
      <w:tcPr>
        <w:tcBorders>
          <w:left w:val="single" w:sz="4" w:space="0" w:color="FEFFFF"/>
          <w:right w:val="single" w:sz="32" w:space="0" w:color="838383"/>
        </w:tcBorders>
      </w:tcPr>
    </w:tblStylePr>
    <w:tblStylePr w:type="band1Vert">
      <w:tblPr/>
      <w:tcPr>
        <w:tcBorders>
          <w:left w:val="single" w:sz="4" w:space="0" w:color="FEFFFF"/>
          <w:right w:val="single" w:sz="4" w:space="0" w:color="FEFFFF"/>
        </w:tcBorders>
        <w:shd w:val="clear" w:color="838383" w:fill="838383"/>
      </w:tcPr>
    </w:tblStylePr>
    <w:tblStylePr w:type="band2Vert">
      <w:tblPr/>
      <w:tcPr>
        <w:tcBorders>
          <w:left w:val="single" w:sz="4" w:space="0" w:color="FEFFFF"/>
          <w:right w:val="single" w:sz="4" w:space="0" w:color="FEFFFF"/>
        </w:tcBorders>
      </w:tcPr>
    </w:tblStylePr>
    <w:tblStylePr w:type="band1Horz">
      <w:tblPr/>
      <w:tcPr>
        <w:tcBorders>
          <w:top w:val="single" w:sz="4" w:space="0" w:color="FEFFFF"/>
          <w:bottom w:val="single" w:sz="4" w:space="0" w:color="FEFFFF"/>
        </w:tcBorders>
        <w:shd w:val="clear" w:color="838383" w:fill="838383"/>
      </w:tcPr>
    </w:tblStylePr>
    <w:tblStylePr w:type="band2Horz">
      <w:tblPr/>
      <w:tcPr>
        <w:tcBorders>
          <w:top w:val="single" w:sz="4" w:space="0" w:color="FEFFFF"/>
          <w:bottom w:val="single" w:sz="4" w:space="0" w:color="FEFFFF"/>
        </w:tcBorders>
        <w:shd w:val="clear" w:color="838383" w:fill="838383"/>
      </w:tcPr>
    </w:tblStylePr>
  </w:style>
  <w:style w:type="table" w:customStyle="1" w:styleId="ListTable5Dark-Accent61">
    <w:name w:val="List Table 5 Dark - Accent 61"/>
    <w:basedOn w:val="NormaleTabelle"/>
    <w:uiPriority w:val="99"/>
    <w:rsid w:val="0062351B"/>
    <w:tblPr>
      <w:tblStyleRowBandSize w:val="1"/>
      <w:tblStyleColBandSize w:val="1"/>
      <w:tblBorders>
        <w:top w:val="single" w:sz="32" w:space="0" w:color="F8F8F7"/>
        <w:left w:val="single" w:sz="32" w:space="0" w:color="F8F8F7"/>
        <w:bottom w:val="single" w:sz="32" w:space="0" w:color="F8F8F7"/>
        <w:right w:val="single" w:sz="32" w:space="0" w:color="F8F8F7"/>
      </w:tblBorders>
      <w:shd w:val="clear" w:color="F8F8F7" w:fill="F8F8F7"/>
    </w:tblPr>
    <w:tblStylePr w:type="firstRow">
      <w:rPr>
        <w:rFonts w:ascii="Arial" w:hAnsi="Arial"/>
        <w:b/>
        <w:color w:val="FEFFFF"/>
        <w:sz w:val="22"/>
      </w:rPr>
      <w:tblPr/>
      <w:tcPr>
        <w:tcBorders>
          <w:top w:val="single" w:sz="32" w:space="0" w:color="F8F8F7"/>
          <w:bottom w:val="single" w:sz="12" w:space="0" w:color="FEFFFF"/>
        </w:tcBorders>
        <w:shd w:val="clear" w:color="F8F8F7" w:fill="F8F8F7"/>
      </w:tcPr>
    </w:tblStylePr>
    <w:tblStylePr w:type="lastRow">
      <w:rPr>
        <w:rFonts w:ascii="Arial" w:hAnsi="Arial"/>
        <w:b/>
        <w:color w:val="FEFFFF"/>
        <w:sz w:val="22"/>
      </w:rPr>
    </w:tblStylePr>
    <w:tblStylePr w:type="firstCol">
      <w:rPr>
        <w:rFonts w:ascii="Arial" w:hAnsi="Arial"/>
        <w:b/>
        <w:color w:val="FEFFFF"/>
        <w:sz w:val="22"/>
      </w:rPr>
      <w:tblPr/>
      <w:tcPr>
        <w:tcBorders>
          <w:left w:val="single" w:sz="32" w:space="0" w:color="F8F8F7"/>
          <w:right w:val="single" w:sz="4" w:space="0" w:color="FEFFFF"/>
        </w:tcBorders>
      </w:tcPr>
    </w:tblStylePr>
    <w:tblStylePr w:type="lastCol">
      <w:tblPr/>
      <w:tcPr>
        <w:tcBorders>
          <w:left w:val="single" w:sz="4" w:space="0" w:color="FEFFFF"/>
          <w:right w:val="single" w:sz="32" w:space="0" w:color="F8F8F7"/>
        </w:tcBorders>
      </w:tcPr>
    </w:tblStylePr>
    <w:tblStylePr w:type="band1Vert">
      <w:tblPr/>
      <w:tcPr>
        <w:tcBorders>
          <w:left w:val="single" w:sz="4" w:space="0" w:color="FEFFFF"/>
          <w:right w:val="single" w:sz="4" w:space="0" w:color="FEFFFF"/>
        </w:tcBorders>
        <w:shd w:val="clear" w:color="F8F8F7" w:fill="F8F8F7"/>
      </w:tcPr>
    </w:tblStylePr>
    <w:tblStylePr w:type="band2Vert">
      <w:tblPr/>
      <w:tcPr>
        <w:tcBorders>
          <w:left w:val="single" w:sz="4" w:space="0" w:color="FEFFFF"/>
          <w:right w:val="single" w:sz="4" w:space="0" w:color="FEFFFF"/>
        </w:tcBorders>
      </w:tcPr>
    </w:tblStylePr>
    <w:tblStylePr w:type="band1Horz">
      <w:tblPr/>
      <w:tcPr>
        <w:tcBorders>
          <w:top w:val="single" w:sz="4" w:space="0" w:color="FEFFFF"/>
          <w:bottom w:val="single" w:sz="4" w:space="0" w:color="FEFFFF"/>
        </w:tcBorders>
        <w:shd w:val="clear" w:color="F8F8F7" w:fill="F8F8F7"/>
      </w:tcPr>
    </w:tblStylePr>
    <w:tblStylePr w:type="band2Horz">
      <w:tblPr/>
      <w:tcPr>
        <w:tcBorders>
          <w:top w:val="single" w:sz="4" w:space="0" w:color="FEFFFF"/>
          <w:bottom w:val="single" w:sz="4" w:space="0" w:color="FEFFFF"/>
        </w:tcBorders>
        <w:shd w:val="clear" w:color="F8F8F7" w:fill="F8F8F7"/>
      </w:tcPr>
    </w:tblStylePr>
  </w:style>
  <w:style w:type="table" w:customStyle="1" w:styleId="Listentabelle6farbig1">
    <w:name w:val="Listentabelle 6 farbig1"/>
    <w:basedOn w:val="NormaleTabelle"/>
    <w:uiPriority w:val="99"/>
    <w:rsid w:val="0062351B"/>
    <w:tblPr>
      <w:tblStyleRowBandSize w:val="1"/>
      <w:tblStyleColBandSize w:val="1"/>
      <w:tblBorders>
        <w:top w:val="single" w:sz="4" w:space="0" w:color="989898"/>
        <w:bottom w:val="single" w:sz="4" w:space="0" w:color="989898"/>
      </w:tblBorders>
    </w:tblPr>
    <w:tblStylePr w:type="firstRow">
      <w:rPr>
        <w:b/>
        <w:color w:val="333333"/>
      </w:rPr>
      <w:tblPr/>
      <w:tcPr>
        <w:tcBorders>
          <w:bottom w:val="single" w:sz="4" w:space="0" w:color="989898"/>
        </w:tcBorders>
      </w:tcPr>
    </w:tblStylePr>
    <w:tblStylePr w:type="lastRow">
      <w:rPr>
        <w:b/>
        <w:color w:val="333333"/>
      </w:rPr>
      <w:tblPr/>
      <w:tcPr>
        <w:tcBorders>
          <w:top w:val="single" w:sz="4" w:space="0" w:color="989898"/>
        </w:tcBorders>
      </w:tcPr>
    </w:tblStylePr>
    <w:tblStylePr w:type="firstCol">
      <w:rPr>
        <w:b/>
        <w:color w:val="333333"/>
      </w:rPr>
    </w:tblStylePr>
    <w:tblStylePr w:type="lastCol">
      <w:rPr>
        <w:b/>
        <w:color w:val="333333"/>
      </w:rPr>
    </w:tblStylePr>
    <w:tblStylePr w:type="band1Vert">
      <w:tblPr/>
      <w:tcPr>
        <w:shd w:val="clear" w:color="CBCBCB" w:fill="CBCBCB"/>
      </w:tcPr>
    </w:tblStylePr>
    <w:tblStylePr w:type="band1Horz">
      <w:rPr>
        <w:rFonts w:ascii="Arial" w:hAnsi="Arial"/>
        <w:color w:val="333333"/>
        <w:sz w:val="22"/>
      </w:rPr>
      <w:tblPr/>
      <w:tcPr>
        <w:shd w:val="clear" w:color="CBCBCB" w:fill="CBCBCB"/>
      </w:tcPr>
    </w:tblStylePr>
    <w:tblStylePr w:type="band2Horz">
      <w:rPr>
        <w:rFonts w:ascii="Arial" w:hAnsi="Arial"/>
        <w:color w:val="333333"/>
        <w:sz w:val="22"/>
      </w:rPr>
    </w:tblStylePr>
  </w:style>
  <w:style w:type="table" w:customStyle="1" w:styleId="ListTable6Colorful-Accent11">
    <w:name w:val="List Table 6 Colorful - Accent 11"/>
    <w:basedOn w:val="NormaleTabelle"/>
    <w:uiPriority w:val="99"/>
    <w:rsid w:val="0062351B"/>
    <w:tblPr>
      <w:tblStyleRowBandSize w:val="1"/>
      <w:tblStyleColBandSize w:val="1"/>
      <w:tblBorders>
        <w:top w:val="single" w:sz="4" w:space="0" w:color="104C91"/>
        <w:bottom w:val="single" w:sz="4" w:space="0" w:color="104C91"/>
      </w:tblBorders>
    </w:tblPr>
    <w:tblStylePr w:type="firstRow">
      <w:rPr>
        <w:b/>
        <w:color w:val="092C54"/>
      </w:rPr>
      <w:tblPr/>
      <w:tcPr>
        <w:tcBorders>
          <w:bottom w:val="single" w:sz="4" w:space="0" w:color="104C91"/>
        </w:tcBorders>
      </w:tcPr>
    </w:tblStylePr>
    <w:tblStylePr w:type="lastRow">
      <w:rPr>
        <w:b/>
        <w:color w:val="092C54"/>
      </w:rPr>
      <w:tblPr/>
      <w:tcPr>
        <w:tcBorders>
          <w:top w:val="single" w:sz="4" w:space="0" w:color="104C91"/>
        </w:tcBorders>
      </w:tcPr>
    </w:tblStylePr>
    <w:tblStylePr w:type="firstCol">
      <w:rPr>
        <w:b/>
        <w:color w:val="092C54"/>
      </w:rPr>
    </w:tblStylePr>
    <w:tblStylePr w:type="lastCol">
      <w:rPr>
        <w:b/>
        <w:color w:val="092C54"/>
      </w:rPr>
    </w:tblStylePr>
    <w:tblStylePr w:type="band1Vert">
      <w:tblPr/>
      <w:tcPr>
        <w:shd w:val="clear" w:color="B0D0F6" w:fill="B0D0F6"/>
      </w:tcPr>
    </w:tblStylePr>
    <w:tblStylePr w:type="band1Horz">
      <w:rPr>
        <w:rFonts w:ascii="Arial" w:hAnsi="Arial"/>
        <w:color w:val="092C54"/>
        <w:sz w:val="22"/>
      </w:rPr>
      <w:tblPr/>
      <w:tcPr>
        <w:shd w:val="clear" w:color="B0D0F6" w:fill="B0D0F6"/>
      </w:tcPr>
    </w:tblStylePr>
    <w:tblStylePr w:type="band2Horz">
      <w:rPr>
        <w:rFonts w:ascii="Arial" w:hAnsi="Arial"/>
        <w:color w:val="092C54"/>
        <w:sz w:val="22"/>
      </w:rPr>
    </w:tblStylePr>
  </w:style>
  <w:style w:type="table" w:customStyle="1" w:styleId="ListTable6Colorful-Accent21">
    <w:name w:val="List Table 6 Colorful - Accent 21"/>
    <w:basedOn w:val="NormaleTabelle"/>
    <w:uiPriority w:val="99"/>
    <w:rsid w:val="0062351B"/>
    <w:tblPr>
      <w:tblStyleRowBandSize w:val="1"/>
      <w:tblStyleColBandSize w:val="1"/>
      <w:tblBorders>
        <w:top w:val="single" w:sz="4" w:space="0" w:color="B7D1ED"/>
        <w:bottom w:val="single" w:sz="4" w:space="0" w:color="B7D1ED"/>
      </w:tblBorders>
    </w:tblPr>
    <w:tblStylePr w:type="firstRow">
      <w:rPr>
        <w:b/>
        <w:color w:val="B7D1ED"/>
      </w:rPr>
      <w:tblPr/>
      <w:tcPr>
        <w:tcBorders>
          <w:bottom w:val="single" w:sz="4" w:space="0" w:color="B7D1ED"/>
        </w:tcBorders>
      </w:tcPr>
    </w:tblStylePr>
    <w:tblStylePr w:type="lastRow">
      <w:rPr>
        <w:b/>
        <w:color w:val="B7D1ED"/>
      </w:rPr>
      <w:tblPr/>
      <w:tcPr>
        <w:tcBorders>
          <w:top w:val="single" w:sz="4" w:space="0" w:color="B7D1ED"/>
        </w:tcBorders>
      </w:tcPr>
    </w:tblStylePr>
    <w:tblStylePr w:type="firstCol">
      <w:rPr>
        <w:b/>
        <w:color w:val="B7D1ED"/>
      </w:rPr>
    </w:tblStylePr>
    <w:tblStylePr w:type="lastCol">
      <w:rPr>
        <w:b/>
        <w:color w:val="B7D1ED"/>
      </w:rPr>
    </w:tblStylePr>
    <w:tblStylePr w:type="band1Vert">
      <w:tblPr/>
      <w:tcPr>
        <w:shd w:val="clear" w:color="E0EBF7" w:fill="E0EBF7"/>
      </w:tcPr>
    </w:tblStylePr>
    <w:tblStylePr w:type="band1Horz">
      <w:rPr>
        <w:rFonts w:ascii="Arial" w:hAnsi="Arial"/>
        <w:color w:val="B7D1ED"/>
        <w:sz w:val="22"/>
      </w:rPr>
      <w:tblPr/>
      <w:tcPr>
        <w:shd w:val="clear" w:color="E0EBF7" w:fill="E0EBF7"/>
      </w:tcPr>
    </w:tblStylePr>
    <w:tblStylePr w:type="band2Horz">
      <w:rPr>
        <w:rFonts w:ascii="Arial" w:hAnsi="Arial"/>
        <w:color w:val="B7D1ED"/>
        <w:sz w:val="22"/>
      </w:rPr>
    </w:tblStylePr>
  </w:style>
  <w:style w:type="table" w:customStyle="1" w:styleId="ListTable6Colorful-Accent31">
    <w:name w:val="List Table 6 Colorful - Accent 31"/>
    <w:basedOn w:val="NormaleTabelle"/>
    <w:uiPriority w:val="99"/>
    <w:rsid w:val="0062351B"/>
    <w:tblPr>
      <w:tblStyleRowBandSize w:val="1"/>
      <w:tblStyleColBandSize w:val="1"/>
      <w:tblBorders>
        <w:top w:val="single" w:sz="4" w:space="0" w:color="F8C375"/>
        <w:bottom w:val="single" w:sz="4" w:space="0" w:color="F8C375"/>
      </w:tblBorders>
    </w:tblPr>
    <w:tblStylePr w:type="firstRow">
      <w:rPr>
        <w:b/>
        <w:color w:val="F8C375"/>
      </w:rPr>
      <w:tblPr/>
      <w:tcPr>
        <w:tcBorders>
          <w:bottom w:val="single" w:sz="4" w:space="0" w:color="F8C375"/>
        </w:tcBorders>
      </w:tcPr>
    </w:tblStylePr>
    <w:tblStylePr w:type="lastRow">
      <w:rPr>
        <w:b/>
        <w:color w:val="F8C375"/>
      </w:rPr>
      <w:tblPr/>
      <w:tcPr>
        <w:tcBorders>
          <w:top w:val="single" w:sz="4" w:space="0" w:color="F8C375"/>
        </w:tcBorders>
      </w:tcPr>
    </w:tblStylePr>
    <w:tblStylePr w:type="firstCol">
      <w:rPr>
        <w:b/>
        <w:color w:val="F8C375"/>
      </w:rPr>
    </w:tblStylePr>
    <w:tblStylePr w:type="lastCol">
      <w:rPr>
        <w:b/>
        <w:color w:val="F8C375"/>
      </w:rPr>
    </w:tblStylePr>
    <w:tblStylePr w:type="band1Vert">
      <w:tblPr/>
      <w:tcPr>
        <w:shd w:val="clear" w:color="FCE5C5" w:fill="FCE5C5"/>
      </w:tcPr>
    </w:tblStylePr>
    <w:tblStylePr w:type="band1Horz">
      <w:rPr>
        <w:rFonts w:ascii="Arial" w:hAnsi="Arial"/>
        <w:color w:val="F8C375"/>
        <w:sz w:val="22"/>
      </w:rPr>
      <w:tblPr/>
      <w:tcPr>
        <w:shd w:val="clear" w:color="FCE5C5" w:fill="FCE5C5"/>
      </w:tcPr>
    </w:tblStylePr>
    <w:tblStylePr w:type="band2Horz">
      <w:rPr>
        <w:rFonts w:ascii="Arial" w:hAnsi="Arial"/>
        <w:color w:val="F8C375"/>
        <w:sz w:val="22"/>
      </w:rPr>
    </w:tblStylePr>
  </w:style>
  <w:style w:type="table" w:customStyle="1" w:styleId="ListTable6Colorful-Accent41">
    <w:name w:val="List Table 6 Colorful - Accent 41"/>
    <w:basedOn w:val="NormaleTabelle"/>
    <w:uiPriority w:val="99"/>
    <w:rsid w:val="0062351B"/>
    <w:tblPr>
      <w:tblStyleRowBandSize w:val="1"/>
      <w:tblStyleColBandSize w:val="1"/>
      <w:tblBorders>
        <w:top w:val="single" w:sz="4" w:space="0" w:color="FAFAFA"/>
        <w:bottom w:val="single" w:sz="4" w:space="0" w:color="FAFAFA"/>
      </w:tblBorders>
    </w:tblPr>
    <w:tblStylePr w:type="firstRow">
      <w:rPr>
        <w:b/>
        <w:color w:val="FAFAFA"/>
      </w:rPr>
      <w:tblPr/>
      <w:tcPr>
        <w:tcBorders>
          <w:bottom w:val="single" w:sz="4" w:space="0" w:color="FAFAFA"/>
        </w:tcBorders>
      </w:tcPr>
    </w:tblStylePr>
    <w:tblStylePr w:type="lastRow">
      <w:rPr>
        <w:b/>
        <w:color w:val="FAFAFA"/>
      </w:rPr>
      <w:tblPr/>
      <w:tcPr>
        <w:tcBorders>
          <w:top w:val="single" w:sz="4" w:space="0" w:color="FAFAFA"/>
        </w:tcBorders>
      </w:tcPr>
    </w:tblStylePr>
    <w:tblStylePr w:type="firstCol">
      <w:rPr>
        <w:b/>
        <w:color w:val="FAFAFA"/>
      </w:rPr>
    </w:tblStylePr>
    <w:tblStylePr w:type="lastCol">
      <w:rPr>
        <w:b/>
        <w:color w:val="FAFAFA"/>
      </w:rPr>
    </w:tblStylePr>
    <w:tblStylePr w:type="band1Vert">
      <w:tblPr/>
      <w:tcPr>
        <w:shd w:val="clear" w:color="FDFDFC" w:fill="FDFDFC"/>
      </w:tcPr>
    </w:tblStylePr>
    <w:tblStylePr w:type="band1Horz">
      <w:rPr>
        <w:rFonts w:ascii="Arial" w:hAnsi="Arial"/>
        <w:color w:val="FAFAFA"/>
        <w:sz w:val="22"/>
      </w:rPr>
      <w:tblPr/>
      <w:tcPr>
        <w:shd w:val="clear" w:color="FDFDFC" w:fill="FDFDFC"/>
      </w:tcPr>
    </w:tblStylePr>
    <w:tblStylePr w:type="band2Horz">
      <w:rPr>
        <w:rFonts w:ascii="Arial" w:hAnsi="Arial"/>
        <w:color w:val="FAFAFA"/>
        <w:sz w:val="22"/>
      </w:rPr>
    </w:tblStylePr>
  </w:style>
  <w:style w:type="table" w:customStyle="1" w:styleId="ListTable6Colorful-Accent51">
    <w:name w:val="List Table 6 Colorful - Accent 51"/>
    <w:basedOn w:val="NormaleTabelle"/>
    <w:uiPriority w:val="99"/>
    <w:rsid w:val="0062351B"/>
    <w:tblPr>
      <w:tblStyleRowBandSize w:val="1"/>
      <w:tblStyleColBandSize w:val="1"/>
      <w:tblBorders>
        <w:top w:val="single" w:sz="4" w:space="0" w:color="838383"/>
        <w:bottom w:val="single" w:sz="4" w:space="0" w:color="838383"/>
      </w:tblBorders>
    </w:tblPr>
    <w:tblStylePr w:type="firstRow">
      <w:rPr>
        <w:b/>
        <w:color w:val="838383"/>
      </w:rPr>
      <w:tblPr/>
      <w:tcPr>
        <w:tcBorders>
          <w:bottom w:val="single" w:sz="4" w:space="0" w:color="838383"/>
        </w:tcBorders>
      </w:tcPr>
    </w:tblStylePr>
    <w:tblStylePr w:type="lastRow">
      <w:rPr>
        <w:b/>
        <w:color w:val="838383"/>
      </w:rPr>
      <w:tblPr/>
      <w:tcPr>
        <w:tcBorders>
          <w:top w:val="single" w:sz="4" w:space="0" w:color="838383"/>
        </w:tcBorders>
      </w:tcPr>
    </w:tblStylePr>
    <w:tblStylePr w:type="firstCol">
      <w:rPr>
        <w:b/>
        <w:color w:val="838383"/>
      </w:rPr>
    </w:tblStylePr>
    <w:tblStylePr w:type="lastCol">
      <w:rPr>
        <w:b/>
        <w:color w:val="838383"/>
      </w:rPr>
    </w:tblStylePr>
    <w:tblStylePr w:type="band1Vert">
      <w:tblPr/>
      <w:tcPr>
        <w:shd w:val="clear" w:color="CBCBCB" w:fill="CBCBCB"/>
      </w:tcPr>
    </w:tblStylePr>
    <w:tblStylePr w:type="band1Horz">
      <w:rPr>
        <w:rFonts w:ascii="Arial" w:hAnsi="Arial"/>
        <w:color w:val="838383"/>
        <w:sz w:val="22"/>
      </w:rPr>
      <w:tblPr/>
      <w:tcPr>
        <w:shd w:val="clear" w:color="CBCBCB" w:fill="CBCBCB"/>
      </w:tcPr>
    </w:tblStylePr>
    <w:tblStylePr w:type="band2Horz">
      <w:rPr>
        <w:rFonts w:ascii="Arial" w:hAnsi="Arial"/>
        <w:color w:val="838383"/>
        <w:sz w:val="22"/>
      </w:rPr>
    </w:tblStylePr>
  </w:style>
  <w:style w:type="table" w:customStyle="1" w:styleId="ListTable6Colorful-Accent61">
    <w:name w:val="List Table 6 Colorful - Accent 61"/>
    <w:basedOn w:val="NormaleTabelle"/>
    <w:uiPriority w:val="99"/>
    <w:rsid w:val="0062351B"/>
    <w:tblPr>
      <w:tblStyleRowBandSize w:val="1"/>
      <w:tblStyleColBandSize w:val="1"/>
      <w:tblBorders>
        <w:top w:val="single" w:sz="4" w:space="0" w:color="F8F8F7"/>
        <w:bottom w:val="single" w:sz="4" w:space="0" w:color="F8F8F7"/>
      </w:tblBorders>
    </w:tblPr>
    <w:tblStylePr w:type="firstRow">
      <w:rPr>
        <w:b/>
        <w:color w:val="F8F8F7"/>
      </w:rPr>
      <w:tblPr/>
      <w:tcPr>
        <w:tcBorders>
          <w:bottom w:val="single" w:sz="4" w:space="0" w:color="F8F8F7"/>
        </w:tcBorders>
      </w:tcPr>
    </w:tblStylePr>
    <w:tblStylePr w:type="lastRow">
      <w:rPr>
        <w:b/>
        <w:color w:val="F8F8F7"/>
      </w:rPr>
      <w:tblPr/>
      <w:tcPr>
        <w:tcBorders>
          <w:top w:val="single" w:sz="4" w:space="0" w:color="F8F8F7"/>
        </w:tcBorders>
      </w:tcPr>
    </w:tblStylePr>
    <w:tblStylePr w:type="firstCol">
      <w:rPr>
        <w:b/>
        <w:color w:val="F8F8F7"/>
      </w:rPr>
    </w:tblStylePr>
    <w:tblStylePr w:type="lastCol">
      <w:rPr>
        <w:b/>
        <w:color w:val="F8F8F7"/>
      </w:rPr>
    </w:tblStylePr>
    <w:tblStylePr w:type="band1Vert">
      <w:tblPr/>
      <w:tcPr>
        <w:shd w:val="clear" w:color="FCFCFB" w:fill="FCFCFB"/>
      </w:tcPr>
    </w:tblStylePr>
    <w:tblStylePr w:type="band1Horz">
      <w:rPr>
        <w:rFonts w:ascii="Arial" w:hAnsi="Arial"/>
        <w:color w:val="F8F8F7"/>
        <w:sz w:val="22"/>
      </w:rPr>
      <w:tblPr/>
      <w:tcPr>
        <w:shd w:val="clear" w:color="FCFCFB" w:fill="FCFCFB"/>
      </w:tcPr>
    </w:tblStylePr>
    <w:tblStylePr w:type="band2Horz">
      <w:rPr>
        <w:rFonts w:ascii="Arial" w:hAnsi="Arial"/>
        <w:color w:val="F8F8F7"/>
        <w:sz w:val="22"/>
      </w:rPr>
    </w:tblStylePr>
  </w:style>
  <w:style w:type="table" w:customStyle="1" w:styleId="Listentabelle7farbig1">
    <w:name w:val="Listentabelle 7 farbig1"/>
    <w:basedOn w:val="NormaleTabelle"/>
    <w:uiPriority w:val="99"/>
    <w:rsid w:val="0062351B"/>
    <w:tblPr>
      <w:tblStyleRowBandSize w:val="1"/>
      <w:tblStyleColBandSize w:val="1"/>
      <w:tblBorders>
        <w:right w:val="single" w:sz="4" w:space="0" w:color="989898"/>
      </w:tblBorders>
    </w:tblPr>
    <w:tblStylePr w:type="firstRow">
      <w:rPr>
        <w:rFonts w:ascii="Arial" w:hAnsi="Arial"/>
        <w:i/>
        <w:color w:val="989898"/>
        <w:sz w:val="22"/>
      </w:rPr>
      <w:tblPr/>
      <w:tcPr>
        <w:tcBorders>
          <w:top w:val="none" w:sz="0" w:space="0" w:color="auto"/>
          <w:left w:val="none" w:sz="0" w:space="0" w:color="auto"/>
          <w:bottom w:val="single" w:sz="4" w:space="0" w:color="989898"/>
          <w:right w:val="none" w:sz="0" w:space="0" w:color="auto"/>
        </w:tcBorders>
        <w:shd w:val="clear" w:color="FEFFFF" w:fill="FEFFFF"/>
      </w:tcPr>
    </w:tblStylePr>
    <w:tblStylePr w:type="lastRow">
      <w:rPr>
        <w:rFonts w:ascii="Arial" w:hAnsi="Arial"/>
        <w:i/>
        <w:color w:val="989898"/>
        <w:sz w:val="22"/>
      </w:rPr>
      <w:tblPr/>
      <w:tcPr>
        <w:tcBorders>
          <w:top w:val="single" w:sz="4" w:space="0" w:color="989898"/>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989898"/>
        <w:sz w:val="22"/>
      </w:rPr>
      <w:tblPr/>
      <w:tcPr>
        <w:tcBorders>
          <w:top w:val="none" w:sz="0" w:space="0" w:color="auto"/>
          <w:left w:val="none" w:sz="0" w:space="0" w:color="auto"/>
          <w:bottom w:val="none" w:sz="0" w:space="0" w:color="auto"/>
          <w:right w:val="single" w:sz="4" w:space="0" w:color="989898"/>
        </w:tcBorders>
        <w:shd w:val="clear" w:color="FFFFFF" w:fill="auto"/>
      </w:tcPr>
    </w:tblStylePr>
    <w:tblStylePr w:type="lastCol">
      <w:rPr>
        <w:rFonts w:ascii="Arial" w:hAnsi="Arial"/>
        <w:i/>
        <w:color w:val="989898"/>
        <w:sz w:val="22"/>
      </w:rPr>
      <w:tblPr/>
      <w:tcPr>
        <w:tcBorders>
          <w:top w:val="none" w:sz="0" w:space="0" w:color="auto"/>
          <w:left w:val="single" w:sz="4" w:space="0" w:color="989898"/>
          <w:bottom w:val="none" w:sz="0" w:space="0" w:color="auto"/>
          <w:right w:val="none" w:sz="0" w:space="0" w:color="auto"/>
        </w:tcBorders>
        <w:shd w:val="clear" w:color="FFFFFF" w:fill="auto"/>
      </w:tcPr>
    </w:tblStylePr>
    <w:tblStylePr w:type="band1Vert">
      <w:tblPr/>
      <w:tcPr>
        <w:shd w:val="clear" w:color="CBCBCB" w:fill="CBCBCB"/>
      </w:tcPr>
    </w:tblStylePr>
    <w:tblStylePr w:type="band1Horz">
      <w:rPr>
        <w:rFonts w:ascii="Arial" w:hAnsi="Arial"/>
        <w:color w:val="989898"/>
        <w:sz w:val="22"/>
      </w:rPr>
      <w:tblPr/>
      <w:tcPr>
        <w:shd w:val="clear" w:color="CBCBCB" w:fill="CBCBCB"/>
      </w:tcPr>
    </w:tblStylePr>
    <w:tblStylePr w:type="band2Horz">
      <w:rPr>
        <w:rFonts w:ascii="Arial" w:hAnsi="Arial"/>
        <w:color w:val="989898"/>
        <w:sz w:val="22"/>
      </w:rPr>
    </w:tblStylePr>
  </w:style>
  <w:style w:type="table" w:customStyle="1" w:styleId="ListTable7Colorful-Accent11">
    <w:name w:val="List Table 7 Colorful - Accent 11"/>
    <w:basedOn w:val="NormaleTabelle"/>
    <w:uiPriority w:val="99"/>
    <w:rsid w:val="0062351B"/>
    <w:tblPr>
      <w:tblStyleRowBandSize w:val="1"/>
      <w:tblStyleColBandSize w:val="1"/>
      <w:tblBorders>
        <w:right w:val="single" w:sz="4" w:space="0" w:color="104C91"/>
      </w:tblBorders>
    </w:tblPr>
    <w:tblStylePr w:type="firstRow">
      <w:rPr>
        <w:rFonts w:ascii="Arial" w:hAnsi="Arial"/>
        <w:i/>
        <w:color w:val="092C54"/>
        <w:sz w:val="22"/>
      </w:rPr>
      <w:tblPr/>
      <w:tcPr>
        <w:tcBorders>
          <w:top w:val="none" w:sz="0" w:space="0" w:color="auto"/>
          <w:left w:val="none" w:sz="0" w:space="0" w:color="auto"/>
          <w:bottom w:val="single" w:sz="4" w:space="0" w:color="104C91"/>
          <w:right w:val="none" w:sz="0" w:space="0" w:color="auto"/>
        </w:tcBorders>
        <w:shd w:val="clear" w:color="FEFFFF" w:fill="FEFFFF"/>
      </w:tcPr>
    </w:tblStylePr>
    <w:tblStylePr w:type="lastRow">
      <w:rPr>
        <w:rFonts w:ascii="Arial" w:hAnsi="Arial"/>
        <w:i/>
        <w:color w:val="092C54"/>
        <w:sz w:val="22"/>
      </w:rPr>
      <w:tblPr/>
      <w:tcPr>
        <w:tcBorders>
          <w:top w:val="single" w:sz="4" w:space="0" w:color="104C91"/>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092C54"/>
        <w:sz w:val="22"/>
      </w:rPr>
      <w:tblPr/>
      <w:tcPr>
        <w:tcBorders>
          <w:top w:val="none" w:sz="0" w:space="0" w:color="auto"/>
          <w:left w:val="none" w:sz="0" w:space="0" w:color="auto"/>
          <w:bottom w:val="none" w:sz="0" w:space="0" w:color="auto"/>
          <w:right w:val="single" w:sz="4" w:space="0" w:color="104C91"/>
        </w:tcBorders>
        <w:shd w:val="clear" w:color="FFFFFF" w:fill="auto"/>
      </w:tcPr>
    </w:tblStylePr>
    <w:tblStylePr w:type="lastCol">
      <w:rPr>
        <w:rFonts w:ascii="Arial" w:hAnsi="Arial"/>
        <w:i/>
        <w:color w:val="092C54"/>
        <w:sz w:val="22"/>
      </w:rPr>
      <w:tblPr/>
      <w:tcPr>
        <w:tcBorders>
          <w:top w:val="none" w:sz="0" w:space="0" w:color="auto"/>
          <w:left w:val="single" w:sz="4" w:space="0" w:color="104C91"/>
          <w:bottom w:val="none" w:sz="0" w:space="0" w:color="auto"/>
          <w:right w:val="none" w:sz="0" w:space="0" w:color="auto"/>
        </w:tcBorders>
        <w:shd w:val="clear" w:color="FFFFFF" w:fill="auto"/>
      </w:tcPr>
    </w:tblStylePr>
    <w:tblStylePr w:type="band1Vert">
      <w:tblPr/>
      <w:tcPr>
        <w:shd w:val="clear" w:color="B0D0F6" w:fill="B0D0F6"/>
      </w:tcPr>
    </w:tblStylePr>
    <w:tblStylePr w:type="band1Horz">
      <w:rPr>
        <w:rFonts w:ascii="Arial" w:hAnsi="Arial"/>
        <w:color w:val="092C54"/>
        <w:sz w:val="22"/>
      </w:rPr>
      <w:tblPr/>
      <w:tcPr>
        <w:shd w:val="clear" w:color="B0D0F6" w:fill="B0D0F6"/>
      </w:tcPr>
    </w:tblStylePr>
    <w:tblStylePr w:type="band2Horz">
      <w:rPr>
        <w:rFonts w:ascii="Arial" w:hAnsi="Arial"/>
        <w:color w:val="092C54"/>
        <w:sz w:val="22"/>
      </w:rPr>
    </w:tblStylePr>
  </w:style>
  <w:style w:type="table" w:customStyle="1" w:styleId="ListTable7Colorful-Accent21">
    <w:name w:val="List Table 7 Colorful - Accent 21"/>
    <w:basedOn w:val="NormaleTabelle"/>
    <w:uiPriority w:val="99"/>
    <w:rsid w:val="0062351B"/>
    <w:tblPr>
      <w:tblStyleRowBandSize w:val="1"/>
      <w:tblStyleColBandSize w:val="1"/>
      <w:tblBorders>
        <w:right w:val="single" w:sz="4" w:space="0" w:color="B7D1ED"/>
      </w:tblBorders>
    </w:tblPr>
    <w:tblStylePr w:type="firstRow">
      <w:rPr>
        <w:rFonts w:ascii="Arial" w:hAnsi="Arial"/>
        <w:i/>
        <w:color w:val="B7D1ED"/>
        <w:sz w:val="22"/>
      </w:rPr>
      <w:tblPr/>
      <w:tcPr>
        <w:tcBorders>
          <w:top w:val="none" w:sz="0" w:space="0" w:color="auto"/>
          <w:left w:val="none" w:sz="0" w:space="0" w:color="auto"/>
          <w:bottom w:val="single" w:sz="4" w:space="0" w:color="B7D1ED"/>
          <w:right w:val="none" w:sz="0" w:space="0" w:color="auto"/>
        </w:tcBorders>
        <w:shd w:val="clear" w:color="FEFFFF" w:fill="FEFFFF"/>
      </w:tcPr>
    </w:tblStylePr>
    <w:tblStylePr w:type="lastRow">
      <w:rPr>
        <w:rFonts w:ascii="Arial" w:hAnsi="Arial"/>
        <w:i/>
        <w:color w:val="B7D1ED"/>
        <w:sz w:val="22"/>
      </w:rPr>
      <w:tblPr/>
      <w:tcPr>
        <w:tcBorders>
          <w:top w:val="single" w:sz="4" w:space="0" w:color="B7D1ED"/>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B7D1ED"/>
        <w:sz w:val="22"/>
      </w:rPr>
      <w:tblPr/>
      <w:tcPr>
        <w:tcBorders>
          <w:top w:val="none" w:sz="0" w:space="0" w:color="auto"/>
          <w:left w:val="none" w:sz="0" w:space="0" w:color="auto"/>
          <w:bottom w:val="none" w:sz="0" w:space="0" w:color="auto"/>
          <w:right w:val="single" w:sz="4" w:space="0" w:color="B7D1ED"/>
        </w:tcBorders>
        <w:shd w:val="clear" w:color="FFFFFF" w:fill="auto"/>
      </w:tcPr>
    </w:tblStylePr>
    <w:tblStylePr w:type="lastCol">
      <w:rPr>
        <w:rFonts w:ascii="Arial" w:hAnsi="Arial"/>
        <w:i/>
        <w:color w:val="B7D1ED"/>
        <w:sz w:val="22"/>
      </w:rPr>
      <w:tblPr/>
      <w:tcPr>
        <w:tcBorders>
          <w:top w:val="none" w:sz="0" w:space="0" w:color="auto"/>
          <w:left w:val="single" w:sz="4" w:space="0" w:color="B7D1ED"/>
          <w:bottom w:val="none" w:sz="0" w:space="0" w:color="auto"/>
          <w:right w:val="none" w:sz="0" w:space="0" w:color="auto"/>
        </w:tcBorders>
        <w:shd w:val="clear" w:color="FFFFFF" w:fill="auto"/>
      </w:tcPr>
    </w:tblStylePr>
    <w:tblStylePr w:type="band1Vert">
      <w:tblPr/>
      <w:tcPr>
        <w:shd w:val="clear" w:color="E0EBF7" w:fill="E0EBF7"/>
      </w:tcPr>
    </w:tblStylePr>
    <w:tblStylePr w:type="band1Horz">
      <w:rPr>
        <w:rFonts w:ascii="Arial" w:hAnsi="Arial"/>
        <w:color w:val="B7D1ED"/>
        <w:sz w:val="22"/>
      </w:rPr>
      <w:tblPr/>
      <w:tcPr>
        <w:shd w:val="clear" w:color="E0EBF7" w:fill="E0EBF7"/>
      </w:tcPr>
    </w:tblStylePr>
    <w:tblStylePr w:type="band2Horz">
      <w:rPr>
        <w:rFonts w:ascii="Arial" w:hAnsi="Arial"/>
        <w:color w:val="B7D1ED"/>
        <w:sz w:val="22"/>
      </w:rPr>
    </w:tblStylePr>
  </w:style>
  <w:style w:type="table" w:customStyle="1" w:styleId="ListTable7Colorful-Accent31">
    <w:name w:val="List Table 7 Colorful - Accent 31"/>
    <w:basedOn w:val="NormaleTabelle"/>
    <w:uiPriority w:val="99"/>
    <w:rsid w:val="0062351B"/>
    <w:tblPr>
      <w:tblStyleRowBandSize w:val="1"/>
      <w:tblStyleColBandSize w:val="1"/>
      <w:tblBorders>
        <w:right w:val="single" w:sz="4" w:space="0" w:color="F8C375"/>
      </w:tblBorders>
    </w:tblPr>
    <w:tblStylePr w:type="firstRow">
      <w:rPr>
        <w:rFonts w:ascii="Arial" w:hAnsi="Arial"/>
        <w:i/>
        <w:color w:val="F8C375"/>
        <w:sz w:val="22"/>
      </w:rPr>
      <w:tblPr/>
      <w:tcPr>
        <w:tcBorders>
          <w:top w:val="none" w:sz="0" w:space="0" w:color="auto"/>
          <w:left w:val="none" w:sz="0" w:space="0" w:color="auto"/>
          <w:bottom w:val="single" w:sz="4" w:space="0" w:color="F8C375"/>
          <w:right w:val="none" w:sz="0" w:space="0" w:color="auto"/>
        </w:tcBorders>
        <w:shd w:val="clear" w:color="FEFFFF" w:fill="FEFFFF"/>
      </w:tcPr>
    </w:tblStylePr>
    <w:tblStylePr w:type="lastRow">
      <w:rPr>
        <w:rFonts w:ascii="Arial" w:hAnsi="Arial"/>
        <w:i/>
        <w:color w:val="F8C375"/>
        <w:sz w:val="22"/>
      </w:rPr>
      <w:tblPr/>
      <w:tcPr>
        <w:tcBorders>
          <w:top w:val="single" w:sz="4" w:space="0" w:color="F8C375"/>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F8C375"/>
        <w:sz w:val="22"/>
      </w:rPr>
      <w:tblPr/>
      <w:tcPr>
        <w:tcBorders>
          <w:top w:val="none" w:sz="0" w:space="0" w:color="auto"/>
          <w:left w:val="none" w:sz="0" w:space="0" w:color="auto"/>
          <w:bottom w:val="none" w:sz="0" w:space="0" w:color="auto"/>
          <w:right w:val="single" w:sz="4" w:space="0" w:color="F8C375"/>
        </w:tcBorders>
        <w:shd w:val="clear" w:color="FFFFFF" w:fill="auto"/>
      </w:tcPr>
    </w:tblStylePr>
    <w:tblStylePr w:type="lastCol">
      <w:rPr>
        <w:rFonts w:ascii="Arial" w:hAnsi="Arial"/>
        <w:i/>
        <w:color w:val="F8C375"/>
        <w:sz w:val="22"/>
      </w:rPr>
      <w:tblPr/>
      <w:tcPr>
        <w:tcBorders>
          <w:top w:val="none" w:sz="0" w:space="0" w:color="auto"/>
          <w:left w:val="single" w:sz="4" w:space="0" w:color="F8C375"/>
          <w:bottom w:val="none" w:sz="0" w:space="0" w:color="auto"/>
          <w:right w:val="none" w:sz="0" w:space="0" w:color="auto"/>
        </w:tcBorders>
        <w:shd w:val="clear" w:color="FFFFFF" w:fill="auto"/>
      </w:tcPr>
    </w:tblStylePr>
    <w:tblStylePr w:type="band1Vert">
      <w:tblPr/>
      <w:tcPr>
        <w:shd w:val="clear" w:color="FCE5C5" w:fill="FCE5C5"/>
      </w:tcPr>
    </w:tblStylePr>
    <w:tblStylePr w:type="band1Horz">
      <w:rPr>
        <w:rFonts w:ascii="Arial" w:hAnsi="Arial"/>
        <w:color w:val="F8C375"/>
        <w:sz w:val="22"/>
      </w:rPr>
      <w:tblPr/>
      <w:tcPr>
        <w:shd w:val="clear" w:color="FCE5C5" w:fill="FCE5C5"/>
      </w:tcPr>
    </w:tblStylePr>
    <w:tblStylePr w:type="band2Horz">
      <w:rPr>
        <w:rFonts w:ascii="Arial" w:hAnsi="Arial"/>
        <w:color w:val="F8C375"/>
        <w:sz w:val="22"/>
      </w:rPr>
    </w:tblStylePr>
  </w:style>
  <w:style w:type="table" w:customStyle="1" w:styleId="ListTable7Colorful-Accent41">
    <w:name w:val="List Table 7 Colorful - Accent 41"/>
    <w:basedOn w:val="NormaleTabelle"/>
    <w:uiPriority w:val="99"/>
    <w:rsid w:val="0062351B"/>
    <w:tblPr>
      <w:tblStyleRowBandSize w:val="1"/>
      <w:tblStyleColBandSize w:val="1"/>
      <w:tblBorders>
        <w:right w:val="single" w:sz="4" w:space="0" w:color="FAFAFA"/>
      </w:tblBorders>
    </w:tblPr>
    <w:tblStylePr w:type="firstRow">
      <w:rPr>
        <w:rFonts w:ascii="Arial" w:hAnsi="Arial"/>
        <w:i/>
        <w:color w:val="FAFAFA"/>
        <w:sz w:val="22"/>
      </w:rPr>
      <w:tblPr/>
      <w:tcPr>
        <w:tcBorders>
          <w:top w:val="none" w:sz="0" w:space="0" w:color="auto"/>
          <w:left w:val="none" w:sz="0" w:space="0" w:color="auto"/>
          <w:bottom w:val="single" w:sz="4" w:space="0" w:color="FAFAFA"/>
          <w:right w:val="none" w:sz="0" w:space="0" w:color="auto"/>
        </w:tcBorders>
        <w:shd w:val="clear" w:color="FEFFFF" w:fill="FEFFFF"/>
      </w:tcPr>
    </w:tblStylePr>
    <w:tblStylePr w:type="lastRow">
      <w:rPr>
        <w:rFonts w:ascii="Arial" w:hAnsi="Arial"/>
        <w:i/>
        <w:color w:val="FAFAFA"/>
        <w:sz w:val="22"/>
      </w:rPr>
      <w:tblPr/>
      <w:tcPr>
        <w:tcBorders>
          <w:top w:val="single" w:sz="4" w:space="0" w:color="FAFAFA"/>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FAFAFA"/>
        <w:sz w:val="22"/>
      </w:rPr>
      <w:tblPr/>
      <w:tcPr>
        <w:tcBorders>
          <w:top w:val="none" w:sz="0" w:space="0" w:color="auto"/>
          <w:left w:val="none" w:sz="0" w:space="0" w:color="auto"/>
          <w:bottom w:val="none" w:sz="0" w:space="0" w:color="auto"/>
          <w:right w:val="single" w:sz="4" w:space="0" w:color="FAFAFA"/>
        </w:tcBorders>
        <w:shd w:val="clear" w:color="FFFFFF" w:fill="auto"/>
      </w:tcPr>
    </w:tblStylePr>
    <w:tblStylePr w:type="lastCol">
      <w:rPr>
        <w:rFonts w:ascii="Arial" w:hAnsi="Arial"/>
        <w:i/>
        <w:color w:val="FAFAFA"/>
        <w:sz w:val="22"/>
      </w:rPr>
      <w:tblPr/>
      <w:tcPr>
        <w:tcBorders>
          <w:top w:val="none" w:sz="0" w:space="0" w:color="auto"/>
          <w:left w:val="single" w:sz="4" w:space="0" w:color="FAFAFA"/>
          <w:bottom w:val="none" w:sz="0" w:space="0" w:color="auto"/>
          <w:right w:val="none" w:sz="0" w:space="0" w:color="auto"/>
        </w:tcBorders>
        <w:shd w:val="clear" w:color="FFFFFF" w:fill="auto"/>
      </w:tcPr>
    </w:tblStylePr>
    <w:tblStylePr w:type="band1Vert">
      <w:tblPr/>
      <w:tcPr>
        <w:shd w:val="clear" w:color="FDFDFC" w:fill="FDFDFC"/>
      </w:tcPr>
    </w:tblStylePr>
    <w:tblStylePr w:type="band1Horz">
      <w:rPr>
        <w:rFonts w:ascii="Arial" w:hAnsi="Arial"/>
        <w:color w:val="FAFAFA"/>
        <w:sz w:val="22"/>
      </w:rPr>
      <w:tblPr/>
      <w:tcPr>
        <w:shd w:val="clear" w:color="FDFDFC" w:fill="FDFDFC"/>
      </w:tcPr>
    </w:tblStylePr>
    <w:tblStylePr w:type="band2Horz">
      <w:rPr>
        <w:rFonts w:ascii="Arial" w:hAnsi="Arial"/>
        <w:color w:val="FAFAFA"/>
        <w:sz w:val="22"/>
      </w:rPr>
    </w:tblStylePr>
  </w:style>
  <w:style w:type="table" w:customStyle="1" w:styleId="ListTable7Colorful-Accent51">
    <w:name w:val="List Table 7 Colorful - Accent 51"/>
    <w:basedOn w:val="NormaleTabelle"/>
    <w:uiPriority w:val="99"/>
    <w:rsid w:val="0062351B"/>
    <w:tblPr>
      <w:tblStyleRowBandSize w:val="1"/>
      <w:tblStyleColBandSize w:val="1"/>
      <w:tblBorders>
        <w:right w:val="single" w:sz="4" w:space="0" w:color="838383"/>
      </w:tblBorders>
    </w:tblPr>
    <w:tblStylePr w:type="firstRow">
      <w:rPr>
        <w:rFonts w:ascii="Arial" w:hAnsi="Arial"/>
        <w:i/>
        <w:color w:val="838383"/>
        <w:sz w:val="22"/>
      </w:rPr>
      <w:tblPr/>
      <w:tcPr>
        <w:tcBorders>
          <w:top w:val="none" w:sz="0" w:space="0" w:color="auto"/>
          <w:left w:val="none" w:sz="0" w:space="0" w:color="auto"/>
          <w:bottom w:val="single" w:sz="4" w:space="0" w:color="838383"/>
          <w:right w:val="none" w:sz="0" w:space="0" w:color="auto"/>
        </w:tcBorders>
        <w:shd w:val="clear" w:color="FEFFFF" w:fill="FEFFFF"/>
      </w:tcPr>
    </w:tblStylePr>
    <w:tblStylePr w:type="lastRow">
      <w:rPr>
        <w:rFonts w:ascii="Arial" w:hAnsi="Arial"/>
        <w:i/>
        <w:color w:val="838383"/>
        <w:sz w:val="22"/>
      </w:rPr>
      <w:tblPr/>
      <w:tcPr>
        <w:tcBorders>
          <w:top w:val="single" w:sz="4" w:space="0" w:color="838383"/>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838383"/>
        <w:sz w:val="22"/>
      </w:rPr>
      <w:tblPr/>
      <w:tcPr>
        <w:tcBorders>
          <w:top w:val="none" w:sz="0" w:space="0" w:color="auto"/>
          <w:left w:val="none" w:sz="0" w:space="0" w:color="auto"/>
          <w:bottom w:val="none" w:sz="0" w:space="0" w:color="auto"/>
          <w:right w:val="single" w:sz="4" w:space="0" w:color="838383"/>
        </w:tcBorders>
        <w:shd w:val="clear" w:color="FFFFFF" w:fill="auto"/>
      </w:tcPr>
    </w:tblStylePr>
    <w:tblStylePr w:type="lastCol">
      <w:rPr>
        <w:rFonts w:ascii="Arial" w:hAnsi="Arial"/>
        <w:i/>
        <w:color w:val="838383"/>
        <w:sz w:val="22"/>
      </w:rPr>
      <w:tblPr/>
      <w:tcPr>
        <w:tcBorders>
          <w:top w:val="none" w:sz="0" w:space="0" w:color="auto"/>
          <w:left w:val="single" w:sz="4" w:space="0" w:color="838383"/>
          <w:bottom w:val="none" w:sz="0" w:space="0" w:color="auto"/>
          <w:right w:val="none" w:sz="0" w:space="0" w:color="auto"/>
        </w:tcBorders>
        <w:shd w:val="clear" w:color="FFFFFF" w:fill="auto"/>
      </w:tcPr>
    </w:tblStylePr>
    <w:tblStylePr w:type="band1Vert">
      <w:tblPr/>
      <w:tcPr>
        <w:shd w:val="clear" w:color="CBCBCB" w:fill="CBCBCB"/>
      </w:tcPr>
    </w:tblStylePr>
    <w:tblStylePr w:type="band1Horz">
      <w:rPr>
        <w:rFonts w:ascii="Arial" w:hAnsi="Arial"/>
        <w:color w:val="838383"/>
        <w:sz w:val="22"/>
      </w:rPr>
      <w:tblPr/>
      <w:tcPr>
        <w:shd w:val="clear" w:color="CBCBCB" w:fill="CBCBCB"/>
      </w:tcPr>
    </w:tblStylePr>
    <w:tblStylePr w:type="band2Horz">
      <w:rPr>
        <w:rFonts w:ascii="Arial" w:hAnsi="Arial"/>
        <w:color w:val="838383"/>
        <w:sz w:val="22"/>
      </w:rPr>
    </w:tblStylePr>
  </w:style>
  <w:style w:type="table" w:customStyle="1" w:styleId="ListTable7Colorful-Accent61">
    <w:name w:val="List Table 7 Colorful - Accent 61"/>
    <w:basedOn w:val="NormaleTabelle"/>
    <w:uiPriority w:val="99"/>
    <w:rsid w:val="0062351B"/>
    <w:tblPr>
      <w:tblStyleRowBandSize w:val="1"/>
      <w:tblStyleColBandSize w:val="1"/>
      <w:tblBorders>
        <w:right w:val="single" w:sz="4" w:space="0" w:color="F8F8F7"/>
      </w:tblBorders>
    </w:tblPr>
    <w:tblStylePr w:type="firstRow">
      <w:rPr>
        <w:rFonts w:ascii="Arial" w:hAnsi="Arial"/>
        <w:i/>
        <w:color w:val="F8F8F7"/>
        <w:sz w:val="22"/>
      </w:rPr>
      <w:tblPr/>
      <w:tcPr>
        <w:tcBorders>
          <w:top w:val="none" w:sz="0" w:space="0" w:color="auto"/>
          <w:left w:val="none" w:sz="0" w:space="0" w:color="auto"/>
          <w:bottom w:val="single" w:sz="4" w:space="0" w:color="F8F8F7"/>
          <w:right w:val="none" w:sz="0" w:space="0" w:color="auto"/>
        </w:tcBorders>
        <w:shd w:val="clear" w:color="FEFFFF" w:fill="FEFFFF"/>
      </w:tcPr>
    </w:tblStylePr>
    <w:tblStylePr w:type="lastRow">
      <w:rPr>
        <w:rFonts w:ascii="Arial" w:hAnsi="Arial"/>
        <w:i/>
        <w:color w:val="F8F8F7"/>
        <w:sz w:val="22"/>
      </w:rPr>
      <w:tblPr/>
      <w:tcPr>
        <w:tcBorders>
          <w:top w:val="single" w:sz="4" w:space="0" w:color="F8F8F7"/>
          <w:left w:val="none" w:sz="0" w:space="0" w:color="auto"/>
          <w:bottom w:val="none" w:sz="0" w:space="0" w:color="auto"/>
          <w:right w:val="none" w:sz="0" w:space="0" w:color="auto"/>
        </w:tcBorders>
        <w:shd w:val="clear" w:color="FEFFFF" w:fill="FEFFFF"/>
      </w:tcPr>
    </w:tblStylePr>
    <w:tblStylePr w:type="firstCol">
      <w:pPr>
        <w:jc w:val="right"/>
      </w:pPr>
      <w:rPr>
        <w:rFonts w:ascii="Arial" w:hAnsi="Arial"/>
        <w:i/>
        <w:color w:val="F8F8F7"/>
        <w:sz w:val="22"/>
      </w:rPr>
      <w:tblPr/>
      <w:tcPr>
        <w:tcBorders>
          <w:top w:val="none" w:sz="0" w:space="0" w:color="auto"/>
          <w:left w:val="none" w:sz="0" w:space="0" w:color="auto"/>
          <w:bottom w:val="none" w:sz="0" w:space="0" w:color="auto"/>
          <w:right w:val="single" w:sz="4" w:space="0" w:color="F8F8F7"/>
        </w:tcBorders>
        <w:shd w:val="clear" w:color="FFFFFF" w:fill="auto"/>
      </w:tcPr>
    </w:tblStylePr>
    <w:tblStylePr w:type="lastCol">
      <w:rPr>
        <w:rFonts w:ascii="Arial" w:hAnsi="Arial"/>
        <w:i/>
        <w:color w:val="F8F8F7"/>
        <w:sz w:val="22"/>
      </w:rPr>
      <w:tblPr/>
      <w:tcPr>
        <w:tcBorders>
          <w:top w:val="none" w:sz="0" w:space="0" w:color="auto"/>
          <w:left w:val="single" w:sz="4" w:space="0" w:color="F8F8F7"/>
          <w:bottom w:val="none" w:sz="0" w:space="0" w:color="auto"/>
          <w:right w:val="none" w:sz="0" w:space="0" w:color="auto"/>
        </w:tcBorders>
        <w:shd w:val="clear" w:color="FFFFFF" w:fill="auto"/>
      </w:tcPr>
    </w:tblStylePr>
    <w:tblStylePr w:type="band1Vert">
      <w:tblPr/>
      <w:tcPr>
        <w:shd w:val="clear" w:color="FCFCFB" w:fill="FCFCFB"/>
      </w:tcPr>
    </w:tblStylePr>
    <w:tblStylePr w:type="band1Horz">
      <w:rPr>
        <w:rFonts w:ascii="Arial" w:hAnsi="Arial"/>
        <w:color w:val="F8F8F7"/>
        <w:sz w:val="22"/>
      </w:rPr>
      <w:tblPr/>
      <w:tcPr>
        <w:shd w:val="clear" w:color="FCFCFB" w:fill="FCFCFB"/>
      </w:tcPr>
    </w:tblStylePr>
    <w:tblStylePr w:type="band2Horz">
      <w:rPr>
        <w:rFonts w:ascii="Arial" w:hAnsi="Arial"/>
        <w:color w:val="F8F8F7"/>
        <w:sz w:val="22"/>
      </w:rPr>
    </w:tblStylePr>
  </w:style>
  <w:style w:type="table" w:customStyle="1" w:styleId="Lined-Accent">
    <w:name w:val="Lined - Accent"/>
    <w:basedOn w:val="NormaleTabelle"/>
    <w:uiPriority w:val="99"/>
    <w:rsid w:val="0062351B"/>
    <w:rPr>
      <w:color w:val="404040"/>
    </w:rPr>
    <w:tblPr>
      <w:tblStyleRowBandSize w:val="1"/>
      <w:tblStyleColBandSize w:val="1"/>
    </w:tblPr>
    <w:tblStylePr w:type="firstRow">
      <w:rPr>
        <w:rFonts w:ascii="Arial" w:hAnsi="Arial"/>
        <w:color w:val="F2F2F2"/>
        <w:sz w:val="22"/>
      </w:rPr>
      <w:tblPr/>
      <w:tcPr>
        <w:shd w:val="clear" w:color="989898" w:fill="989898"/>
      </w:tcPr>
    </w:tblStylePr>
    <w:tblStylePr w:type="lastRow">
      <w:rPr>
        <w:rFonts w:ascii="Arial" w:hAnsi="Arial"/>
        <w:color w:val="F2F2F2"/>
        <w:sz w:val="22"/>
      </w:rPr>
      <w:tblPr/>
      <w:tcPr>
        <w:shd w:val="clear" w:color="989898" w:fill="989898"/>
      </w:tcPr>
    </w:tblStylePr>
    <w:tblStylePr w:type="firstCol">
      <w:rPr>
        <w:rFonts w:ascii="Arial" w:hAnsi="Arial"/>
        <w:color w:val="F2F2F2"/>
        <w:sz w:val="22"/>
      </w:rPr>
      <w:tblPr/>
      <w:tcPr>
        <w:shd w:val="clear" w:color="989898" w:fill="989898"/>
      </w:tcPr>
    </w:tblStylePr>
    <w:tblStylePr w:type="lastCol">
      <w:rPr>
        <w:rFonts w:ascii="Arial" w:hAnsi="Arial"/>
        <w:color w:val="F2F2F2"/>
        <w:sz w:val="22"/>
      </w:rPr>
      <w:tblPr/>
      <w:tcPr>
        <w:shd w:val="clear" w:color="989898" w:fill="989898"/>
      </w:tcPr>
    </w:tblStylePr>
    <w:tblStylePr w:type="band1Vert">
      <w:rPr>
        <w:rFonts w:ascii="Arial" w:hAnsi="Arial"/>
        <w:color w:val="404040"/>
        <w:sz w:val="22"/>
      </w:rPr>
    </w:tblStylePr>
    <w:tblStylePr w:type="band2Vert">
      <w:rPr>
        <w:rFonts w:ascii="Arial" w:hAnsi="Arial"/>
        <w:color w:val="404040"/>
        <w:sz w:val="22"/>
      </w:rPr>
      <w:tblPr/>
      <w:tcPr>
        <w:shd w:val="clear" w:color="F4F4F4" w:fill="F4F4F4"/>
      </w:tcPr>
    </w:tblStylePr>
    <w:tblStylePr w:type="band1Horz">
      <w:rPr>
        <w:rFonts w:ascii="Arial" w:hAnsi="Arial"/>
        <w:color w:val="404040"/>
        <w:sz w:val="22"/>
      </w:rPr>
    </w:tblStylePr>
    <w:tblStylePr w:type="band2Horz">
      <w:rPr>
        <w:rFonts w:ascii="Arial" w:hAnsi="Arial"/>
        <w:color w:val="404040"/>
        <w:sz w:val="22"/>
      </w:rPr>
      <w:tblPr/>
      <w:tcPr>
        <w:shd w:val="clear" w:color="F4F4F4" w:fill="F4F4F4"/>
      </w:tcPr>
    </w:tblStylePr>
  </w:style>
  <w:style w:type="table" w:customStyle="1" w:styleId="Lined-Accent1">
    <w:name w:val="Lined - Accent 1"/>
    <w:basedOn w:val="NormaleTabelle"/>
    <w:uiPriority w:val="99"/>
    <w:rsid w:val="0062351B"/>
    <w:rPr>
      <w:color w:val="404040"/>
    </w:rPr>
    <w:tblPr>
      <w:tblStyleRowBandSize w:val="1"/>
      <w:tblStyleColBandSize w:val="1"/>
    </w:tblPr>
    <w:tblStylePr w:type="firstRow">
      <w:rPr>
        <w:rFonts w:ascii="Arial" w:hAnsi="Arial"/>
        <w:color w:val="F2F2F2"/>
        <w:sz w:val="22"/>
      </w:rPr>
      <w:tblPr/>
      <w:tcPr>
        <w:shd w:val="clear" w:color="1359AA" w:fill="1359AA"/>
      </w:tcPr>
    </w:tblStylePr>
    <w:tblStylePr w:type="lastRow">
      <w:rPr>
        <w:rFonts w:ascii="Arial" w:hAnsi="Arial"/>
        <w:color w:val="F2F2F2"/>
        <w:sz w:val="22"/>
      </w:rPr>
      <w:tblPr/>
      <w:tcPr>
        <w:shd w:val="clear" w:color="1359AA" w:fill="1359AA"/>
      </w:tcPr>
    </w:tblStylePr>
    <w:tblStylePr w:type="firstCol">
      <w:rPr>
        <w:rFonts w:ascii="Arial" w:hAnsi="Arial"/>
        <w:color w:val="F2F2F2"/>
        <w:sz w:val="22"/>
      </w:rPr>
      <w:tblPr/>
      <w:tcPr>
        <w:shd w:val="clear" w:color="1359AA" w:fill="1359AA"/>
      </w:tcPr>
    </w:tblStylePr>
    <w:tblStylePr w:type="lastCol">
      <w:rPr>
        <w:rFonts w:ascii="Arial" w:hAnsi="Arial"/>
        <w:color w:val="F2F2F2"/>
        <w:sz w:val="22"/>
      </w:rPr>
      <w:tblPr/>
      <w:tcPr>
        <w:shd w:val="clear" w:color="1359AA" w:fill="1359AA"/>
      </w:tcPr>
    </w:tblStylePr>
    <w:tblStylePr w:type="band1Vert">
      <w:rPr>
        <w:rFonts w:ascii="Arial" w:hAnsi="Arial"/>
        <w:color w:val="404040"/>
        <w:sz w:val="22"/>
      </w:rPr>
    </w:tblStylePr>
    <w:tblStylePr w:type="band2Vert">
      <w:rPr>
        <w:rFonts w:ascii="Arial" w:hAnsi="Arial"/>
        <w:color w:val="404040"/>
        <w:sz w:val="22"/>
      </w:rPr>
      <w:tblPr/>
      <w:tcPr>
        <w:shd w:val="clear" w:color="9CC4F4" w:fill="9CC4F4"/>
      </w:tcPr>
    </w:tblStylePr>
    <w:tblStylePr w:type="band1Horz">
      <w:rPr>
        <w:rFonts w:ascii="Arial" w:hAnsi="Arial"/>
        <w:color w:val="404040"/>
        <w:sz w:val="22"/>
      </w:rPr>
    </w:tblStylePr>
    <w:tblStylePr w:type="band2Horz">
      <w:rPr>
        <w:rFonts w:ascii="Arial" w:hAnsi="Arial"/>
        <w:color w:val="404040"/>
        <w:sz w:val="22"/>
      </w:rPr>
      <w:tblPr/>
      <w:tcPr>
        <w:shd w:val="clear" w:color="9CC4F4" w:fill="9CC4F4"/>
      </w:tcPr>
    </w:tblStylePr>
  </w:style>
  <w:style w:type="table" w:customStyle="1" w:styleId="Lined-Accent2">
    <w:name w:val="Lined - Accent 2"/>
    <w:basedOn w:val="NormaleTabelle"/>
    <w:uiPriority w:val="99"/>
    <w:rsid w:val="0062351B"/>
    <w:rPr>
      <w:color w:val="404040"/>
    </w:rPr>
    <w:tblPr>
      <w:tblStyleRowBandSize w:val="1"/>
      <w:tblStyleColBandSize w:val="1"/>
    </w:tblPr>
    <w:tblStylePr w:type="firstRow">
      <w:rPr>
        <w:rFonts w:ascii="Arial" w:hAnsi="Arial"/>
        <w:color w:val="F2F2F2"/>
        <w:sz w:val="22"/>
      </w:rPr>
      <w:tblPr/>
      <w:tcPr>
        <w:shd w:val="clear" w:color="B7D1ED" w:fill="B7D1ED"/>
      </w:tcPr>
    </w:tblStylePr>
    <w:tblStylePr w:type="lastRow">
      <w:rPr>
        <w:rFonts w:ascii="Arial" w:hAnsi="Arial"/>
        <w:color w:val="F2F2F2"/>
        <w:sz w:val="22"/>
      </w:rPr>
      <w:tblPr/>
      <w:tcPr>
        <w:shd w:val="clear" w:color="B7D1ED" w:fill="B7D1ED"/>
      </w:tcPr>
    </w:tblStylePr>
    <w:tblStylePr w:type="firstCol">
      <w:rPr>
        <w:rFonts w:ascii="Arial" w:hAnsi="Arial"/>
        <w:color w:val="F2F2F2"/>
        <w:sz w:val="22"/>
      </w:rPr>
      <w:tblPr/>
      <w:tcPr>
        <w:shd w:val="clear" w:color="B7D1ED" w:fill="B7D1ED"/>
      </w:tcPr>
    </w:tblStylePr>
    <w:tblStylePr w:type="lastCol">
      <w:rPr>
        <w:rFonts w:ascii="Arial" w:hAnsi="Arial"/>
        <w:color w:val="F2F2F2"/>
        <w:sz w:val="22"/>
      </w:rPr>
      <w:tblPr/>
      <w:tcPr>
        <w:shd w:val="clear" w:color="B7D1ED" w:fill="B7D1ED"/>
      </w:tcPr>
    </w:tblStylePr>
    <w:tblStylePr w:type="band1Vert">
      <w:rPr>
        <w:rFonts w:ascii="Arial" w:hAnsi="Arial"/>
        <w:color w:val="404040"/>
        <w:sz w:val="22"/>
      </w:rPr>
    </w:tblStylePr>
    <w:tblStylePr w:type="band2Vert">
      <w:rPr>
        <w:rFonts w:ascii="Arial" w:hAnsi="Arial"/>
        <w:color w:val="404040"/>
        <w:sz w:val="22"/>
      </w:rPr>
      <w:tblPr/>
      <w:tcPr>
        <w:shd w:val="clear" w:color="E7F0F9" w:fill="E7F0F9"/>
      </w:tcPr>
    </w:tblStylePr>
    <w:tblStylePr w:type="band1Horz">
      <w:rPr>
        <w:rFonts w:ascii="Arial" w:hAnsi="Arial"/>
        <w:color w:val="404040"/>
        <w:sz w:val="22"/>
      </w:rPr>
    </w:tblStylePr>
    <w:tblStylePr w:type="band2Horz">
      <w:rPr>
        <w:rFonts w:ascii="Arial" w:hAnsi="Arial"/>
        <w:color w:val="404040"/>
        <w:sz w:val="22"/>
      </w:rPr>
      <w:tblPr/>
      <w:tcPr>
        <w:shd w:val="clear" w:color="E7F0F9" w:fill="E7F0F9"/>
      </w:tcPr>
    </w:tblStylePr>
  </w:style>
  <w:style w:type="table" w:customStyle="1" w:styleId="Lined-Accent3">
    <w:name w:val="Lined - Accent 3"/>
    <w:basedOn w:val="NormaleTabelle"/>
    <w:uiPriority w:val="99"/>
    <w:rsid w:val="0062351B"/>
    <w:rPr>
      <w:color w:val="404040"/>
    </w:rPr>
    <w:tblPr>
      <w:tblStyleRowBandSize w:val="1"/>
      <w:tblStyleColBandSize w:val="1"/>
    </w:tblPr>
    <w:tblStylePr w:type="firstRow">
      <w:rPr>
        <w:rFonts w:ascii="Arial" w:hAnsi="Arial"/>
        <w:color w:val="F2F2F2"/>
        <w:sz w:val="22"/>
      </w:rPr>
      <w:tblPr/>
      <w:tcPr>
        <w:shd w:val="clear" w:color="F49A19" w:fill="F49A19"/>
      </w:tcPr>
    </w:tblStylePr>
    <w:tblStylePr w:type="lastRow">
      <w:rPr>
        <w:rFonts w:ascii="Arial" w:hAnsi="Arial"/>
        <w:color w:val="F2F2F2"/>
        <w:sz w:val="22"/>
      </w:rPr>
      <w:tblPr/>
      <w:tcPr>
        <w:shd w:val="clear" w:color="F49A19" w:fill="F49A19"/>
      </w:tcPr>
    </w:tblStylePr>
    <w:tblStylePr w:type="firstCol">
      <w:rPr>
        <w:rFonts w:ascii="Arial" w:hAnsi="Arial"/>
        <w:color w:val="F2F2F2"/>
        <w:sz w:val="22"/>
      </w:rPr>
      <w:tblPr/>
      <w:tcPr>
        <w:shd w:val="clear" w:color="F49A19" w:fill="F49A19"/>
      </w:tcPr>
    </w:tblStylePr>
    <w:tblStylePr w:type="lastCol">
      <w:rPr>
        <w:rFonts w:ascii="Arial" w:hAnsi="Arial"/>
        <w:color w:val="F2F2F2"/>
        <w:sz w:val="22"/>
      </w:rPr>
      <w:tblPr/>
      <w:tcPr>
        <w:shd w:val="clear" w:color="F49A19" w:fill="F49A19"/>
      </w:tcPr>
    </w:tblStylePr>
    <w:tblStylePr w:type="band1Vert">
      <w:rPr>
        <w:rFonts w:ascii="Arial" w:hAnsi="Arial"/>
        <w:color w:val="404040"/>
        <w:sz w:val="22"/>
      </w:rPr>
    </w:tblStylePr>
    <w:tblStylePr w:type="band2Vert">
      <w:rPr>
        <w:rFonts w:ascii="Arial" w:hAnsi="Arial"/>
        <w:color w:val="404040"/>
        <w:sz w:val="22"/>
      </w:rPr>
      <w:tblPr/>
      <w:tcPr>
        <w:shd w:val="clear" w:color="FCEACF" w:fill="FCEACF"/>
      </w:tcPr>
    </w:tblStylePr>
    <w:tblStylePr w:type="band1Horz">
      <w:rPr>
        <w:rFonts w:ascii="Arial" w:hAnsi="Arial"/>
        <w:color w:val="404040"/>
        <w:sz w:val="22"/>
      </w:rPr>
    </w:tblStylePr>
    <w:tblStylePr w:type="band2Horz">
      <w:rPr>
        <w:rFonts w:ascii="Arial" w:hAnsi="Arial"/>
        <w:color w:val="404040"/>
        <w:sz w:val="22"/>
      </w:rPr>
      <w:tblPr/>
      <w:tcPr>
        <w:shd w:val="clear" w:color="FCEACF" w:fill="FCEACF"/>
      </w:tcPr>
    </w:tblStylePr>
  </w:style>
  <w:style w:type="table" w:customStyle="1" w:styleId="Lined-Accent4">
    <w:name w:val="Lined - Accent 4"/>
    <w:basedOn w:val="NormaleTabelle"/>
    <w:uiPriority w:val="99"/>
    <w:rsid w:val="0062351B"/>
    <w:rPr>
      <w:color w:val="404040"/>
    </w:rPr>
    <w:tblPr>
      <w:tblStyleRowBandSize w:val="1"/>
      <w:tblStyleColBandSize w:val="1"/>
    </w:tblPr>
    <w:tblStylePr w:type="firstRow">
      <w:rPr>
        <w:rFonts w:ascii="Arial" w:hAnsi="Arial"/>
        <w:color w:val="F2F2F2"/>
        <w:sz w:val="22"/>
      </w:rPr>
      <w:tblPr/>
      <w:tcPr>
        <w:shd w:val="clear" w:color="FAFAFA" w:fill="FAFAFA"/>
      </w:tcPr>
    </w:tblStylePr>
    <w:tblStylePr w:type="lastRow">
      <w:rPr>
        <w:rFonts w:ascii="Arial" w:hAnsi="Arial"/>
        <w:color w:val="F2F2F2"/>
        <w:sz w:val="22"/>
      </w:rPr>
      <w:tblPr/>
      <w:tcPr>
        <w:shd w:val="clear" w:color="FAFAFA" w:fill="FAFAFA"/>
      </w:tcPr>
    </w:tblStylePr>
    <w:tblStylePr w:type="firstCol">
      <w:rPr>
        <w:rFonts w:ascii="Arial" w:hAnsi="Arial"/>
        <w:color w:val="F2F2F2"/>
        <w:sz w:val="22"/>
      </w:rPr>
      <w:tblPr/>
      <w:tcPr>
        <w:shd w:val="clear" w:color="FAFAFA" w:fill="FAFAFA"/>
      </w:tcPr>
    </w:tblStylePr>
    <w:tblStylePr w:type="lastCol">
      <w:rPr>
        <w:rFonts w:ascii="Arial" w:hAnsi="Arial"/>
        <w:color w:val="F2F2F2"/>
        <w:sz w:val="22"/>
      </w:rPr>
      <w:tblPr/>
      <w:tcPr>
        <w:shd w:val="clear" w:color="FAFAFA" w:fill="FAFAFA"/>
      </w:tcPr>
    </w:tblStylePr>
    <w:tblStylePr w:type="band1Vert">
      <w:rPr>
        <w:rFonts w:ascii="Arial" w:hAnsi="Arial"/>
        <w:color w:val="404040"/>
        <w:sz w:val="22"/>
      </w:rPr>
    </w:tblStylePr>
    <w:tblStylePr w:type="band2Vert">
      <w:rPr>
        <w:rFonts w:ascii="Arial" w:hAnsi="Arial"/>
        <w:color w:val="404040"/>
        <w:sz w:val="22"/>
      </w:rPr>
      <w:tblPr/>
      <w:tcPr>
        <w:shd w:val="clear" w:color="FDFDFD" w:fill="FDFDFD"/>
      </w:tcPr>
    </w:tblStylePr>
    <w:tblStylePr w:type="band1Horz">
      <w:rPr>
        <w:rFonts w:ascii="Arial" w:hAnsi="Arial"/>
        <w:color w:val="404040"/>
        <w:sz w:val="22"/>
      </w:rPr>
    </w:tblStylePr>
    <w:tblStylePr w:type="band2Horz">
      <w:rPr>
        <w:rFonts w:ascii="Arial" w:hAnsi="Arial"/>
        <w:color w:val="404040"/>
        <w:sz w:val="22"/>
      </w:rPr>
      <w:tblPr/>
      <w:tcPr>
        <w:shd w:val="clear" w:color="FDFDFD" w:fill="FDFDFD"/>
      </w:tcPr>
    </w:tblStylePr>
  </w:style>
  <w:style w:type="table" w:customStyle="1" w:styleId="Lined-Accent5">
    <w:name w:val="Lined - Accent 5"/>
    <w:basedOn w:val="NormaleTabelle"/>
    <w:uiPriority w:val="99"/>
    <w:rsid w:val="0062351B"/>
    <w:rPr>
      <w:color w:val="404040"/>
    </w:rPr>
    <w:tblPr>
      <w:tblStyleRowBandSize w:val="1"/>
      <w:tblStyleColBandSize w:val="1"/>
    </w:tblPr>
    <w:tblStylePr w:type="firstRow">
      <w:rPr>
        <w:rFonts w:ascii="Arial" w:hAnsi="Arial"/>
        <w:color w:val="F2F2F2"/>
        <w:sz w:val="22"/>
      </w:rPr>
      <w:tblPr/>
      <w:tcPr>
        <w:shd w:val="clear" w:color="333333" w:fill="333333"/>
      </w:tcPr>
    </w:tblStylePr>
    <w:tblStylePr w:type="lastRow">
      <w:rPr>
        <w:rFonts w:ascii="Arial" w:hAnsi="Arial"/>
        <w:color w:val="F2F2F2"/>
        <w:sz w:val="22"/>
      </w:rPr>
      <w:tblPr/>
      <w:tcPr>
        <w:shd w:val="clear" w:color="333333" w:fill="333333"/>
      </w:tcPr>
    </w:tblStylePr>
    <w:tblStylePr w:type="firstCol">
      <w:rPr>
        <w:rFonts w:ascii="Arial" w:hAnsi="Arial"/>
        <w:color w:val="F2F2F2"/>
        <w:sz w:val="22"/>
      </w:rPr>
      <w:tblPr/>
      <w:tcPr>
        <w:shd w:val="clear" w:color="333333" w:fill="333333"/>
      </w:tcPr>
    </w:tblStylePr>
    <w:tblStylePr w:type="lastCol">
      <w:rPr>
        <w:rFonts w:ascii="Arial" w:hAnsi="Arial"/>
        <w:color w:val="F2F2F2"/>
        <w:sz w:val="22"/>
      </w:rPr>
      <w:tblPr/>
      <w:tcPr>
        <w:shd w:val="clear" w:color="333333" w:fill="333333"/>
      </w:tcPr>
    </w:tblStylePr>
    <w:tblStylePr w:type="band1Vert">
      <w:rPr>
        <w:rFonts w:ascii="Arial" w:hAnsi="Arial"/>
        <w:color w:val="404040"/>
        <w:sz w:val="22"/>
      </w:rPr>
    </w:tblStylePr>
    <w:tblStylePr w:type="band2Vert">
      <w:rPr>
        <w:rFonts w:ascii="Arial" w:hAnsi="Arial"/>
        <w:color w:val="404040"/>
        <w:sz w:val="22"/>
      </w:rPr>
      <w:tblPr/>
      <w:tcPr>
        <w:shd w:val="clear" w:color="D5D5D5" w:fill="D5D5D5"/>
      </w:tcPr>
    </w:tblStylePr>
    <w:tblStylePr w:type="band1Horz">
      <w:rPr>
        <w:rFonts w:ascii="Arial" w:hAnsi="Arial"/>
        <w:color w:val="404040"/>
        <w:sz w:val="22"/>
      </w:rPr>
    </w:tblStylePr>
    <w:tblStylePr w:type="band2Horz">
      <w:rPr>
        <w:rFonts w:ascii="Arial" w:hAnsi="Arial"/>
        <w:color w:val="404040"/>
        <w:sz w:val="22"/>
      </w:rPr>
      <w:tblPr/>
      <w:tcPr>
        <w:shd w:val="clear" w:color="D5D5D5" w:fill="D5D5D5"/>
      </w:tcPr>
    </w:tblStylePr>
  </w:style>
  <w:style w:type="table" w:customStyle="1" w:styleId="Lined-Accent6">
    <w:name w:val="Lined - Accent 6"/>
    <w:basedOn w:val="NormaleTabelle"/>
    <w:uiPriority w:val="99"/>
    <w:rsid w:val="0062351B"/>
    <w:rPr>
      <w:color w:val="404040"/>
    </w:rPr>
    <w:tblPr>
      <w:tblStyleRowBandSize w:val="1"/>
      <w:tblStyleColBandSize w:val="1"/>
    </w:tblPr>
    <w:tblStylePr w:type="firstRow">
      <w:rPr>
        <w:rFonts w:ascii="Arial" w:hAnsi="Arial"/>
        <w:color w:val="F2F2F2"/>
        <w:sz w:val="22"/>
      </w:rPr>
      <w:tblPr/>
      <w:tcPr>
        <w:shd w:val="clear" w:color="F4F4F3" w:fill="F4F4F3"/>
      </w:tcPr>
    </w:tblStylePr>
    <w:tblStylePr w:type="lastRow">
      <w:rPr>
        <w:rFonts w:ascii="Arial" w:hAnsi="Arial"/>
        <w:color w:val="F2F2F2"/>
        <w:sz w:val="22"/>
      </w:rPr>
      <w:tblPr/>
      <w:tcPr>
        <w:shd w:val="clear" w:color="F4F4F3" w:fill="F4F4F3"/>
      </w:tcPr>
    </w:tblStylePr>
    <w:tblStylePr w:type="firstCol">
      <w:rPr>
        <w:rFonts w:ascii="Arial" w:hAnsi="Arial"/>
        <w:color w:val="F2F2F2"/>
        <w:sz w:val="22"/>
      </w:rPr>
      <w:tblPr/>
      <w:tcPr>
        <w:shd w:val="clear" w:color="F4F4F3" w:fill="F4F4F3"/>
      </w:tcPr>
    </w:tblStylePr>
    <w:tblStylePr w:type="lastCol">
      <w:rPr>
        <w:rFonts w:ascii="Arial" w:hAnsi="Arial"/>
        <w:color w:val="F2F2F2"/>
        <w:sz w:val="22"/>
      </w:rPr>
      <w:tblPr/>
      <w:tcPr>
        <w:shd w:val="clear" w:color="F4F4F3" w:fill="F4F4F3"/>
      </w:tcPr>
    </w:tblStylePr>
    <w:tblStylePr w:type="band1Vert">
      <w:rPr>
        <w:rFonts w:ascii="Arial" w:hAnsi="Arial"/>
        <w:color w:val="404040"/>
        <w:sz w:val="22"/>
      </w:rPr>
    </w:tblStylePr>
    <w:tblStylePr w:type="band2Vert">
      <w:rPr>
        <w:rFonts w:ascii="Arial" w:hAnsi="Arial"/>
        <w:color w:val="404040"/>
        <w:sz w:val="22"/>
      </w:rPr>
      <w:tblPr/>
      <w:tcPr>
        <w:shd w:val="clear" w:color="FCFCFC" w:fill="FCFCFC"/>
      </w:tcPr>
    </w:tblStylePr>
    <w:tblStylePr w:type="band1Horz">
      <w:rPr>
        <w:rFonts w:ascii="Arial" w:hAnsi="Arial"/>
        <w:color w:val="404040"/>
        <w:sz w:val="22"/>
      </w:rPr>
    </w:tblStylePr>
    <w:tblStylePr w:type="band2Horz">
      <w:rPr>
        <w:rFonts w:ascii="Arial" w:hAnsi="Arial"/>
        <w:color w:val="404040"/>
        <w:sz w:val="22"/>
      </w:rPr>
      <w:tblPr/>
      <w:tcPr>
        <w:shd w:val="clear" w:color="FCFCFC" w:fill="FCFCFC"/>
      </w:tcPr>
    </w:tblStylePr>
  </w:style>
  <w:style w:type="table" w:customStyle="1" w:styleId="BorderedLined-Accent">
    <w:name w:val="Bordered &amp; Lined - Accent"/>
    <w:basedOn w:val="NormaleTabelle"/>
    <w:uiPriority w:val="99"/>
    <w:rsid w:val="0062351B"/>
    <w:rPr>
      <w:color w:val="404040"/>
    </w:rPr>
    <w:tblPr>
      <w:tblStyleRowBandSize w:val="1"/>
      <w:tblStyleColBandSize w:val="1"/>
      <w:tblBorders>
        <w:top w:val="single" w:sz="4" w:space="0" w:color="7A7A7A"/>
        <w:left w:val="single" w:sz="4" w:space="0" w:color="7A7A7A"/>
        <w:bottom w:val="single" w:sz="4" w:space="0" w:color="7A7A7A"/>
        <w:right w:val="single" w:sz="4" w:space="0" w:color="7A7A7A"/>
        <w:insideH w:val="single" w:sz="4" w:space="0" w:color="7A7A7A"/>
        <w:insideV w:val="single" w:sz="4" w:space="0" w:color="7A7A7A"/>
      </w:tblBorders>
    </w:tblPr>
    <w:tblStylePr w:type="firstRow">
      <w:rPr>
        <w:rFonts w:ascii="Arial" w:hAnsi="Arial"/>
        <w:color w:val="F2F2F2"/>
        <w:sz w:val="22"/>
      </w:rPr>
      <w:tblPr/>
      <w:tcPr>
        <w:shd w:val="clear" w:color="989898" w:fill="989898"/>
      </w:tcPr>
    </w:tblStylePr>
    <w:tblStylePr w:type="lastRow">
      <w:rPr>
        <w:rFonts w:ascii="Arial" w:hAnsi="Arial"/>
        <w:color w:val="F2F2F2"/>
        <w:sz w:val="22"/>
      </w:rPr>
      <w:tblPr/>
      <w:tcPr>
        <w:shd w:val="clear" w:color="989898" w:fill="989898"/>
      </w:tcPr>
    </w:tblStylePr>
    <w:tblStylePr w:type="firstCol">
      <w:rPr>
        <w:rFonts w:ascii="Arial" w:hAnsi="Arial"/>
        <w:color w:val="F2F2F2"/>
        <w:sz w:val="22"/>
      </w:rPr>
      <w:tblPr/>
      <w:tcPr>
        <w:shd w:val="clear" w:color="989898" w:fill="989898"/>
      </w:tcPr>
    </w:tblStylePr>
    <w:tblStylePr w:type="lastCol">
      <w:rPr>
        <w:rFonts w:ascii="Arial" w:hAnsi="Arial"/>
        <w:color w:val="F2F2F2"/>
        <w:sz w:val="22"/>
      </w:rPr>
      <w:tblPr/>
      <w:tcPr>
        <w:shd w:val="clear" w:color="989898" w:fill="989898"/>
      </w:tcPr>
    </w:tblStylePr>
    <w:tblStylePr w:type="band1Vert">
      <w:rPr>
        <w:rFonts w:ascii="Arial" w:hAnsi="Arial"/>
        <w:color w:val="404040"/>
        <w:sz w:val="22"/>
      </w:rPr>
    </w:tblStylePr>
    <w:tblStylePr w:type="band2Vert">
      <w:rPr>
        <w:rFonts w:ascii="Arial" w:hAnsi="Arial"/>
        <w:color w:val="404040"/>
        <w:sz w:val="22"/>
      </w:rPr>
      <w:tblPr/>
      <w:tcPr>
        <w:shd w:val="clear" w:color="F4F4F4" w:fill="F4F4F4"/>
      </w:tcPr>
    </w:tblStylePr>
    <w:tblStylePr w:type="band1Horz">
      <w:rPr>
        <w:rFonts w:ascii="Arial" w:hAnsi="Arial"/>
        <w:color w:val="404040"/>
        <w:sz w:val="22"/>
      </w:rPr>
    </w:tblStylePr>
    <w:tblStylePr w:type="band2Horz">
      <w:rPr>
        <w:rFonts w:ascii="Arial" w:hAnsi="Arial"/>
        <w:color w:val="404040"/>
        <w:sz w:val="22"/>
      </w:rPr>
      <w:tblPr/>
      <w:tcPr>
        <w:shd w:val="clear" w:color="F4F4F4" w:fill="F4F4F4"/>
      </w:tcPr>
    </w:tblStylePr>
  </w:style>
  <w:style w:type="table" w:customStyle="1" w:styleId="BorderedLined-Accent1">
    <w:name w:val="Bordered &amp; Lined - Accent 1"/>
    <w:basedOn w:val="NormaleTabelle"/>
    <w:uiPriority w:val="99"/>
    <w:rsid w:val="0062351B"/>
    <w:rPr>
      <w:color w:val="404040"/>
    </w:rPr>
    <w:tblPr>
      <w:tblStyleRowBandSize w:val="1"/>
      <w:tblStyleColBandSize w:val="1"/>
      <w:tblBorders>
        <w:top w:val="single" w:sz="4" w:space="0" w:color="092C54"/>
        <w:left w:val="single" w:sz="4" w:space="0" w:color="092C54"/>
        <w:bottom w:val="single" w:sz="4" w:space="0" w:color="092C54"/>
        <w:right w:val="single" w:sz="4" w:space="0" w:color="092C54"/>
        <w:insideH w:val="single" w:sz="4" w:space="0" w:color="092C54"/>
        <w:insideV w:val="single" w:sz="4" w:space="0" w:color="092C54"/>
      </w:tblBorders>
    </w:tblPr>
    <w:tblStylePr w:type="firstRow">
      <w:rPr>
        <w:rFonts w:ascii="Arial" w:hAnsi="Arial"/>
        <w:color w:val="F2F2F2"/>
        <w:sz w:val="22"/>
      </w:rPr>
      <w:tblPr/>
      <w:tcPr>
        <w:shd w:val="clear" w:color="1359AA" w:fill="1359AA"/>
      </w:tcPr>
    </w:tblStylePr>
    <w:tblStylePr w:type="lastRow">
      <w:rPr>
        <w:rFonts w:ascii="Arial" w:hAnsi="Arial"/>
        <w:color w:val="F2F2F2"/>
        <w:sz w:val="22"/>
      </w:rPr>
      <w:tblPr/>
      <w:tcPr>
        <w:shd w:val="clear" w:color="1359AA" w:fill="1359AA"/>
      </w:tcPr>
    </w:tblStylePr>
    <w:tblStylePr w:type="firstCol">
      <w:rPr>
        <w:rFonts w:ascii="Arial" w:hAnsi="Arial"/>
        <w:color w:val="F2F2F2"/>
        <w:sz w:val="22"/>
      </w:rPr>
      <w:tblPr/>
      <w:tcPr>
        <w:shd w:val="clear" w:color="1359AA" w:fill="1359AA"/>
      </w:tcPr>
    </w:tblStylePr>
    <w:tblStylePr w:type="lastCol">
      <w:rPr>
        <w:rFonts w:ascii="Arial" w:hAnsi="Arial"/>
        <w:color w:val="F2F2F2"/>
        <w:sz w:val="22"/>
      </w:rPr>
      <w:tblPr/>
      <w:tcPr>
        <w:shd w:val="clear" w:color="1359AA" w:fill="1359AA"/>
      </w:tcPr>
    </w:tblStylePr>
    <w:tblStylePr w:type="band1Vert">
      <w:rPr>
        <w:rFonts w:ascii="Arial" w:hAnsi="Arial"/>
        <w:color w:val="404040"/>
        <w:sz w:val="22"/>
      </w:rPr>
    </w:tblStylePr>
    <w:tblStylePr w:type="band2Vert">
      <w:rPr>
        <w:rFonts w:ascii="Arial" w:hAnsi="Arial"/>
        <w:color w:val="404040"/>
        <w:sz w:val="22"/>
      </w:rPr>
      <w:tblPr/>
      <w:tcPr>
        <w:shd w:val="clear" w:color="9CC4F4" w:fill="9CC4F4"/>
      </w:tcPr>
    </w:tblStylePr>
    <w:tblStylePr w:type="band1Horz">
      <w:rPr>
        <w:rFonts w:ascii="Arial" w:hAnsi="Arial"/>
        <w:color w:val="404040"/>
        <w:sz w:val="22"/>
      </w:rPr>
    </w:tblStylePr>
    <w:tblStylePr w:type="band2Horz">
      <w:rPr>
        <w:rFonts w:ascii="Arial" w:hAnsi="Arial"/>
        <w:color w:val="404040"/>
        <w:sz w:val="22"/>
      </w:rPr>
      <w:tblPr/>
      <w:tcPr>
        <w:shd w:val="clear" w:color="9CC4F4" w:fill="9CC4F4"/>
      </w:tcPr>
    </w:tblStylePr>
  </w:style>
  <w:style w:type="table" w:customStyle="1" w:styleId="BorderedLined-Accent2">
    <w:name w:val="Bordered &amp; Lined - Accent 2"/>
    <w:basedOn w:val="NormaleTabelle"/>
    <w:uiPriority w:val="99"/>
    <w:rsid w:val="0062351B"/>
    <w:rPr>
      <w:color w:val="404040"/>
    </w:rPr>
    <w:tblPr>
      <w:tblStyleRowBandSize w:val="1"/>
      <w:tblStyleColBandSize w:val="1"/>
      <w:tblBorders>
        <w:top w:val="single" w:sz="4" w:space="0" w:color="2968A8"/>
        <w:left w:val="single" w:sz="4" w:space="0" w:color="2968A8"/>
        <w:bottom w:val="single" w:sz="4" w:space="0" w:color="2968A8"/>
        <w:right w:val="single" w:sz="4" w:space="0" w:color="2968A8"/>
        <w:insideH w:val="single" w:sz="4" w:space="0" w:color="2968A8"/>
        <w:insideV w:val="single" w:sz="4" w:space="0" w:color="2968A8"/>
      </w:tblBorders>
    </w:tblPr>
    <w:tblStylePr w:type="firstRow">
      <w:rPr>
        <w:rFonts w:ascii="Arial" w:hAnsi="Arial"/>
        <w:color w:val="F2F2F2"/>
        <w:sz w:val="22"/>
      </w:rPr>
      <w:tblPr/>
      <w:tcPr>
        <w:shd w:val="clear" w:color="B7D1ED" w:fill="B7D1ED"/>
      </w:tcPr>
    </w:tblStylePr>
    <w:tblStylePr w:type="lastRow">
      <w:rPr>
        <w:rFonts w:ascii="Arial" w:hAnsi="Arial"/>
        <w:color w:val="F2F2F2"/>
        <w:sz w:val="22"/>
      </w:rPr>
      <w:tblPr/>
      <w:tcPr>
        <w:shd w:val="clear" w:color="B7D1ED" w:fill="B7D1ED"/>
      </w:tcPr>
    </w:tblStylePr>
    <w:tblStylePr w:type="firstCol">
      <w:rPr>
        <w:rFonts w:ascii="Arial" w:hAnsi="Arial"/>
        <w:color w:val="F2F2F2"/>
        <w:sz w:val="22"/>
      </w:rPr>
      <w:tblPr/>
      <w:tcPr>
        <w:shd w:val="clear" w:color="B7D1ED" w:fill="B7D1ED"/>
      </w:tcPr>
    </w:tblStylePr>
    <w:tblStylePr w:type="lastCol">
      <w:rPr>
        <w:rFonts w:ascii="Arial" w:hAnsi="Arial"/>
        <w:color w:val="F2F2F2"/>
        <w:sz w:val="22"/>
      </w:rPr>
      <w:tblPr/>
      <w:tcPr>
        <w:shd w:val="clear" w:color="B7D1ED" w:fill="B7D1ED"/>
      </w:tcPr>
    </w:tblStylePr>
    <w:tblStylePr w:type="band1Vert">
      <w:rPr>
        <w:rFonts w:ascii="Arial" w:hAnsi="Arial"/>
        <w:color w:val="404040"/>
        <w:sz w:val="22"/>
      </w:rPr>
    </w:tblStylePr>
    <w:tblStylePr w:type="band2Vert">
      <w:rPr>
        <w:rFonts w:ascii="Arial" w:hAnsi="Arial"/>
        <w:color w:val="404040"/>
        <w:sz w:val="22"/>
      </w:rPr>
      <w:tblPr/>
      <w:tcPr>
        <w:shd w:val="clear" w:color="E7F0F9" w:fill="E7F0F9"/>
      </w:tcPr>
    </w:tblStylePr>
    <w:tblStylePr w:type="band1Horz">
      <w:rPr>
        <w:rFonts w:ascii="Arial" w:hAnsi="Arial"/>
        <w:color w:val="404040"/>
        <w:sz w:val="22"/>
      </w:rPr>
    </w:tblStylePr>
    <w:tblStylePr w:type="band2Horz">
      <w:rPr>
        <w:rFonts w:ascii="Arial" w:hAnsi="Arial"/>
        <w:color w:val="404040"/>
        <w:sz w:val="22"/>
      </w:rPr>
      <w:tblPr/>
      <w:tcPr>
        <w:shd w:val="clear" w:color="E7F0F9" w:fill="E7F0F9"/>
      </w:tcPr>
    </w:tblStylePr>
  </w:style>
  <w:style w:type="table" w:customStyle="1" w:styleId="BorderedLined-Accent3">
    <w:name w:val="Bordered &amp; Lined - Accent 3"/>
    <w:basedOn w:val="NormaleTabelle"/>
    <w:uiPriority w:val="99"/>
    <w:rsid w:val="0062351B"/>
    <w:rPr>
      <w:color w:val="404040"/>
    </w:rPr>
    <w:tblPr>
      <w:tblStyleRowBandSize w:val="1"/>
      <w:tblStyleColBandSize w:val="1"/>
      <w:tblBorders>
        <w:top w:val="single" w:sz="4" w:space="0" w:color="955B07"/>
        <w:left w:val="single" w:sz="4" w:space="0" w:color="955B07"/>
        <w:bottom w:val="single" w:sz="4" w:space="0" w:color="955B07"/>
        <w:right w:val="single" w:sz="4" w:space="0" w:color="955B07"/>
        <w:insideH w:val="single" w:sz="4" w:space="0" w:color="955B07"/>
        <w:insideV w:val="single" w:sz="4" w:space="0" w:color="955B07"/>
      </w:tblBorders>
    </w:tblPr>
    <w:tblStylePr w:type="firstRow">
      <w:rPr>
        <w:rFonts w:ascii="Arial" w:hAnsi="Arial"/>
        <w:color w:val="F2F2F2"/>
        <w:sz w:val="22"/>
      </w:rPr>
      <w:tblPr/>
      <w:tcPr>
        <w:shd w:val="clear" w:color="F49A19" w:fill="F49A19"/>
      </w:tcPr>
    </w:tblStylePr>
    <w:tblStylePr w:type="lastRow">
      <w:rPr>
        <w:rFonts w:ascii="Arial" w:hAnsi="Arial"/>
        <w:color w:val="F2F2F2"/>
        <w:sz w:val="22"/>
      </w:rPr>
      <w:tblPr/>
      <w:tcPr>
        <w:shd w:val="clear" w:color="F49A19" w:fill="F49A19"/>
      </w:tcPr>
    </w:tblStylePr>
    <w:tblStylePr w:type="firstCol">
      <w:rPr>
        <w:rFonts w:ascii="Arial" w:hAnsi="Arial"/>
        <w:color w:val="F2F2F2"/>
        <w:sz w:val="22"/>
      </w:rPr>
      <w:tblPr/>
      <w:tcPr>
        <w:shd w:val="clear" w:color="F49A19" w:fill="F49A19"/>
      </w:tcPr>
    </w:tblStylePr>
    <w:tblStylePr w:type="lastCol">
      <w:rPr>
        <w:rFonts w:ascii="Arial" w:hAnsi="Arial"/>
        <w:color w:val="F2F2F2"/>
        <w:sz w:val="22"/>
      </w:rPr>
      <w:tblPr/>
      <w:tcPr>
        <w:shd w:val="clear" w:color="F49A19" w:fill="F49A19"/>
      </w:tcPr>
    </w:tblStylePr>
    <w:tblStylePr w:type="band1Vert">
      <w:rPr>
        <w:rFonts w:ascii="Arial" w:hAnsi="Arial"/>
        <w:color w:val="404040"/>
        <w:sz w:val="22"/>
      </w:rPr>
    </w:tblStylePr>
    <w:tblStylePr w:type="band2Vert">
      <w:rPr>
        <w:rFonts w:ascii="Arial" w:hAnsi="Arial"/>
        <w:color w:val="404040"/>
        <w:sz w:val="22"/>
      </w:rPr>
      <w:tblPr/>
      <w:tcPr>
        <w:shd w:val="clear" w:color="FCEACF" w:fill="FCEACF"/>
      </w:tcPr>
    </w:tblStylePr>
    <w:tblStylePr w:type="band1Horz">
      <w:rPr>
        <w:rFonts w:ascii="Arial" w:hAnsi="Arial"/>
        <w:color w:val="404040"/>
        <w:sz w:val="22"/>
      </w:rPr>
    </w:tblStylePr>
    <w:tblStylePr w:type="band2Horz">
      <w:rPr>
        <w:rFonts w:ascii="Arial" w:hAnsi="Arial"/>
        <w:color w:val="404040"/>
        <w:sz w:val="22"/>
      </w:rPr>
      <w:tblPr/>
      <w:tcPr>
        <w:shd w:val="clear" w:color="FCEACF" w:fill="FCEACF"/>
      </w:tcPr>
    </w:tblStylePr>
  </w:style>
  <w:style w:type="table" w:customStyle="1" w:styleId="BorderedLined-Accent4">
    <w:name w:val="Bordered &amp; Lined - Accent 4"/>
    <w:basedOn w:val="NormaleTabelle"/>
    <w:uiPriority w:val="99"/>
    <w:rsid w:val="0062351B"/>
    <w:rPr>
      <w:color w:val="404040"/>
    </w:rPr>
    <w:tblPr>
      <w:tblStyleRowBandSize w:val="1"/>
      <w:tblStyleColBandSize w:val="1"/>
      <w:tblBorders>
        <w:top w:val="single" w:sz="4" w:space="0" w:color="989889"/>
        <w:left w:val="single" w:sz="4" w:space="0" w:color="989889"/>
        <w:bottom w:val="single" w:sz="4" w:space="0" w:color="989889"/>
        <w:right w:val="single" w:sz="4" w:space="0" w:color="989889"/>
        <w:insideH w:val="single" w:sz="4" w:space="0" w:color="989889"/>
        <w:insideV w:val="single" w:sz="4" w:space="0" w:color="989889"/>
      </w:tblBorders>
    </w:tblPr>
    <w:tblStylePr w:type="firstRow">
      <w:rPr>
        <w:rFonts w:ascii="Arial" w:hAnsi="Arial"/>
        <w:color w:val="F2F2F2"/>
        <w:sz w:val="22"/>
      </w:rPr>
      <w:tblPr/>
      <w:tcPr>
        <w:shd w:val="clear" w:color="FAFAFA" w:fill="FAFAFA"/>
      </w:tcPr>
    </w:tblStylePr>
    <w:tblStylePr w:type="lastRow">
      <w:rPr>
        <w:rFonts w:ascii="Arial" w:hAnsi="Arial"/>
        <w:color w:val="F2F2F2"/>
        <w:sz w:val="22"/>
      </w:rPr>
      <w:tblPr/>
      <w:tcPr>
        <w:shd w:val="clear" w:color="FAFAFA" w:fill="FAFAFA"/>
      </w:tcPr>
    </w:tblStylePr>
    <w:tblStylePr w:type="firstCol">
      <w:rPr>
        <w:rFonts w:ascii="Arial" w:hAnsi="Arial"/>
        <w:color w:val="F2F2F2"/>
        <w:sz w:val="22"/>
      </w:rPr>
      <w:tblPr/>
      <w:tcPr>
        <w:shd w:val="clear" w:color="FAFAFA" w:fill="FAFAFA"/>
      </w:tcPr>
    </w:tblStylePr>
    <w:tblStylePr w:type="lastCol">
      <w:rPr>
        <w:rFonts w:ascii="Arial" w:hAnsi="Arial"/>
        <w:color w:val="F2F2F2"/>
        <w:sz w:val="22"/>
      </w:rPr>
      <w:tblPr/>
      <w:tcPr>
        <w:shd w:val="clear" w:color="FAFAFA" w:fill="FAFAFA"/>
      </w:tcPr>
    </w:tblStylePr>
    <w:tblStylePr w:type="band1Vert">
      <w:rPr>
        <w:rFonts w:ascii="Arial" w:hAnsi="Arial"/>
        <w:color w:val="404040"/>
        <w:sz w:val="22"/>
      </w:rPr>
    </w:tblStylePr>
    <w:tblStylePr w:type="band2Vert">
      <w:rPr>
        <w:rFonts w:ascii="Arial" w:hAnsi="Arial"/>
        <w:color w:val="404040"/>
        <w:sz w:val="22"/>
      </w:rPr>
      <w:tblPr/>
      <w:tcPr>
        <w:shd w:val="clear" w:color="FDFDFD" w:fill="FDFDFD"/>
      </w:tcPr>
    </w:tblStylePr>
    <w:tblStylePr w:type="band1Horz">
      <w:rPr>
        <w:rFonts w:ascii="Arial" w:hAnsi="Arial"/>
        <w:color w:val="404040"/>
        <w:sz w:val="22"/>
      </w:rPr>
    </w:tblStylePr>
    <w:tblStylePr w:type="band2Horz">
      <w:rPr>
        <w:rFonts w:ascii="Arial" w:hAnsi="Arial"/>
        <w:color w:val="404040"/>
        <w:sz w:val="22"/>
      </w:rPr>
      <w:tblPr/>
      <w:tcPr>
        <w:shd w:val="clear" w:color="FDFDFD" w:fill="FDFDFD"/>
      </w:tcPr>
    </w:tblStylePr>
  </w:style>
  <w:style w:type="table" w:customStyle="1" w:styleId="BorderedLined-Accent5">
    <w:name w:val="Bordered &amp; Lined - Accent 5"/>
    <w:basedOn w:val="NormaleTabelle"/>
    <w:uiPriority w:val="99"/>
    <w:rsid w:val="0062351B"/>
    <w:rPr>
      <w:color w:val="404040"/>
    </w:rPr>
    <w:tblPr>
      <w:tblStyleRowBandSize w:val="1"/>
      <w:tblStyleColBandSize w:val="1"/>
      <w:tblBorders>
        <w:top w:val="single" w:sz="4" w:space="0" w:color="1D1D1D"/>
        <w:left w:val="single" w:sz="4" w:space="0" w:color="1D1D1D"/>
        <w:bottom w:val="single" w:sz="4" w:space="0" w:color="1D1D1D"/>
        <w:right w:val="single" w:sz="4" w:space="0" w:color="1D1D1D"/>
        <w:insideH w:val="single" w:sz="4" w:space="0" w:color="1D1D1D"/>
        <w:insideV w:val="single" w:sz="4" w:space="0" w:color="1D1D1D"/>
      </w:tblBorders>
    </w:tblPr>
    <w:tblStylePr w:type="firstRow">
      <w:rPr>
        <w:rFonts w:ascii="Arial" w:hAnsi="Arial"/>
        <w:color w:val="F2F2F2"/>
        <w:sz w:val="22"/>
      </w:rPr>
      <w:tblPr/>
      <w:tcPr>
        <w:shd w:val="clear" w:color="333333" w:fill="333333"/>
      </w:tcPr>
    </w:tblStylePr>
    <w:tblStylePr w:type="lastRow">
      <w:rPr>
        <w:rFonts w:ascii="Arial" w:hAnsi="Arial"/>
        <w:color w:val="F2F2F2"/>
        <w:sz w:val="22"/>
      </w:rPr>
      <w:tblPr/>
      <w:tcPr>
        <w:shd w:val="clear" w:color="333333" w:fill="333333"/>
      </w:tcPr>
    </w:tblStylePr>
    <w:tblStylePr w:type="firstCol">
      <w:rPr>
        <w:rFonts w:ascii="Arial" w:hAnsi="Arial"/>
        <w:color w:val="F2F2F2"/>
        <w:sz w:val="22"/>
      </w:rPr>
      <w:tblPr/>
      <w:tcPr>
        <w:shd w:val="clear" w:color="333333" w:fill="333333"/>
      </w:tcPr>
    </w:tblStylePr>
    <w:tblStylePr w:type="lastCol">
      <w:rPr>
        <w:rFonts w:ascii="Arial" w:hAnsi="Arial"/>
        <w:color w:val="F2F2F2"/>
        <w:sz w:val="22"/>
      </w:rPr>
      <w:tblPr/>
      <w:tcPr>
        <w:shd w:val="clear" w:color="333333" w:fill="333333"/>
      </w:tcPr>
    </w:tblStylePr>
    <w:tblStylePr w:type="band1Vert">
      <w:rPr>
        <w:rFonts w:ascii="Arial" w:hAnsi="Arial"/>
        <w:color w:val="404040"/>
        <w:sz w:val="22"/>
      </w:rPr>
    </w:tblStylePr>
    <w:tblStylePr w:type="band2Vert">
      <w:rPr>
        <w:rFonts w:ascii="Arial" w:hAnsi="Arial"/>
        <w:color w:val="404040"/>
        <w:sz w:val="22"/>
      </w:rPr>
      <w:tblPr/>
      <w:tcPr>
        <w:shd w:val="clear" w:color="D5D5D5" w:fill="D5D5D5"/>
      </w:tcPr>
    </w:tblStylePr>
    <w:tblStylePr w:type="band1Horz">
      <w:rPr>
        <w:rFonts w:ascii="Arial" w:hAnsi="Arial"/>
        <w:color w:val="404040"/>
        <w:sz w:val="22"/>
      </w:rPr>
    </w:tblStylePr>
    <w:tblStylePr w:type="band2Horz">
      <w:rPr>
        <w:rFonts w:ascii="Arial" w:hAnsi="Arial"/>
        <w:color w:val="404040"/>
        <w:sz w:val="22"/>
      </w:rPr>
      <w:tblPr/>
      <w:tcPr>
        <w:shd w:val="clear" w:color="D5D5D5" w:fill="D5D5D5"/>
      </w:tcPr>
    </w:tblStylePr>
  </w:style>
  <w:style w:type="table" w:customStyle="1" w:styleId="BorderedLined-Accent6">
    <w:name w:val="Bordered &amp; Lined - Accent 6"/>
    <w:basedOn w:val="NormaleTabelle"/>
    <w:uiPriority w:val="99"/>
    <w:rsid w:val="0062351B"/>
    <w:rPr>
      <w:color w:val="404040"/>
    </w:rPr>
    <w:tblPr>
      <w:tblStyleRowBandSize w:val="1"/>
      <w:tblStyleColBandSize w:val="1"/>
      <w:tblBorders>
        <w:top w:val="single" w:sz="4" w:space="0" w:color="939389"/>
        <w:left w:val="single" w:sz="4" w:space="0" w:color="939389"/>
        <w:bottom w:val="single" w:sz="4" w:space="0" w:color="939389"/>
        <w:right w:val="single" w:sz="4" w:space="0" w:color="939389"/>
        <w:insideH w:val="single" w:sz="4" w:space="0" w:color="939389"/>
        <w:insideV w:val="single" w:sz="4" w:space="0" w:color="939389"/>
      </w:tblBorders>
    </w:tblPr>
    <w:tblStylePr w:type="firstRow">
      <w:rPr>
        <w:rFonts w:ascii="Arial" w:hAnsi="Arial"/>
        <w:color w:val="F2F2F2"/>
        <w:sz w:val="22"/>
      </w:rPr>
      <w:tblPr/>
      <w:tcPr>
        <w:shd w:val="clear" w:color="F4F4F3" w:fill="F4F4F3"/>
      </w:tcPr>
    </w:tblStylePr>
    <w:tblStylePr w:type="lastRow">
      <w:rPr>
        <w:rFonts w:ascii="Arial" w:hAnsi="Arial"/>
        <w:color w:val="F2F2F2"/>
        <w:sz w:val="22"/>
      </w:rPr>
      <w:tblPr/>
      <w:tcPr>
        <w:shd w:val="clear" w:color="F4F4F3" w:fill="F4F4F3"/>
      </w:tcPr>
    </w:tblStylePr>
    <w:tblStylePr w:type="firstCol">
      <w:rPr>
        <w:rFonts w:ascii="Arial" w:hAnsi="Arial"/>
        <w:color w:val="F2F2F2"/>
        <w:sz w:val="22"/>
      </w:rPr>
      <w:tblPr/>
      <w:tcPr>
        <w:shd w:val="clear" w:color="F4F4F3" w:fill="F4F4F3"/>
      </w:tcPr>
    </w:tblStylePr>
    <w:tblStylePr w:type="lastCol">
      <w:rPr>
        <w:rFonts w:ascii="Arial" w:hAnsi="Arial"/>
        <w:color w:val="F2F2F2"/>
        <w:sz w:val="22"/>
      </w:rPr>
      <w:tblPr/>
      <w:tcPr>
        <w:shd w:val="clear" w:color="F4F4F3" w:fill="F4F4F3"/>
      </w:tcPr>
    </w:tblStylePr>
    <w:tblStylePr w:type="band1Vert">
      <w:rPr>
        <w:rFonts w:ascii="Arial" w:hAnsi="Arial"/>
        <w:color w:val="404040"/>
        <w:sz w:val="22"/>
      </w:rPr>
    </w:tblStylePr>
    <w:tblStylePr w:type="band2Vert">
      <w:rPr>
        <w:rFonts w:ascii="Arial" w:hAnsi="Arial"/>
        <w:color w:val="404040"/>
        <w:sz w:val="22"/>
      </w:rPr>
      <w:tblPr/>
      <w:tcPr>
        <w:shd w:val="clear" w:color="FCFCFC" w:fill="FCFCFC"/>
      </w:tcPr>
    </w:tblStylePr>
    <w:tblStylePr w:type="band1Horz">
      <w:rPr>
        <w:rFonts w:ascii="Arial" w:hAnsi="Arial"/>
        <w:color w:val="404040"/>
        <w:sz w:val="22"/>
      </w:rPr>
    </w:tblStylePr>
    <w:tblStylePr w:type="band2Horz">
      <w:rPr>
        <w:rFonts w:ascii="Arial" w:hAnsi="Arial"/>
        <w:color w:val="404040"/>
        <w:sz w:val="22"/>
      </w:rPr>
      <w:tblPr/>
      <w:tcPr>
        <w:shd w:val="clear" w:color="FCFCFC" w:fill="FCFCFC"/>
      </w:tcPr>
    </w:tblStylePr>
  </w:style>
  <w:style w:type="table" w:customStyle="1" w:styleId="Bordered">
    <w:name w:val="Bordered"/>
    <w:basedOn w:val="NormaleTabelle"/>
    <w:uiPriority w:val="99"/>
    <w:rsid w:val="0062351B"/>
    <w:tblPr>
      <w:tblStyleRowBandSize w:val="1"/>
      <w:tblStyleColBandSize w:val="1"/>
      <w:tblBorders>
        <w:top w:val="single" w:sz="4" w:space="0" w:color="E0E0E0"/>
        <w:left w:val="single" w:sz="4" w:space="0" w:color="E0E0E0"/>
        <w:bottom w:val="single" w:sz="4" w:space="0" w:color="E0E0E0"/>
        <w:right w:val="single" w:sz="4" w:space="0" w:color="E0E0E0"/>
        <w:insideH w:val="single" w:sz="4" w:space="0" w:color="E0E0E0"/>
        <w:insideV w:val="single" w:sz="4" w:space="0" w:color="E0E0E0"/>
      </w:tblBorders>
    </w:tblPr>
    <w:tblStylePr w:type="firstRow">
      <w:rPr>
        <w:rFonts w:ascii="Arial" w:hAnsi="Arial"/>
        <w:color w:val="404040"/>
        <w:sz w:val="22"/>
      </w:rPr>
      <w:tblPr/>
      <w:tcPr>
        <w:tcBorders>
          <w:bottom w:val="single" w:sz="12" w:space="0" w:color="989898"/>
        </w:tcBorders>
      </w:tcPr>
    </w:tblStylePr>
    <w:tblStylePr w:type="lastRow">
      <w:rPr>
        <w:rFonts w:ascii="Arial" w:hAnsi="Arial"/>
        <w:color w:val="404040"/>
        <w:sz w:val="22"/>
      </w:rPr>
      <w:tblPr/>
      <w:tcPr>
        <w:tcBorders>
          <w:top w:val="single" w:sz="12" w:space="0" w:color="9898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89898"/>
        </w:tcBorders>
      </w:tcPr>
    </w:tblStylePr>
    <w:tblStylePr w:type="band1Horz">
      <w:rPr>
        <w:rFonts w:ascii="Arial" w:hAnsi="Arial"/>
        <w:color w:val="404040"/>
        <w:sz w:val="22"/>
      </w:rPr>
      <w:tblPr/>
      <w:tcPr>
        <w:tcBorders>
          <w:top w:val="single" w:sz="4" w:space="0" w:color="E0E0E0"/>
          <w:left w:val="single" w:sz="4" w:space="0" w:color="E0E0E0"/>
          <w:bottom w:val="single" w:sz="4" w:space="0" w:color="E0E0E0"/>
          <w:right w:val="single" w:sz="4" w:space="0" w:color="E0E0E0"/>
        </w:tcBorders>
      </w:tcPr>
    </w:tblStylePr>
  </w:style>
  <w:style w:type="table" w:customStyle="1" w:styleId="Bordered-Accent1">
    <w:name w:val="Bordered - Accent 1"/>
    <w:basedOn w:val="NormaleTabelle"/>
    <w:uiPriority w:val="99"/>
    <w:rsid w:val="0062351B"/>
    <w:tblPr>
      <w:tblStyleRowBandSize w:val="1"/>
      <w:tblStyleColBandSize w:val="1"/>
      <w:tblBorders>
        <w:top w:val="single" w:sz="4" w:space="0" w:color="80B4F1"/>
        <w:left w:val="single" w:sz="4" w:space="0" w:color="80B4F1"/>
        <w:bottom w:val="single" w:sz="4" w:space="0" w:color="80B4F1"/>
        <w:right w:val="single" w:sz="4" w:space="0" w:color="80B4F1"/>
        <w:insideH w:val="single" w:sz="4" w:space="0" w:color="80B4F1"/>
        <w:insideV w:val="single" w:sz="4" w:space="0" w:color="80B4F1"/>
      </w:tblBorders>
    </w:tblPr>
    <w:tblStylePr w:type="firstRow">
      <w:rPr>
        <w:rFonts w:ascii="Arial" w:hAnsi="Arial"/>
        <w:color w:val="404040"/>
        <w:sz w:val="22"/>
      </w:rPr>
      <w:tblPr/>
      <w:tcPr>
        <w:tcBorders>
          <w:bottom w:val="single" w:sz="12" w:space="0" w:color="104C91"/>
        </w:tcBorders>
      </w:tcPr>
    </w:tblStylePr>
    <w:tblStylePr w:type="lastRow">
      <w:rPr>
        <w:rFonts w:ascii="Arial" w:hAnsi="Arial"/>
        <w:color w:val="404040"/>
        <w:sz w:val="22"/>
      </w:rPr>
      <w:tblPr/>
      <w:tcPr>
        <w:tcBorders>
          <w:top w:val="single" w:sz="12" w:space="0" w:color="104C9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04C91"/>
        </w:tcBorders>
      </w:tcPr>
    </w:tblStylePr>
    <w:tblStylePr w:type="band1Horz">
      <w:rPr>
        <w:rFonts w:ascii="Arial" w:hAnsi="Arial"/>
        <w:color w:val="404040"/>
        <w:sz w:val="22"/>
      </w:rPr>
      <w:tblPr/>
      <w:tcPr>
        <w:tcBorders>
          <w:top w:val="single" w:sz="4" w:space="0" w:color="80B4F1"/>
          <w:left w:val="single" w:sz="4" w:space="0" w:color="80B4F1"/>
          <w:bottom w:val="single" w:sz="4" w:space="0" w:color="80B4F1"/>
          <w:right w:val="single" w:sz="4" w:space="0" w:color="80B4F1"/>
        </w:tcBorders>
      </w:tcPr>
    </w:tblStylePr>
  </w:style>
  <w:style w:type="table" w:customStyle="1" w:styleId="Bordered-Accent2">
    <w:name w:val="Bordered - Accent 2"/>
    <w:basedOn w:val="NormaleTabelle"/>
    <w:uiPriority w:val="99"/>
    <w:rsid w:val="0062351B"/>
    <w:tblPr>
      <w:tblStyleRowBandSize w:val="1"/>
      <w:tblStyleColBandSize w:val="1"/>
      <w:tblBorders>
        <w:top w:val="single" w:sz="4" w:space="0" w:color="CEE0F3"/>
        <w:left w:val="single" w:sz="4" w:space="0" w:color="CEE0F3"/>
        <w:bottom w:val="single" w:sz="4" w:space="0" w:color="CEE0F3"/>
        <w:right w:val="single" w:sz="4" w:space="0" w:color="CEE0F3"/>
        <w:insideH w:val="single" w:sz="4" w:space="0" w:color="CEE0F3"/>
        <w:insideV w:val="single" w:sz="4" w:space="0" w:color="CEE0F3"/>
      </w:tblBorders>
    </w:tblPr>
    <w:tblStylePr w:type="firstRow">
      <w:rPr>
        <w:rFonts w:ascii="Arial" w:hAnsi="Arial"/>
        <w:color w:val="404040"/>
        <w:sz w:val="22"/>
      </w:rPr>
      <w:tblPr/>
      <w:tcPr>
        <w:tcBorders>
          <w:bottom w:val="single" w:sz="12" w:space="0" w:color="B7D1ED"/>
        </w:tcBorders>
      </w:tcPr>
    </w:tblStylePr>
    <w:tblStylePr w:type="lastRow">
      <w:rPr>
        <w:rFonts w:ascii="Arial" w:hAnsi="Arial"/>
        <w:color w:val="404040"/>
        <w:sz w:val="22"/>
      </w:rPr>
      <w:tblPr/>
      <w:tcPr>
        <w:tcBorders>
          <w:top w:val="single" w:sz="12" w:space="0" w:color="B7D1ED"/>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7D1ED"/>
        </w:tcBorders>
      </w:tcPr>
    </w:tblStylePr>
    <w:tblStylePr w:type="band1Horz">
      <w:rPr>
        <w:rFonts w:ascii="Arial" w:hAnsi="Arial"/>
        <w:color w:val="404040"/>
        <w:sz w:val="22"/>
      </w:rPr>
      <w:tblPr/>
      <w:tcPr>
        <w:tcBorders>
          <w:top w:val="single" w:sz="4" w:space="0" w:color="CEE0F3"/>
          <w:left w:val="single" w:sz="4" w:space="0" w:color="CEE0F3"/>
          <w:bottom w:val="single" w:sz="4" w:space="0" w:color="CEE0F3"/>
          <w:right w:val="single" w:sz="4" w:space="0" w:color="CEE0F3"/>
        </w:tcBorders>
      </w:tcPr>
    </w:tblStylePr>
  </w:style>
  <w:style w:type="table" w:customStyle="1" w:styleId="Bordered-Accent3">
    <w:name w:val="Bordered - Accent 3"/>
    <w:basedOn w:val="NormaleTabelle"/>
    <w:uiPriority w:val="99"/>
    <w:rsid w:val="0062351B"/>
    <w:tblPr>
      <w:tblStyleRowBandSize w:val="1"/>
      <w:tblStyleColBandSize w:val="1"/>
      <w:tblBorders>
        <w:top w:val="single" w:sz="4" w:space="0" w:color="FAD6A1"/>
        <w:left w:val="single" w:sz="4" w:space="0" w:color="FAD6A1"/>
        <w:bottom w:val="single" w:sz="4" w:space="0" w:color="FAD6A1"/>
        <w:right w:val="single" w:sz="4" w:space="0" w:color="FAD6A1"/>
        <w:insideH w:val="single" w:sz="4" w:space="0" w:color="FAD6A1"/>
        <w:insideV w:val="single" w:sz="4" w:space="0" w:color="FAD6A1"/>
      </w:tblBorders>
    </w:tblPr>
    <w:tblStylePr w:type="firstRow">
      <w:rPr>
        <w:rFonts w:ascii="Arial" w:hAnsi="Arial"/>
        <w:color w:val="404040"/>
        <w:sz w:val="22"/>
      </w:rPr>
      <w:tblPr/>
      <w:tcPr>
        <w:tcBorders>
          <w:bottom w:val="single" w:sz="12" w:space="0" w:color="F8C375"/>
        </w:tcBorders>
      </w:tcPr>
    </w:tblStylePr>
    <w:tblStylePr w:type="lastRow">
      <w:rPr>
        <w:rFonts w:ascii="Arial" w:hAnsi="Arial"/>
        <w:color w:val="404040"/>
        <w:sz w:val="22"/>
      </w:rPr>
      <w:tblPr/>
      <w:tcPr>
        <w:tcBorders>
          <w:top w:val="single" w:sz="12" w:space="0" w:color="F8C37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8C375"/>
        </w:tcBorders>
      </w:tcPr>
    </w:tblStylePr>
    <w:tblStylePr w:type="band1Horz">
      <w:rPr>
        <w:rFonts w:ascii="Arial" w:hAnsi="Arial"/>
        <w:color w:val="404040"/>
        <w:sz w:val="22"/>
      </w:rPr>
      <w:tblPr/>
      <w:tcPr>
        <w:tcBorders>
          <w:top w:val="single" w:sz="4" w:space="0" w:color="FAD6A1"/>
          <w:left w:val="single" w:sz="4" w:space="0" w:color="FAD6A1"/>
          <w:bottom w:val="single" w:sz="4" w:space="0" w:color="FAD6A1"/>
          <w:right w:val="single" w:sz="4" w:space="0" w:color="FAD6A1"/>
        </w:tcBorders>
      </w:tcPr>
    </w:tblStylePr>
  </w:style>
  <w:style w:type="table" w:customStyle="1" w:styleId="Bordered-Accent4">
    <w:name w:val="Bordered - Accent 4"/>
    <w:basedOn w:val="NormaleTabelle"/>
    <w:uiPriority w:val="99"/>
    <w:rsid w:val="0062351B"/>
    <w:tblPr>
      <w:tblStyleRowBandSize w:val="1"/>
      <w:tblStyleColBandSize w:val="1"/>
      <w:tblBorders>
        <w:top w:val="single" w:sz="4" w:space="0" w:color="FCFCFB"/>
        <w:left w:val="single" w:sz="4" w:space="0" w:color="FCFCFB"/>
        <w:bottom w:val="single" w:sz="4" w:space="0" w:color="FCFCFB"/>
        <w:right w:val="single" w:sz="4" w:space="0" w:color="FCFCFB"/>
        <w:insideH w:val="single" w:sz="4" w:space="0" w:color="FCFCFB"/>
        <w:insideV w:val="single" w:sz="4" w:space="0" w:color="FCFCFB"/>
      </w:tblBorders>
    </w:tblPr>
    <w:tblStylePr w:type="firstRow">
      <w:rPr>
        <w:rFonts w:ascii="Arial" w:hAnsi="Arial"/>
        <w:color w:val="404040"/>
        <w:sz w:val="22"/>
      </w:rPr>
      <w:tblPr/>
      <w:tcPr>
        <w:tcBorders>
          <w:bottom w:val="single" w:sz="12" w:space="0" w:color="FAFAFA"/>
        </w:tcBorders>
      </w:tcPr>
    </w:tblStylePr>
    <w:tblStylePr w:type="lastRow">
      <w:rPr>
        <w:rFonts w:ascii="Arial" w:hAnsi="Arial"/>
        <w:color w:val="404040"/>
        <w:sz w:val="22"/>
      </w:rPr>
      <w:tblPr/>
      <w:tcPr>
        <w:tcBorders>
          <w:top w:val="single" w:sz="12" w:space="0" w:color="FAFAF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FAFA"/>
        </w:tcBorders>
      </w:tcPr>
    </w:tblStylePr>
    <w:tblStylePr w:type="band1Horz">
      <w:rPr>
        <w:rFonts w:ascii="Arial" w:hAnsi="Arial"/>
        <w:color w:val="404040"/>
        <w:sz w:val="22"/>
      </w:rPr>
      <w:tblPr/>
      <w:tcPr>
        <w:tcBorders>
          <w:top w:val="single" w:sz="4" w:space="0" w:color="FCFCFB"/>
          <w:left w:val="single" w:sz="4" w:space="0" w:color="FCFCFB"/>
          <w:bottom w:val="single" w:sz="4" w:space="0" w:color="FCFCFB"/>
          <w:right w:val="single" w:sz="4" w:space="0" w:color="FCFCFB"/>
        </w:tcBorders>
      </w:tcPr>
    </w:tblStylePr>
  </w:style>
  <w:style w:type="table" w:customStyle="1" w:styleId="Bordered-Accent5">
    <w:name w:val="Bordered - Accent 5"/>
    <w:basedOn w:val="NormaleTabelle"/>
    <w:uiPriority w:val="99"/>
    <w:rsid w:val="0062351B"/>
    <w:tblPr>
      <w:tblStyleRowBandSize w:val="1"/>
      <w:tblStyleColBandSize w:val="1"/>
      <w:tblBorders>
        <w:top w:val="single" w:sz="4" w:space="0" w:color="ACACAC"/>
        <w:left w:val="single" w:sz="4" w:space="0" w:color="ACACAC"/>
        <w:bottom w:val="single" w:sz="4" w:space="0" w:color="ACACAC"/>
        <w:right w:val="single" w:sz="4" w:space="0" w:color="ACACAC"/>
        <w:insideH w:val="single" w:sz="4" w:space="0" w:color="ACACAC"/>
        <w:insideV w:val="single" w:sz="4" w:space="0" w:color="ACACAC"/>
      </w:tblBorders>
    </w:tblPr>
    <w:tblStylePr w:type="firstRow">
      <w:rPr>
        <w:rFonts w:ascii="Arial" w:hAnsi="Arial"/>
        <w:color w:val="404040"/>
        <w:sz w:val="22"/>
      </w:rPr>
      <w:tblPr/>
      <w:tcPr>
        <w:tcBorders>
          <w:bottom w:val="single" w:sz="12" w:space="0" w:color="838383"/>
        </w:tcBorders>
      </w:tcPr>
    </w:tblStylePr>
    <w:tblStylePr w:type="lastRow">
      <w:rPr>
        <w:rFonts w:ascii="Arial" w:hAnsi="Arial"/>
        <w:color w:val="404040"/>
        <w:sz w:val="22"/>
      </w:rPr>
      <w:tblPr/>
      <w:tcPr>
        <w:tcBorders>
          <w:top w:val="single" w:sz="12" w:space="0" w:color="838383"/>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38383"/>
        </w:tcBorders>
      </w:tcPr>
    </w:tblStylePr>
    <w:tblStylePr w:type="band1Horz">
      <w:rPr>
        <w:rFonts w:ascii="Arial" w:hAnsi="Arial"/>
        <w:color w:val="404040"/>
        <w:sz w:val="22"/>
      </w:rPr>
      <w:tblPr/>
      <w:tcPr>
        <w:tcBorders>
          <w:top w:val="single" w:sz="4" w:space="0" w:color="ACACAC"/>
          <w:left w:val="single" w:sz="4" w:space="0" w:color="ACACAC"/>
          <w:bottom w:val="single" w:sz="4" w:space="0" w:color="ACACAC"/>
          <w:right w:val="single" w:sz="4" w:space="0" w:color="ACACAC"/>
        </w:tcBorders>
      </w:tcPr>
    </w:tblStylePr>
  </w:style>
  <w:style w:type="table" w:customStyle="1" w:styleId="Bordered-Accent6">
    <w:name w:val="Bordered - Accent 6"/>
    <w:basedOn w:val="NormaleTabelle"/>
    <w:uiPriority w:val="99"/>
    <w:rsid w:val="0062351B"/>
    <w:tblPr>
      <w:tblStyleRowBandSize w:val="1"/>
      <w:tblStyleColBandSize w:val="1"/>
      <w:tblBorders>
        <w:top w:val="single" w:sz="4" w:space="0" w:color="FAFAFA"/>
        <w:left w:val="single" w:sz="4" w:space="0" w:color="FAFAFA"/>
        <w:bottom w:val="single" w:sz="4" w:space="0" w:color="FAFAFA"/>
        <w:right w:val="single" w:sz="4" w:space="0" w:color="FAFAFA"/>
        <w:insideH w:val="single" w:sz="4" w:space="0" w:color="FAFAFA"/>
        <w:insideV w:val="single" w:sz="4" w:space="0" w:color="FAFAFA"/>
      </w:tblBorders>
    </w:tblPr>
    <w:tblStylePr w:type="firstRow">
      <w:rPr>
        <w:rFonts w:ascii="Arial" w:hAnsi="Arial"/>
        <w:color w:val="404040"/>
        <w:sz w:val="22"/>
      </w:rPr>
      <w:tblPr/>
      <w:tcPr>
        <w:tcBorders>
          <w:bottom w:val="single" w:sz="12" w:space="0" w:color="F8F8F7"/>
        </w:tcBorders>
      </w:tcPr>
    </w:tblStylePr>
    <w:tblStylePr w:type="lastRow">
      <w:rPr>
        <w:rFonts w:ascii="Arial" w:hAnsi="Arial"/>
        <w:color w:val="404040"/>
        <w:sz w:val="22"/>
      </w:rPr>
      <w:tblPr/>
      <w:tcPr>
        <w:tcBorders>
          <w:top w:val="single" w:sz="12" w:space="0" w:color="F8F8F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8F8F7"/>
        </w:tcBorders>
      </w:tcPr>
    </w:tblStylePr>
    <w:tblStylePr w:type="band1Horz">
      <w:rPr>
        <w:rFonts w:ascii="Arial" w:hAnsi="Arial"/>
        <w:color w:val="404040"/>
        <w:sz w:val="22"/>
      </w:rPr>
      <w:tblPr/>
      <w:tcPr>
        <w:tcBorders>
          <w:top w:val="single" w:sz="4" w:space="0" w:color="FAFAFA"/>
          <w:left w:val="single" w:sz="4" w:space="0" w:color="FAFAFA"/>
          <w:bottom w:val="single" w:sz="4" w:space="0" w:color="FAFAFA"/>
          <w:right w:val="single" w:sz="4" w:space="0" w:color="FAFAFA"/>
        </w:tcBorders>
      </w:tcPr>
    </w:tblStylePr>
  </w:style>
  <w:style w:type="character" w:customStyle="1" w:styleId="FootnoteTextChar">
    <w:name w:val="Footnote Text Char"/>
    <w:uiPriority w:val="99"/>
    <w:rsid w:val="0062351B"/>
    <w:rPr>
      <w:sz w:val="18"/>
    </w:rPr>
  </w:style>
  <w:style w:type="paragraph" w:styleId="Endnotentext">
    <w:name w:val="endnote text"/>
    <w:basedOn w:val="Standard"/>
    <w:link w:val="EndnotentextZchn"/>
    <w:uiPriority w:val="99"/>
    <w:semiHidden/>
    <w:unhideWhenUsed/>
    <w:rsid w:val="0062351B"/>
    <w:pPr>
      <w:spacing w:line="240" w:lineRule="auto"/>
    </w:pPr>
    <w:rPr>
      <w:sz w:val="20"/>
    </w:rPr>
  </w:style>
  <w:style w:type="character" w:customStyle="1" w:styleId="EndnotentextZchn">
    <w:name w:val="Endnotentext Zchn"/>
    <w:link w:val="Endnotentext"/>
    <w:uiPriority w:val="99"/>
    <w:rsid w:val="0062351B"/>
    <w:rPr>
      <w:sz w:val="20"/>
    </w:rPr>
  </w:style>
  <w:style w:type="character" w:styleId="Endnotenzeichen">
    <w:name w:val="endnote reference"/>
    <w:uiPriority w:val="99"/>
    <w:semiHidden/>
    <w:unhideWhenUsed/>
    <w:rsid w:val="0062351B"/>
    <w:rPr>
      <w:vertAlign w:val="superscript"/>
    </w:rPr>
  </w:style>
  <w:style w:type="paragraph" w:styleId="Verzeichnis7">
    <w:name w:val="toc 7"/>
    <w:basedOn w:val="Standard"/>
    <w:next w:val="Standard"/>
    <w:uiPriority w:val="39"/>
    <w:unhideWhenUsed/>
    <w:rsid w:val="0062351B"/>
    <w:pPr>
      <w:spacing w:after="57"/>
      <w:ind w:left="1701"/>
    </w:pPr>
  </w:style>
  <w:style w:type="paragraph" w:styleId="Verzeichnis8">
    <w:name w:val="toc 8"/>
    <w:basedOn w:val="Standard"/>
    <w:next w:val="Standard"/>
    <w:uiPriority w:val="39"/>
    <w:unhideWhenUsed/>
    <w:rsid w:val="0062351B"/>
    <w:pPr>
      <w:spacing w:after="57"/>
      <w:ind w:left="1984"/>
    </w:pPr>
  </w:style>
  <w:style w:type="paragraph" w:styleId="Verzeichnis9">
    <w:name w:val="toc 9"/>
    <w:basedOn w:val="Standard"/>
    <w:next w:val="Standard"/>
    <w:uiPriority w:val="39"/>
    <w:unhideWhenUsed/>
    <w:rsid w:val="0062351B"/>
    <w:pPr>
      <w:spacing w:after="57"/>
      <w:ind w:left="2268"/>
    </w:pPr>
  </w:style>
  <w:style w:type="paragraph" w:styleId="Abbildungsverzeichnis">
    <w:name w:val="table of figures"/>
    <w:basedOn w:val="Standard"/>
    <w:next w:val="Standard"/>
    <w:uiPriority w:val="99"/>
    <w:unhideWhenUsed/>
    <w:rsid w:val="0062351B"/>
  </w:style>
  <w:style w:type="paragraph" w:customStyle="1" w:styleId="Tabellenberschrift">
    <w:name w:val="_Tabellenüberschrift"/>
    <w:basedOn w:val="Fliesstext-ohneAbstand"/>
    <w:qFormat/>
    <w:rsid w:val="0062351B"/>
    <w:pPr>
      <w:spacing w:after="130"/>
    </w:pPr>
    <w:rPr>
      <w:rFonts w:cs="Calibri"/>
      <w:color w:val="104C91"/>
      <w:szCs w:val="22"/>
      <w:lang w:eastAsia="ru-RU"/>
    </w:rPr>
  </w:style>
  <w:style w:type="paragraph" w:customStyle="1" w:styleId="SourcesImagecaption">
    <w:name w:val="_Sources+Image caption"/>
    <w:basedOn w:val="Standard"/>
    <w:qFormat/>
    <w:rsid w:val="0062351B"/>
    <w:pPr>
      <w:spacing w:before="120" w:line="240" w:lineRule="auto"/>
      <w:jc w:val="left"/>
    </w:pPr>
    <w:rPr>
      <w:i/>
      <w:color w:val="AAAAAA"/>
      <w:sz w:val="18"/>
    </w:rPr>
  </w:style>
  <w:style w:type="paragraph" w:styleId="HTMLVorformatiert">
    <w:name w:val="HTML Preformatted"/>
    <w:basedOn w:val="Standard"/>
    <w:semiHidden/>
    <w:rsid w:val="00623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Arial Unicode MS" w:eastAsia="Arial Unicode MS" w:hAnsi="Arial Unicode MS" w:cs="Arial Unicode MS"/>
      <w:szCs w:val="20"/>
      <w:lang w:val="de-DE" w:eastAsia="de-DE"/>
    </w:rPr>
  </w:style>
  <w:style w:type="character" w:styleId="Hyperlink">
    <w:name w:val="Hyperlink"/>
    <w:uiPriority w:val="99"/>
    <w:rsid w:val="0062351B"/>
    <w:rPr>
      <w:rFonts w:cs="Calibri"/>
      <w:color w:val="F49B19"/>
      <w:sz w:val="20"/>
      <w:szCs w:val="20"/>
      <w:u w:val="single"/>
      <w:lang w:val="en-US" w:eastAsia="de-DE"/>
    </w:rPr>
  </w:style>
  <w:style w:type="paragraph" w:styleId="Funotentext">
    <w:name w:val="footnote text"/>
    <w:basedOn w:val="Standard"/>
    <w:link w:val="FunotentextZchn"/>
    <w:uiPriority w:val="99"/>
    <w:rsid w:val="0062351B"/>
    <w:pPr>
      <w:spacing w:before="0" w:after="40"/>
      <w:jc w:val="left"/>
    </w:pPr>
    <w:rPr>
      <w:color w:val="333333"/>
      <w:sz w:val="20"/>
      <w:szCs w:val="20"/>
      <w:lang w:val="de-DE" w:eastAsia="de-DE"/>
    </w:rPr>
  </w:style>
  <w:style w:type="paragraph" w:styleId="Kommentartext">
    <w:name w:val="annotation text"/>
    <w:basedOn w:val="Standard"/>
    <w:link w:val="KommentartextZchn"/>
    <w:semiHidden/>
    <w:rsid w:val="0062351B"/>
    <w:pPr>
      <w:widowControl w:val="0"/>
      <w:spacing w:line="360" w:lineRule="atLeast"/>
    </w:pPr>
    <w:rPr>
      <w:szCs w:val="20"/>
    </w:rPr>
  </w:style>
  <w:style w:type="paragraph" w:customStyle="1" w:styleId="CommentSubject1">
    <w:name w:val="Comment Subject1"/>
    <w:basedOn w:val="Kommentartext"/>
    <w:next w:val="Kommentartext"/>
    <w:semiHidden/>
    <w:rsid w:val="0062351B"/>
    <w:pPr>
      <w:widowControl/>
      <w:spacing w:line="240" w:lineRule="auto"/>
      <w:jc w:val="left"/>
    </w:pPr>
    <w:rPr>
      <w:rFonts w:eastAsia="Times New Roman"/>
      <w:b/>
      <w:bCs/>
      <w:lang w:val="de-DE" w:eastAsia="de-DE"/>
    </w:rPr>
  </w:style>
  <w:style w:type="character" w:styleId="Funotenzeichen">
    <w:name w:val="footnote reference"/>
    <w:uiPriority w:val="99"/>
    <w:rsid w:val="0062351B"/>
    <w:rPr>
      <w:vertAlign w:val="superscript"/>
    </w:rPr>
  </w:style>
  <w:style w:type="paragraph" w:customStyle="1" w:styleId="BalloonText1">
    <w:name w:val="Balloon Text1"/>
    <w:basedOn w:val="Standard"/>
    <w:semiHidden/>
    <w:rsid w:val="0062351B"/>
    <w:rPr>
      <w:rFonts w:ascii="Tahoma" w:hAnsi="Tahoma" w:cs="Tahoma"/>
      <w:sz w:val="16"/>
      <w:szCs w:val="16"/>
      <w:lang w:val="de-DE" w:eastAsia="de-DE"/>
    </w:rPr>
  </w:style>
  <w:style w:type="paragraph" w:styleId="Fuzeile">
    <w:name w:val="footer"/>
    <w:basedOn w:val="Standard"/>
    <w:link w:val="FuzeileZchn"/>
    <w:uiPriority w:val="99"/>
    <w:rsid w:val="0062351B"/>
    <w:pPr>
      <w:tabs>
        <w:tab w:val="center" w:pos="4536"/>
        <w:tab w:val="right" w:pos="9072"/>
      </w:tabs>
    </w:pPr>
    <w:rPr>
      <w:lang w:val="de-DE" w:eastAsia="de-DE"/>
    </w:rPr>
  </w:style>
  <w:style w:type="paragraph" w:customStyle="1" w:styleId="Source">
    <w:name w:val="Source"/>
    <w:basedOn w:val="Standard"/>
    <w:rsid w:val="0062351B"/>
    <w:rPr>
      <w:i/>
      <w:sz w:val="18"/>
      <w:szCs w:val="20"/>
    </w:rPr>
  </w:style>
  <w:style w:type="paragraph" w:customStyle="1" w:styleId="GAGTitleofTables">
    <w:name w:val="GAG Title of Tables"/>
    <w:basedOn w:val="Standard"/>
    <w:rsid w:val="0062351B"/>
    <w:pPr>
      <w:spacing w:after="50"/>
      <w:jc w:val="left"/>
    </w:pPr>
    <w:rPr>
      <w:b/>
    </w:rPr>
  </w:style>
  <w:style w:type="paragraph" w:styleId="Kopfzeile">
    <w:name w:val="header"/>
    <w:basedOn w:val="Standard"/>
    <w:link w:val="KopfzeileZchn"/>
    <w:uiPriority w:val="99"/>
    <w:rsid w:val="0062351B"/>
    <w:pPr>
      <w:tabs>
        <w:tab w:val="center" w:pos="4536"/>
        <w:tab w:val="right" w:pos="9072"/>
      </w:tabs>
    </w:pPr>
  </w:style>
  <w:style w:type="paragraph" w:styleId="Verzeichnis1">
    <w:name w:val="toc 1"/>
    <w:basedOn w:val="Standard"/>
    <w:next w:val="Standard"/>
    <w:link w:val="Verzeichnis1Zchn"/>
    <w:uiPriority w:val="39"/>
    <w:qFormat/>
    <w:rsid w:val="0062351B"/>
    <w:pPr>
      <w:tabs>
        <w:tab w:val="left" w:pos="567"/>
        <w:tab w:val="right" w:leader="dot" w:pos="9061"/>
      </w:tabs>
      <w:spacing w:before="100" w:after="50" w:line="300" w:lineRule="atLeast"/>
      <w:jc w:val="left"/>
    </w:pPr>
    <w:rPr>
      <w:rFonts w:eastAsia="Times New Roman"/>
      <w:b/>
      <w:bCs/>
      <w:color w:val="104C91"/>
      <w:sz w:val="20"/>
      <w:szCs w:val="22"/>
      <w:lang w:eastAsia="en-GB"/>
    </w:rPr>
  </w:style>
  <w:style w:type="paragraph" w:styleId="Verzeichnis2">
    <w:name w:val="toc 2"/>
    <w:basedOn w:val="Standard"/>
    <w:next w:val="Standard"/>
    <w:uiPriority w:val="39"/>
    <w:rsid w:val="0062351B"/>
    <w:pPr>
      <w:widowControl w:val="0"/>
      <w:tabs>
        <w:tab w:val="left" w:pos="567"/>
        <w:tab w:val="left" w:pos="1985"/>
        <w:tab w:val="right" w:leader="dot" w:pos="8083"/>
      </w:tabs>
      <w:spacing w:before="120"/>
      <w:ind w:left="1276" w:hanging="709"/>
      <w:jc w:val="left"/>
    </w:pPr>
    <w:rPr>
      <w:sz w:val="20"/>
    </w:rPr>
  </w:style>
  <w:style w:type="paragraph" w:styleId="Verzeichnis6">
    <w:name w:val="toc 6"/>
    <w:basedOn w:val="Standard"/>
    <w:next w:val="Standard"/>
    <w:semiHidden/>
    <w:rsid w:val="0062351B"/>
    <w:pPr>
      <w:tabs>
        <w:tab w:val="left" w:pos="2552"/>
        <w:tab w:val="right" w:pos="8902"/>
      </w:tabs>
      <w:spacing w:before="0" w:after="260" w:line="260" w:lineRule="atLeast"/>
      <w:ind w:left="2552" w:right="851" w:hanging="1418"/>
    </w:pPr>
    <w:rPr>
      <w:rFonts w:ascii="Arial" w:hAnsi="Arial"/>
      <w:szCs w:val="20"/>
      <w:lang w:val="de-DE" w:eastAsia="de-DE"/>
    </w:rPr>
  </w:style>
  <w:style w:type="paragraph" w:styleId="Verzeichnis5">
    <w:name w:val="toc 5"/>
    <w:basedOn w:val="Verzeichnis4"/>
    <w:next w:val="Standard"/>
    <w:semiHidden/>
    <w:rsid w:val="0062351B"/>
    <w:pPr>
      <w:tabs>
        <w:tab w:val="clear" w:pos="2127"/>
        <w:tab w:val="left" w:pos="2410"/>
      </w:tabs>
      <w:ind w:left="2410" w:right="851" w:hanging="1276"/>
    </w:pPr>
  </w:style>
  <w:style w:type="paragraph" w:styleId="Verzeichnis4">
    <w:name w:val="toc 4"/>
    <w:basedOn w:val="Verzeichnis3"/>
    <w:next w:val="Standard"/>
    <w:semiHidden/>
    <w:rsid w:val="0062351B"/>
    <w:pPr>
      <w:tabs>
        <w:tab w:val="left" w:pos="2127"/>
      </w:tabs>
      <w:ind w:hanging="993"/>
    </w:pPr>
  </w:style>
  <w:style w:type="paragraph" w:styleId="Verzeichnis3">
    <w:name w:val="toc 3"/>
    <w:next w:val="Standard"/>
    <w:uiPriority w:val="39"/>
    <w:rsid w:val="0062351B"/>
    <w:pPr>
      <w:tabs>
        <w:tab w:val="right" w:leader="dot" w:pos="8083"/>
        <w:tab w:val="right" w:pos="9061"/>
      </w:tabs>
      <w:spacing w:before="120"/>
      <w:ind w:left="2127" w:hanging="851"/>
      <w:outlineLvl w:val="2"/>
    </w:pPr>
    <w:rPr>
      <w:rFonts w:ascii="Calibri" w:hAnsi="Calibri"/>
      <w:lang w:eastAsia="de-DE"/>
    </w:rPr>
  </w:style>
  <w:style w:type="paragraph" w:styleId="Sprechblasentext">
    <w:name w:val="Balloon Text"/>
    <w:basedOn w:val="Standard"/>
    <w:semiHidden/>
    <w:rsid w:val="0062351B"/>
    <w:pPr>
      <w:spacing w:before="0" w:after="260" w:line="260" w:lineRule="atLeast"/>
      <w:ind w:left="1134"/>
    </w:pPr>
    <w:rPr>
      <w:rFonts w:ascii="Tahoma" w:hAnsi="Tahoma" w:cs="Tahoma"/>
      <w:sz w:val="16"/>
      <w:szCs w:val="16"/>
      <w:lang w:val="de-DE" w:eastAsia="de-DE"/>
    </w:rPr>
  </w:style>
  <w:style w:type="paragraph" w:styleId="Index1">
    <w:name w:val="index 1"/>
    <w:basedOn w:val="Standard"/>
    <w:next w:val="Standard"/>
    <w:semiHidden/>
    <w:rsid w:val="0062351B"/>
    <w:pPr>
      <w:ind w:left="200" w:hanging="200"/>
    </w:pPr>
  </w:style>
  <w:style w:type="paragraph" w:styleId="Indexberschrift">
    <w:name w:val="index heading"/>
    <w:basedOn w:val="Standard"/>
    <w:next w:val="Standard"/>
    <w:semiHidden/>
    <w:rsid w:val="0062351B"/>
    <w:pPr>
      <w:spacing w:before="0" w:after="260" w:line="260" w:lineRule="atLeast"/>
      <w:ind w:left="1134"/>
    </w:pPr>
    <w:rPr>
      <w:rFonts w:ascii="Arial" w:hAnsi="Arial"/>
      <w:szCs w:val="20"/>
      <w:lang w:val="de-DE" w:eastAsia="de-DE"/>
    </w:rPr>
  </w:style>
  <w:style w:type="paragraph" w:customStyle="1" w:styleId="Abbildungsquelle">
    <w:name w:val="Abbildungsquelle"/>
    <w:basedOn w:val="Standard"/>
    <w:next w:val="Standard"/>
    <w:rsid w:val="0062351B"/>
    <w:pPr>
      <w:tabs>
        <w:tab w:val="left" w:pos="2495"/>
      </w:tabs>
      <w:spacing w:before="60" w:after="300"/>
      <w:ind w:left="567"/>
    </w:pPr>
    <w:rPr>
      <w:rFonts w:ascii="Arial" w:hAnsi="Arial"/>
      <w:i/>
      <w:sz w:val="16"/>
      <w:szCs w:val="20"/>
      <w:lang w:val="de-DE" w:eastAsia="de-DE"/>
    </w:rPr>
  </w:style>
  <w:style w:type="paragraph" w:styleId="Beschriftung">
    <w:name w:val="caption"/>
    <w:basedOn w:val="Abbildungsberschrift"/>
    <w:next w:val="Standard"/>
    <w:uiPriority w:val="35"/>
    <w:qFormat/>
    <w:rsid w:val="0062351B"/>
    <w:pPr>
      <w:tabs>
        <w:tab w:val="left" w:pos="3402"/>
      </w:tabs>
      <w:spacing w:before="240" w:after="0"/>
      <w:ind w:left="1134" w:hanging="1134"/>
    </w:pPr>
    <w:rPr>
      <w:rFonts w:ascii="Calibri" w:hAnsi="Calibri"/>
      <w:b/>
      <w:i w:val="0"/>
      <w:sz w:val="20"/>
    </w:rPr>
  </w:style>
  <w:style w:type="paragraph" w:customStyle="1" w:styleId="Abbildungsberschrift">
    <w:name w:val="Abbildungsüberschrift"/>
    <w:basedOn w:val="Standard"/>
    <w:next w:val="Standard"/>
    <w:rsid w:val="0062351B"/>
    <w:pPr>
      <w:keepNext/>
      <w:spacing w:before="0" w:after="120"/>
      <w:ind w:left="567"/>
    </w:pPr>
    <w:rPr>
      <w:rFonts w:ascii="Arial" w:hAnsi="Arial"/>
      <w:i/>
      <w:szCs w:val="20"/>
      <w:lang w:val="de-DE" w:eastAsia="de-DE"/>
    </w:rPr>
  </w:style>
  <w:style w:type="paragraph" w:customStyle="1" w:styleId="Zwischentitel">
    <w:name w:val="Zwischentitel"/>
    <w:basedOn w:val="Standard"/>
    <w:next w:val="Standard"/>
    <w:rsid w:val="0062351B"/>
    <w:pPr>
      <w:keepNext/>
      <w:keepLines/>
      <w:spacing w:before="300" w:after="120" w:line="260" w:lineRule="exact"/>
    </w:pPr>
    <w:rPr>
      <w:i/>
      <w:szCs w:val="20"/>
      <w:lang w:val="de-DE" w:eastAsia="de-DE"/>
    </w:rPr>
  </w:style>
  <w:style w:type="paragraph" w:customStyle="1" w:styleId="IHVZeichenvorlage">
    <w:name w:val="_IHV_Zeichenvorlage"/>
    <w:basedOn w:val="Standard"/>
    <w:qFormat/>
    <w:rsid w:val="0062351B"/>
    <w:pPr>
      <w:spacing w:line="300" w:lineRule="atLeast"/>
      <w:ind w:left="567"/>
      <w:contextualSpacing/>
    </w:pPr>
    <w:rPr>
      <w:rFonts w:eastAsia="Calibri"/>
      <w:szCs w:val="22"/>
      <w:lang w:val="ru-RU"/>
    </w:rPr>
  </w:style>
  <w:style w:type="paragraph" w:customStyle="1" w:styleId="btxt">
    <w:name w:val="btxt"/>
    <w:basedOn w:val="Standard"/>
    <w:rsid w:val="0062351B"/>
    <w:pPr>
      <w:spacing w:before="100" w:beforeAutospacing="1" w:after="100" w:afterAutospacing="1"/>
      <w:jc w:val="left"/>
    </w:pPr>
    <w:rPr>
      <w:rFonts w:ascii="Times New Roman" w:hAnsi="Times New Roman"/>
      <w:sz w:val="24"/>
      <w:szCs w:val="24"/>
      <w:lang w:val="de-DE" w:eastAsia="de-DE"/>
    </w:rPr>
  </w:style>
  <w:style w:type="paragraph" w:customStyle="1" w:styleId="SourceCharCharChar">
    <w:name w:val="Source Char Char Char"/>
    <w:basedOn w:val="Standard"/>
    <w:rsid w:val="0062351B"/>
    <w:pPr>
      <w:spacing w:after="120"/>
    </w:pPr>
    <w:rPr>
      <w:rFonts w:eastAsia="Times New Roman"/>
      <w:i/>
      <w:sz w:val="18"/>
    </w:rPr>
  </w:style>
  <w:style w:type="paragraph" w:customStyle="1" w:styleId="Titleoftablesandfigures">
    <w:name w:val="Title of tables and figures"/>
    <w:basedOn w:val="Standard"/>
    <w:rsid w:val="0062351B"/>
    <w:pPr>
      <w:spacing w:after="120"/>
      <w:jc w:val="left"/>
    </w:pPr>
    <w:rPr>
      <w:rFonts w:eastAsia="Times New Roman"/>
      <w:b/>
      <w:bCs/>
      <w:szCs w:val="20"/>
      <w:lang w:val="en-US"/>
    </w:rPr>
  </w:style>
  <w:style w:type="character" w:customStyle="1" w:styleId="searchword">
    <w:name w:val="searchword"/>
    <w:basedOn w:val="Absatz-Standardschriftart"/>
    <w:rsid w:val="0062351B"/>
  </w:style>
  <w:style w:type="character" w:styleId="Hervorhebung">
    <w:name w:val="Emphasis"/>
    <w:uiPriority w:val="20"/>
    <w:qFormat/>
    <w:rsid w:val="0062351B"/>
    <w:rPr>
      <w:i/>
      <w:iCs/>
    </w:rPr>
  </w:style>
  <w:style w:type="paragraph" w:styleId="Listenabsatz">
    <w:name w:val="List Paragraph"/>
    <w:aliases w:val="Bullet Points,Liste Paragraf,Paragraphe de liste PBLH,Graph &amp; Table tite,Aufzählung Spiegelstrich,Titre1,Listenabsatz1,Bullet List Paragraph,List Paragraph1,Level 1 Bullet,Bullet List,Llista Nivell1,Lista de nivel 1,Normal bullet 2"/>
    <w:basedOn w:val="Standard"/>
    <w:link w:val="ListenabsatzZchn"/>
    <w:uiPriority w:val="34"/>
    <w:qFormat/>
    <w:rsid w:val="0062351B"/>
    <w:pPr>
      <w:spacing w:before="0"/>
      <w:ind w:left="720"/>
      <w:contextualSpacing/>
      <w:jc w:val="left"/>
    </w:pPr>
    <w:rPr>
      <w:rFonts w:eastAsia="Calibri"/>
      <w:szCs w:val="22"/>
    </w:rPr>
  </w:style>
  <w:style w:type="paragraph" w:styleId="StandardWeb">
    <w:name w:val="Normal (Web)"/>
    <w:basedOn w:val="Standard"/>
    <w:uiPriority w:val="99"/>
    <w:semiHidden/>
    <w:unhideWhenUsed/>
    <w:rsid w:val="0062351B"/>
    <w:pPr>
      <w:spacing w:before="100" w:beforeAutospacing="1" w:after="100" w:afterAutospacing="1"/>
      <w:jc w:val="left"/>
    </w:pPr>
    <w:rPr>
      <w:rFonts w:ascii="Times New Roman" w:eastAsia="Times New Roman" w:hAnsi="Times New Roman"/>
      <w:sz w:val="24"/>
      <w:szCs w:val="24"/>
      <w:lang w:eastAsia="en-GB"/>
    </w:rPr>
  </w:style>
  <w:style w:type="table" w:styleId="Tabellenraster">
    <w:name w:val="Table Grid"/>
    <w:basedOn w:val="NormaleTabelle"/>
    <w:uiPriority w:val="39"/>
    <w:rsid w:val="006235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lenraster1">
    <w:name w:val="Tabellenraster1"/>
    <w:basedOn w:val="NormaleTabelle"/>
    <w:next w:val="Tabellenraster"/>
    <w:uiPriority w:val="59"/>
    <w:rsid w:val="0062351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g-bodytext">
    <w:name w:val="bog-bodytext"/>
    <w:rsid w:val="0062351B"/>
  </w:style>
  <w:style w:type="character" w:styleId="Kommentarzeichen">
    <w:name w:val="annotation reference"/>
    <w:uiPriority w:val="99"/>
    <w:semiHidden/>
    <w:unhideWhenUsed/>
    <w:rsid w:val="0062351B"/>
    <w:rPr>
      <w:sz w:val="16"/>
      <w:szCs w:val="16"/>
    </w:rPr>
  </w:style>
  <w:style w:type="paragraph" w:styleId="Kommentarthema">
    <w:name w:val="annotation subject"/>
    <w:basedOn w:val="Kommentartext"/>
    <w:next w:val="Kommentartext"/>
    <w:link w:val="KommentarthemaZchn"/>
    <w:uiPriority w:val="99"/>
    <w:semiHidden/>
    <w:unhideWhenUsed/>
    <w:rsid w:val="0062351B"/>
    <w:pPr>
      <w:widowControl/>
      <w:spacing w:line="240" w:lineRule="auto"/>
    </w:pPr>
    <w:rPr>
      <w:b/>
      <w:bCs/>
      <w:sz w:val="20"/>
    </w:rPr>
  </w:style>
  <w:style w:type="character" w:customStyle="1" w:styleId="KommentartextZchn">
    <w:name w:val="Kommentartext Zchn"/>
    <w:link w:val="Kommentartext"/>
    <w:semiHidden/>
    <w:rsid w:val="0062351B"/>
    <w:rPr>
      <w:rFonts w:ascii="Verdana" w:hAnsi="Verdana"/>
      <w:sz w:val="22"/>
      <w:lang w:val="en-GB" w:eastAsia="en-US"/>
    </w:rPr>
  </w:style>
  <w:style w:type="character" w:customStyle="1" w:styleId="KommentarthemaZchn">
    <w:name w:val="Kommentarthema Zchn"/>
    <w:link w:val="Kommentarthema"/>
    <w:uiPriority w:val="99"/>
    <w:semiHidden/>
    <w:rsid w:val="0062351B"/>
    <w:rPr>
      <w:rFonts w:ascii="Verdana" w:hAnsi="Verdana"/>
      <w:b/>
      <w:bCs/>
      <w:sz w:val="22"/>
      <w:lang w:val="en-GB" w:eastAsia="en-US"/>
    </w:rPr>
  </w:style>
  <w:style w:type="paragraph" w:styleId="berarbeitung">
    <w:name w:val="Revision"/>
    <w:hidden/>
    <w:uiPriority w:val="99"/>
    <w:semiHidden/>
    <w:rsid w:val="0062351B"/>
    <w:rPr>
      <w:rFonts w:ascii="Verdana" w:hAnsi="Verdana"/>
      <w:sz w:val="22"/>
      <w:szCs w:val="18"/>
      <w:lang w:val="en-GB" w:eastAsia="en-US"/>
    </w:rPr>
  </w:style>
  <w:style w:type="table" w:styleId="HelleSchattierung-Akzent2">
    <w:name w:val="Light Shading Accent 2"/>
    <w:basedOn w:val="NormaleTabelle"/>
    <w:uiPriority w:val="60"/>
    <w:rsid w:val="0062351B"/>
    <w:rPr>
      <w:rFonts w:ascii="Calibri" w:eastAsia="Calibri" w:hAnsi="Calibri"/>
      <w:color w:val="3D85CF"/>
      <w:sz w:val="22"/>
      <w:szCs w:val="22"/>
      <w:lang w:val="en-GB" w:eastAsia="en-US"/>
    </w:rPr>
    <w:tblPr>
      <w:tblStyleRowBandSize w:val="1"/>
      <w:tblStyleColBandSize w:val="1"/>
      <w:tblBorders>
        <w:top w:val="single" w:sz="8" w:space="0" w:color="86B3E1"/>
        <w:bottom w:val="single" w:sz="8" w:space="0" w:color="86B3E1"/>
      </w:tblBorders>
    </w:tblPr>
    <w:tblStylePr w:type="firstRow">
      <w:pPr>
        <w:spacing w:before="0" w:after="0" w:line="240" w:lineRule="auto"/>
      </w:pPr>
      <w:rPr>
        <w:b/>
        <w:bCs/>
      </w:rPr>
      <w:tblPr/>
      <w:tcPr>
        <w:tcBorders>
          <w:top w:val="single" w:sz="8" w:space="0" w:color="86B3E1"/>
          <w:left w:val="none" w:sz="4" w:space="0" w:color="000000"/>
          <w:bottom w:val="single" w:sz="8" w:space="0" w:color="86B3E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86B3E1"/>
          <w:left w:val="none" w:sz="4" w:space="0" w:color="000000"/>
          <w:bottom w:val="single" w:sz="8" w:space="0" w:color="86B3E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E1ECF7"/>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E1ECF7"/>
      </w:tcPr>
    </w:tblStylePr>
  </w:style>
  <w:style w:type="character" w:customStyle="1" w:styleId="FunotentextZchn">
    <w:name w:val="Fußnotentext Zchn"/>
    <w:link w:val="Funotentext"/>
    <w:rsid w:val="0062351B"/>
    <w:rPr>
      <w:rFonts w:ascii="Calibri" w:hAnsi="Calibri"/>
      <w:color w:val="333333"/>
    </w:rPr>
  </w:style>
  <w:style w:type="character" w:customStyle="1" w:styleId="berschrift2Zchn">
    <w:name w:val="Überschrift 2 Zchn"/>
    <w:link w:val="berschrift2"/>
    <w:rsid w:val="0062351B"/>
    <w:rPr>
      <w:rFonts w:ascii="Calibri" w:hAnsi="Calibri" w:cs="Arial"/>
      <w:b/>
      <w:bCs/>
      <w:iCs/>
      <w:color w:val="104C91"/>
      <w:sz w:val="28"/>
      <w:szCs w:val="28"/>
      <w:lang w:val="en-GB" w:eastAsia="en-US"/>
    </w:rPr>
  </w:style>
  <w:style w:type="character" w:styleId="Seitenzahl">
    <w:name w:val="page number"/>
    <w:basedOn w:val="Absatz-Standardschriftart"/>
    <w:uiPriority w:val="99"/>
    <w:semiHidden/>
    <w:unhideWhenUsed/>
    <w:rsid w:val="0062351B"/>
  </w:style>
  <w:style w:type="paragraph" w:styleId="Inhaltsverzeichnisberschrift">
    <w:name w:val="TOC Heading"/>
    <w:basedOn w:val="Headline"/>
    <w:next w:val="Standard"/>
    <w:uiPriority w:val="39"/>
    <w:unhideWhenUsed/>
    <w:qFormat/>
    <w:rsid w:val="0062351B"/>
    <w:pPr>
      <w:spacing w:before="0" w:after="520"/>
    </w:pPr>
    <w:rPr>
      <w:lang w:val="de-DE"/>
    </w:rPr>
  </w:style>
  <w:style w:type="character" w:customStyle="1" w:styleId="ListenabsatzZchn">
    <w:name w:val="Listenabsatz Zchn"/>
    <w:aliases w:val="Bullet Points Zchn,Liste Paragraf Zchn,Paragraphe de liste PBLH Zchn,Graph &amp; Table tite Zchn,Aufzählung Spiegelstrich Zchn,Titre1 Zchn,Listenabsatz1 Zchn,Bullet List Paragraph Zchn,List Paragraph1 Zchn,Level 1 Bullet Zchn"/>
    <w:link w:val="Listenabsatz"/>
    <w:uiPriority w:val="34"/>
    <w:qFormat/>
    <w:rsid w:val="0062351B"/>
    <w:rPr>
      <w:rFonts w:ascii="Calibri" w:eastAsia="Calibri" w:hAnsi="Calibri"/>
      <w:sz w:val="22"/>
      <w:szCs w:val="22"/>
      <w:lang w:val="en-GB" w:eastAsia="en-US"/>
    </w:rPr>
  </w:style>
  <w:style w:type="character" w:customStyle="1" w:styleId="FuzeileZchn">
    <w:name w:val="Fußzeile Zchn"/>
    <w:link w:val="Fuzeile"/>
    <w:uiPriority w:val="99"/>
    <w:rsid w:val="0062351B"/>
    <w:rPr>
      <w:rFonts w:ascii="Calibri" w:hAnsi="Calibri"/>
      <w:sz w:val="22"/>
      <w:szCs w:val="18"/>
    </w:rPr>
  </w:style>
  <w:style w:type="character" w:customStyle="1" w:styleId="NichtaufgelsteErwhnung1">
    <w:name w:val="Nicht aufgelöste Erwähnung1"/>
    <w:uiPriority w:val="99"/>
    <w:semiHidden/>
    <w:unhideWhenUsed/>
    <w:rsid w:val="0062351B"/>
    <w:rPr>
      <w:color w:val="605E5C"/>
      <w:shd w:val="clear" w:color="auto" w:fill="E1DFDD"/>
    </w:rPr>
  </w:style>
  <w:style w:type="paragraph" w:styleId="Literaturverzeichnis">
    <w:name w:val="Bibliography"/>
    <w:basedOn w:val="Standard"/>
    <w:next w:val="Standard"/>
    <w:uiPriority w:val="37"/>
    <w:unhideWhenUsed/>
    <w:rsid w:val="0062351B"/>
    <w:pPr>
      <w:spacing w:before="20" w:after="20"/>
    </w:pPr>
    <w:rPr>
      <w:sz w:val="20"/>
    </w:rPr>
  </w:style>
  <w:style w:type="table" w:customStyle="1" w:styleId="Gitternetztabelle5dunkelAkzent21">
    <w:name w:val="Gitternetztabelle 5 dunkel  – Akzent 21"/>
    <w:basedOn w:val="NormaleTabelle"/>
    <w:uiPriority w:val="50"/>
    <w:rsid w:val="0062351B"/>
    <w:rPr>
      <w:rFonts w:eastAsia="Times New Roman"/>
    </w:rPr>
    <w:tblPr>
      <w:tblStyleRowBandSize w:val="1"/>
      <w:tblStyleColBandSize w:val="1"/>
      <w:tblBorders>
        <w:top w:val="single" w:sz="4" w:space="0" w:color="FEFFFF"/>
        <w:left w:val="single" w:sz="4" w:space="0" w:color="FEFFFF"/>
        <w:bottom w:val="single" w:sz="4" w:space="0" w:color="FEFFFF"/>
        <w:right w:val="single" w:sz="4" w:space="0" w:color="FEFFFF"/>
        <w:insideH w:val="single" w:sz="4" w:space="0" w:color="FEFFFF"/>
        <w:insideV w:val="single" w:sz="4" w:space="0" w:color="FEFFFF"/>
      </w:tblBorders>
    </w:tblPr>
    <w:tcPr>
      <w:shd w:val="clear" w:color="auto" w:fill="E6EFF9"/>
    </w:tcPr>
    <w:tblStylePr w:type="firstRow">
      <w:rPr>
        <w:b/>
        <w:bCs/>
        <w:color w:val="FEFFFF"/>
      </w:rPr>
      <w:tblPr/>
      <w:tcPr>
        <w:tcBorders>
          <w:top w:val="single" w:sz="4" w:space="0" w:color="FEFFFF"/>
          <w:left w:val="single" w:sz="4" w:space="0" w:color="FEFFFF"/>
          <w:right w:val="single" w:sz="4" w:space="0" w:color="FEFFFF"/>
          <w:insideH w:val="none" w:sz="4" w:space="0" w:color="000000"/>
          <w:insideV w:val="none" w:sz="4" w:space="0" w:color="000000"/>
        </w:tcBorders>
        <w:shd w:val="clear" w:color="auto" w:fill="86B3E1"/>
      </w:tcPr>
    </w:tblStylePr>
    <w:tblStylePr w:type="lastRow">
      <w:rPr>
        <w:b/>
        <w:bCs/>
        <w:color w:val="FEFFFF"/>
      </w:rPr>
      <w:tblPr/>
      <w:tcPr>
        <w:tcBorders>
          <w:left w:val="single" w:sz="4" w:space="0" w:color="FEFFFF"/>
          <w:bottom w:val="single" w:sz="4" w:space="0" w:color="FEFFFF"/>
          <w:right w:val="single" w:sz="4" w:space="0" w:color="FEFFFF"/>
          <w:insideH w:val="none" w:sz="4" w:space="0" w:color="000000"/>
          <w:insideV w:val="none" w:sz="4" w:space="0" w:color="000000"/>
        </w:tcBorders>
        <w:shd w:val="clear" w:color="auto" w:fill="86B3E1"/>
      </w:tcPr>
    </w:tblStylePr>
    <w:tblStylePr w:type="firstCol">
      <w:rPr>
        <w:b/>
        <w:bCs/>
        <w:color w:val="FEFFFF"/>
      </w:rPr>
      <w:tblPr/>
      <w:tcPr>
        <w:tcBorders>
          <w:top w:val="single" w:sz="4" w:space="0" w:color="FEFFFF"/>
          <w:left w:val="single" w:sz="4" w:space="0" w:color="FEFFFF"/>
          <w:bottom w:val="single" w:sz="4" w:space="0" w:color="FEFFFF"/>
          <w:insideV w:val="none" w:sz="4" w:space="0" w:color="000000"/>
        </w:tcBorders>
        <w:shd w:val="clear" w:color="auto" w:fill="86B3E1"/>
      </w:tcPr>
    </w:tblStylePr>
    <w:tblStylePr w:type="lastCol">
      <w:rPr>
        <w:b/>
        <w:bCs/>
        <w:color w:val="FEFFFF"/>
      </w:rPr>
      <w:tblPr/>
      <w:tcPr>
        <w:tcBorders>
          <w:top w:val="single" w:sz="4" w:space="0" w:color="FEFFFF"/>
          <w:bottom w:val="single" w:sz="4" w:space="0" w:color="FEFFFF"/>
          <w:right w:val="single" w:sz="4" w:space="0" w:color="FEFFFF"/>
          <w:insideV w:val="none" w:sz="4" w:space="0" w:color="000000"/>
        </w:tcBorders>
        <w:shd w:val="clear" w:color="auto" w:fill="86B3E1"/>
      </w:tcPr>
    </w:tblStylePr>
    <w:tblStylePr w:type="band1Vert">
      <w:tblPr/>
      <w:tcPr>
        <w:shd w:val="clear" w:color="auto" w:fill="CEE0F3"/>
      </w:tcPr>
    </w:tblStylePr>
    <w:tblStylePr w:type="band1Horz">
      <w:tblPr/>
      <w:tcPr>
        <w:shd w:val="clear" w:color="auto" w:fill="CEE0F3"/>
      </w:tcPr>
    </w:tblStylePr>
  </w:style>
  <w:style w:type="table" w:customStyle="1" w:styleId="Gitternetztabelle5dunkelAkzent11">
    <w:name w:val="Gitternetztabelle 5 dunkel  – Akzent 11"/>
    <w:basedOn w:val="NormaleTabelle"/>
    <w:uiPriority w:val="50"/>
    <w:rsid w:val="0062351B"/>
    <w:tblPr>
      <w:tblStyleRowBandSize w:val="1"/>
      <w:tblStyleColBandSize w:val="1"/>
      <w:tblBorders>
        <w:top w:val="single" w:sz="4" w:space="0" w:color="FEFFFF"/>
        <w:left w:val="single" w:sz="4" w:space="0" w:color="FEFFFF"/>
        <w:bottom w:val="single" w:sz="4" w:space="0" w:color="FEFFFF"/>
        <w:right w:val="single" w:sz="4" w:space="0" w:color="FEFFFF"/>
        <w:insideH w:val="single" w:sz="4" w:space="0" w:color="FEFFFF"/>
        <w:insideV w:val="single" w:sz="4" w:space="0" w:color="FEFFFF"/>
      </w:tblBorders>
    </w:tblPr>
    <w:tcPr>
      <w:shd w:val="clear" w:color="auto" w:fill="BFD9F8"/>
    </w:tcPr>
    <w:tblStylePr w:type="firstRow">
      <w:rPr>
        <w:b/>
        <w:bCs/>
        <w:color w:val="FEFFFF"/>
      </w:rPr>
      <w:tblPr/>
      <w:tcPr>
        <w:tcBorders>
          <w:top w:val="single" w:sz="4" w:space="0" w:color="FEFFFF"/>
          <w:left w:val="single" w:sz="4" w:space="0" w:color="FEFFFF"/>
          <w:right w:val="single" w:sz="4" w:space="0" w:color="FEFFFF"/>
          <w:insideH w:val="none" w:sz="4" w:space="0" w:color="000000"/>
          <w:insideV w:val="none" w:sz="4" w:space="0" w:color="000000"/>
        </w:tcBorders>
        <w:shd w:val="clear" w:color="auto" w:fill="104C91"/>
      </w:tcPr>
    </w:tblStylePr>
    <w:tblStylePr w:type="lastRow">
      <w:rPr>
        <w:b/>
        <w:bCs/>
        <w:color w:val="FEFFFF"/>
      </w:rPr>
      <w:tblPr/>
      <w:tcPr>
        <w:tcBorders>
          <w:left w:val="single" w:sz="4" w:space="0" w:color="FEFFFF"/>
          <w:bottom w:val="single" w:sz="4" w:space="0" w:color="FEFFFF"/>
          <w:right w:val="single" w:sz="4" w:space="0" w:color="FEFFFF"/>
          <w:insideH w:val="none" w:sz="4" w:space="0" w:color="000000"/>
          <w:insideV w:val="none" w:sz="4" w:space="0" w:color="000000"/>
        </w:tcBorders>
        <w:shd w:val="clear" w:color="auto" w:fill="104C91"/>
      </w:tcPr>
    </w:tblStylePr>
    <w:tblStylePr w:type="firstCol">
      <w:rPr>
        <w:b/>
        <w:bCs/>
        <w:color w:val="FEFFFF"/>
      </w:rPr>
      <w:tblPr/>
      <w:tcPr>
        <w:tcBorders>
          <w:top w:val="single" w:sz="4" w:space="0" w:color="FEFFFF"/>
          <w:left w:val="single" w:sz="4" w:space="0" w:color="FEFFFF"/>
          <w:bottom w:val="single" w:sz="4" w:space="0" w:color="FEFFFF"/>
          <w:insideV w:val="none" w:sz="4" w:space="0" w:color="000000"/>
        </w:tcBorders>
        <w:shd w:val="clear" w:color="auto" w:fill="104C91"/>
      </w:tcPr>
    </w:tblStylePr>
    <w:tblStylePr w:type="lastCol">
      <w:rPr>
        <w:b/>
        <w:bCs/>
        <w:color w:val="FEFFFF"/>
      </w:rPr>
      <w:tblPr/>
      <w:tcPr>
        <w:tcBorders>
          <w:top w:val="single" w:sz="4" w:space="0" w:color="FEFFFF"/>
          <w:bottom w:val="single" w:sz="4" w:space="0" w:color="FEFFFF"/>
          <w:right w:val="single" w:sz="4" w:space="0" w:color="FEFFFF"/>
          <w:insideV w:val="none" w:sz="4" w:space="0" w:color="000000"/>
        </w:tcBorders>
        <w:shd w:val="clear" w:color="auto" w:fill="104C91"/>
      </w:tcPr>
    </w:tblStylePr>
    <w:tblStylePr w:type="band1Vert">
      <w:tblPr/>
      <w:tcPr>
        <w:shd w:val="clear" w:color="auto" w:fill="81B4F1"/>
      </w:tcPr>
    </w:tblStylePr>
    <w:tblStylePr w:type="band1Horz">
      <w:tblPr/>
      <w:tcPr>
        <w:shd w:val="clear" w:color="auto" w:fill="81B4F1"/>
      </w:tcPr>
    </w:tblStylePr>
  </w:style>
  <w:style w:type="paragraph" w:customStyle="1" w:styleId="GET">
    <w:name w:val="GET"/>
    <w:basedOn w:val="Inhaltsverzeichnisberschrift"/>
    <w:rsid w:val="0062351B"/>
    <w:rPr>
      <w:b w:val="0"/>
      <w:bCs w:val="0"/>
      <w:sz w:val="24"/>
      <w:szCs w:val="24"/>
    </w:rPr>
  </w:style>
  <w:style w:type="paragraph" w:customStyle="1" w:styleId="Kasten-orange">
    <w:name w:val="_Kasten-orange"/>
    <w:basedOn w:val="Fliesstext"/>
    <w:qFormat/>
    <w:rsid w:val="0062351B"/>
    <w:pPr>
      <w:shd w:val="clear" w:color="auto" w:fill="FCEAD0"/>
      <w:spacing w:after="260" w:line="264" w:lineRule="auto"/>
    </w:pPr>
  </w:style>
  <w:style w:type="character" w:customStyle="1" w:styleId="Verzeichnis1Zchn">
    <w:name w:val="Verzeichnis 1 Zchn"/>
    <w:link w:val="Verzeichnis1"/>
    <w:uiPriority w:val="39"/>
    <w:rsid w:val="0062351B"/>
    <w:rPr>
      <w:rFonts w:ascii="Calibri" w:eastAsia="Times New Roman" w:hAnsi="Calibri" w:cs="Times New Roman"/>
      <w:b/>
      <w:bCs/>
      <w:color w:val="104C91"/>
      <w:szCs w:val="22"/>
      <w:lang w:val="en-GB" w:eastAsia="en-GB"/>
    </w:rPr>
  </w:style>
  <w:style w:type="numbering" w:customStyle="1" w:styleId="AktuelleListe2">
    <w:name w:val="Aktuelle Liste2"/>
    <w:uiPriority w:val="99"/>
    <w:rsid w:val="0062351B"/>
    <w:pPr>
      <w:numPr>
        <w:numId w:val="4"/>
      </w:numPr>
    </w:pPr>
  </w:style>
  <w:style w:type="paragraph" w:customStyle="1" w:styleId="Footy">
    <w:name w:val="Footy"/>
    <w:basedOn w:val="Funotentext"/>
    <w:link w:val="FootyZchn"/>
    <w:qFormat/>
    <w:rsid w:val="0062351B"/>
    <w:pPr>
      <w:spacing w:line="240" w:lineRule="auto"/>
    </w:pPr>
    <w:rPr>
      <w:sz w:val="16"/>
      <w:szCs w:val="18"/>
      <w:lang w:val="en-GB"/>
    </w:rPr>
  </w:style>
  <w:style w:type="character" w:customStyle="1" w:styleId="FootyZchn">
    <w:name w:val="Footy Zchn"/>
    <w:link w:val="Footy"/>
    <w:rsid w:val="0062351B"/>
    <w:rPr>
      <w:rFonts w:ascii="Calibri" w:hAnsi="Calibri"/>
      <w:color w:val="333333"/>
      <w:sz w:val="16"/>
      <w:szCs w:val="18"/>
      <w:lang w:val="en-GB"/>
    </w:rPr>
  </w:style>
  <w:style w:type="paragraph" w:customStyle="1" w:styleId="EinfAbs">
    <w:name w:val="[Einf. Abs.]"/>
    <w:basedOn w:val="Standard"/>
    <w:uiPriority w:val="99"/>
    <w:rsid w:val="0062351B"/>
    <w:pPr>
      <w:spacing w:before="0" w:line="288" w:lineRule="auto"/>
      <w:jc w:val="left"/>
    </w:pPr>
    <w:rPr>
      <w:rFonts w:ascii="minion pro" w:hAnsi="minion pro" w:cs="minion pro"/>
      <w:color w:val="000000"/>
      <w:sz w:val="24"/>
      <w:szCs w:val="24"/>
      <w:lang w:val="de-DE" w:eastAsia="de-DE"/>
    </w:rPr>
  </w:style>
  <w:style w:type="paragraph" w:customStyle="1" w:styleId="Headline-Titel">
    <w:name w:val="_Headline-Titel"/>
    <w:basedOn w:val="EinfAbs"/>
    <w:qFormat/>
    <w:rsid w:val="0062351B"/>
    <w:pPr>
      <w:spacing w:after="140" w:line="240" w:lineRule="auto"/>
    </w:pPr>
    <w:rPr>
      <w:rFonts w:ascii="Calibri" w:hAnsi="Calibri" w:cs="Calibri"/>
      <w:b/>
      <w:bCs/>
      <w:color w:val="104C91"/>
      <w:sz w:val="48"/>
      <w:szCs w:val="48"/>
      <w:lang w:val="en-US"/>
    </w:rPr>
  </w:style>
  <w:style w:type="paragraph" w:customStyle="1" w:styleId="Subhead-Titel">
    <w:name w:val="_Subhead-Titel"/>
    <w:qFormat/>
    <w:rsid w:val="0062351B"/>
    <w:rPr>
      <w:rFonts w:ascii="Calibri Light" w:hAnsi="Calibri Light" w:cs="Calibri Light"/>
      <w:color w:val="343234"/>
      <w:sz w:val="28"/>
      <w:szCs w:val="28"/>
      <w:lang w:val="en-US" w:eastAsia="de-DE"/>
    </w:rPr>
  </w:style>
  <w:style w:type="paragraph" w:customStyle="1" w:styleId="Datum-Titel">
    <w:name w:val="_Datum-Titel"/>
    <w:basedOn w:val="Standard"/>
    <w:qFormat/>
    <w:rsid w:val="0062351B"/>
    <w:pPr>
      <w:spacing w:before="0" w:line="240" w:lineRule="auto"/>
      <w:jc w:val="right"/>
    </w:pPr>
    <w:rPr>
      <w:rFonts w:cs="Calibri"/>
      <w:caps/>
      <w:color w:val="F49B19"/>
      <w:sz w:val="24"/>
      <w:szCs w:val="24"/>
      <w:lang w:val="de-DE" w:eastAsia="de-DE"/>
    </w:rPr>
  </w:style>
  <w:style w:type="paragraph" w:customStyle="1" w:styleId="Fliesstext">
    <w:name w:val="_Fliesstext"/>
    <w:basedOn w:val="Standard"/>
    <w:qFormat/>
    <w:rsid w:val="00E20772"/>
    <w:pPr>
      <w:spacing w:before="260" w:line="260" w:lineRule="atLeast"/>
      <w:jc w:val="left"/>
    </w:pPr>
    <w:rPr>
      <w:rFonts w:cs="calibri light (Überschriften)"/>
      <w:color w:val="333333"/>
      <w:szCs w:val="20"/>
    </w:rPr>
  </w:style>
  <w:style w:type="paragraph" w:customStyle="1" w:styleId="Fliesstext-ohneAbstand">
    <w:name w:val="_Fliesstext-ohneAbstand"/>
    <w:basedOn w:val="Fliesstext"/>
    <w:qFormat/>
    <w:rsid w:val="0062351B"/>
    <w:pPr>
      <w:spacing w:before="0"/>
    </w:pPr>
    <w:rPr>
      <w:lang w:val="en-US" w:eastAsia="de-DE"/>
    </w:rPr>
  </w:style>
  <w:style w:type="paragraph" w:customStyle="1" w:styleId="Copyright-Zeile">
    <w:name w:val="_Copyright-Zeile"/>
    <w:basedOn w:val="Standard"/>
    <w:qFormat/>
    <w:rsid w:val="0062351B"/>
    <w:pPr>
      <w:spacing w:before="0" w:line="240" w:lineRule="auto"/>
      <w:jc w:val="left"/>
    </w:pPr>
    <w:rPr>
      <w:rFonts w:cs="Calibri"/>
      <w:color w:val="104C91"/>
      <w:sz w:val="16"/>
      <w:szCs w:val="16"/>
      <w:lang w:val="en-US" w:eastAsia="de-DE"/>
    </w:rPr>
  </w:style>
  <w:style w:type="numbering" w:customStyle="1" w:styleId="AktuelleListe1">
    <w:name w:val="Aktuelle Liste1"/>
    <w:uiPriority w:val="99"/>
    <w:rsid w:val="0062351B"/>
    <w:pPr>
      <w:numPr>
        <w:numId w:val="2"/>
      </w:numPr>
    </w:pPr>
  </w:style>
  <w:style w:type="character" w:customStyle="1" w:styleId="KopfzeileZchn">
    <w:name w:val="Kopfzeile Zchn"/>
    <w:link w:val="Kopfzeile"/>
    <w:uiPriority w:val="99"/>
    <w:rsid w:val="0062351B"/>
    <w:rPr>
      <w:rFonts w:ascii="Calibri" w:hAnsi="Calibri"/>
      <w:sz w:val="22"/>
      <w:szCs w:val="18"/>
      <w:lang w:val="en-GB" w:eastAsia="en-US"/>
    </w:rPr>
  </w:style>
  <w:style w:type="paragraph" w:customStyle="1" w:styleId="Paginierung">
    <w:name w:val="_Paginierung"/>
    <w:qFormat/>
    <w:rsid w:val="0062351B"/>
    <w:rPr>
      <w:rFonts w:ascii="Calibri" w:hAnsi="Calibri" w:cs="Calibri"/>
      <w:color w:val="F49B19"/>
      <w:sz w:val="18"/>
      <w:szCs w:val="18"/>
      <w:lang w:val="en-GB" w:eastAsia="en-US"/>
    </w:rPr>
  </w:style>
  <w:style w:type="table" w:customStyle="1" w:styleId="Gitternetztabelle4Akzent11">
    <w:name w:val="Gitternetztabelle 4 – Akzent 11"/>
    <w:basedOn w:val="NormaleTabelle"/>
    <w:uiPriority w:val="49"/>
    <w:rsid w:val="0062351B"/>
    <w:tblPr>
      <w:tblStyleRowBandSize w:val="1"/>
      <w:tblStyleColBandSize w:val="1"/>
      <w:tblBorders>
        <w:top w:val="single" w:sz="4" w:space="0" w:color="428FEA"/>
        <w:left w:val="single" w:sz="4" w:space="0" w:color="428FEA"/>
        <w:bottom w:val="single" w:sz="4" w:space="0" w:color="428FEA"/>
        <w:right w:val="single" w:sz="4" w:space="0" w:color="428FEA"/>
        <w:insideH w:val="single" w:sz="4" w:space="0" w:color="428FEA"/>
        <w:insideV w:val="single" w:sz="4" w:space="0" w:color="428FEA"/>
      </w:tblBorders>
    </w:tblPr>
    <w:tblStylePr w:type="firstRow">
      <w:rPr>
        <w:b/>
        <w:bCs/>
        <w:color w:val="FEFFFF"/>
      </w:rPr>
      <w:tblPr/>
      <w:tcPr>
        <w:tcBorders>
          <w:top w:val="single" w:sz="4" w:space="0" w:color="104C91"/>
          <w:left w:val="single" w:sz="4" w:space="0" w:color="104C91"/>
          <w:bottom w:val="single" w:sz="4" w:space="0" w:color="104C91"/>
          <w:right w:val="single" w:sz="4" w:space="0" w:color="104C91"/>
          <w:insideH w:val="none" w:sz="4" w:space="0" w:color="000000"/>
          <w:insideV w:val="none" w:sz="4" w:space="0" w:color="000000"/>
        </w:tcBorders>
        <w:shd w:val="clear" w:color="auto" w:fill="104C91"/>
      </w:tcPr>
    </w:tblStylePr>
    <w:tblStylePr w:type="lastRow">
      <w:rPr>
        <w:b/>
        <w:bCs/>
      </w:rPr>
      <w:tblPr/>
      <w:tcPr>
        <w:tcBorders>
          <w:top w:val="single" w:sz="4" w:space="0" w:color="104C91"/>
        </w:tcBorders>
      </w:tcPr>
    </w:tblStylePr>
    <w:tblStylePr w:type="firstCol">
      <w:rPr>
        <w:b/>
        <w:bCs/>
      </w:rPr>
    </w:tblStylePr>
    <w:tblStylePr w:type="lastCol">
      <w:rPr>
        <w:b/>
        <w:bCs/>
      </w:rPr>
    </w:tblStylePr>
    <w:tblStylePr w:type="band1Vert">
      <w:tblPr/>
      <w:tcPr>
        <w:shd w:val="clear" w:color="auto" w:fill="BFD9F8"/>
      </w:tcPr>
    </w:tblStylePr>
    <w:tblStylePr w:type="band1Horz">
      <w:tblPr/>
      <w:tcPr>
        <w:shd w:val="clear" w:color="auto" w:fill="BFD9F8"/>
      </w:tcPr>
    </w:tblStylePr>
  </w:style>
  <w:style w:type="paragraph" w:customStyle="1" w:styleId="Aufzhlungen">
    <w:name w:val="_Aufzählungen"/>
    <w:basedOn w:val="Fliesstext"/>
    <w:next w:val="Fliesstext"/>
    <w:qFormat/>
    <w:rsid w:val="0062351B"/>
    <w:pPr>
      <w:numPr>
        <w:numId w:val="3"/>
      </w:numPr>
      <w:contextualSpacing/>
    </w:pPr>
    <w:rPr>
      <w:lang w:eastAsia="ja-JP"/>
    </w:rPr>
  </w:style>
  <w:style w:type="paragraph" w:customStyle="1" w:styleId="Hervorhebungen-blau-fett">
    <w:name w:val="_Hervorhebungen-blau-fett"/>
    <w:basedOn w:val="Fliesstext"/>
    <w:next w:val="Fliesstext"/>
    <w:qFormat/>
    <w:rsid w:val="0062351B"/>
    <w:pPr>
      <w:spacing w:line="0" w:lineRule="atLeast"/>
    </w:pPr>
    <w:rPr>
      <w:b/>
      <w:bCs/>
      <w:color w:val="104C91"/>
      <w:lang w:val="en-US" w:eastAsia="de-DE"/>
    </w:rPr>
  </w:style>
  <w:style w:type="paragraph" w:customStyle="1" w:styleId="Headline">
    <w:name w:val="_Headline"/>
    <w:basedOn w:val="Fliesstext"/>
    <w:next w:val="Fliesstext"/>
    <w:qFormat/>
    <w:rsid w:val="0062351B"/>
    <w:rPr>
      <w:rFonts w:cs="Calibri"/>
      <w:b/>
      <w:bCs/>
      <w:color w:val="104C91"/>
      <w:sz w:val="32"/>
      <w:szCs w:val="32"/>
    </w:rPr>
  </w:style>
  <w:style w:type="paragraph" w:customStyle="1" w:styleId="Formatvorlageberschrift1">
    <w:name w:val="Formatvorlage Überschrift 1"/>
    <w:basedOn w:val="berschrift1"/>
    <w:next w:val="Fliesstext"/>
    <w:rsid w:val="0062351B"/>
    <w:rPr>
      <w:bCs/>
      <w:szCs w:val="24"/>
    </w:rPr>
  </w:style>
  <w:style w:type="paragraph" w:customStyle="1" w:styleId="Formatvorlageberschrift">
    <w:name w:val="Formatvorlage Überschrift"/>
    <w:basedOn w:val="berschrift2"/>
    <w:next w:val="Fliesstext"/>
    <w:rsid w:val="0062351B"/>
    <w:rPr>
      <w:rFonts w:cs="Times New Roman"/>
      <w:bCs w:val="0"/>
      <w:iCs w:val="0"/>
    </w:rPr>
  </w:style>
  <w:style w:type="paragraph" w:customStyle="1" w:styleId="Nummerierungen">
    <w:name w:val="_Nummerierungen"/>
    <w:basedOn w:val="Fliesstext"/>
    <w:qFormat/>
    <w:rsid w:val="0062351B"/>
    <w:pPr>
      <w:numPr>
        <w:numId w:val="9"/>
      </w:numPr>
    </w:pPr>
    <w:rPr>
      <w:lang w:val="en-US"/>
    </w:rPr>
  </w:style>
  <w:style w:type="numbering" w:customStyle="1" w:styleId="AktuelleListe3">
    <w:name w:val="Aktuelle Liste3"/>
    <w:uiPriority w:val="99"/>
    <w:rsid w:val="0062351B"/>
    <w:pPr>
      <w:numPr>
        <w:numId w:val="5"/>
      </w:numPr>
    </w:pPr>
  </w:style>
  <w:style w:type="numbering" w:customStyle="1" w:styleId="AktuelleListe4">
    <w:name w:val="Aktuelle Liste4"/>
    <w:uiPriority w:val="99"/>
    <w:rsid w:val="0062351B"/>
    <w:pPr>
      <w:numPr>
        <w:numId w:val="6"/>
      </w:numPr>
    </w:pPr>
  </w:style>
  <w:style w:type="numbering" w:customStyle="1" w:styleId="AktuelleListe5">
    <w:name w:val="Aktuelle Liste5"/>
    <w:uiPriority w:val="99"/>
    <w:rsid w:val="0062351B"/>
    <w:pPr>
      <w:numPr>
        <w:numId w:val="7"/>
      </w:numPr>
    </w:pPr>
  </w:style>
  <w:style w:type="numbering" w:customStyle="1" w:styleId="AktuelleListe6">
    <w:name w:val="Aktuelle Liste6"/>
    <w:uiPriority w:val="99"/>
    <w:rsid w:val="0062351B"/>
    <w:pPr>
      <w:numPr>
        <w:numId w:val="8"/>
      </w:numPr>
    </w:pPr>
  </w:style>
  <w:style w:type="paragraph" w:customStyle="1" w:styleId="Literaturverzeichnis0">
    <w:name w:val="_Literaturverzeichnis"/>
    <w:basedOn w:val="Aufzhlungen"/>
    <w:qFormat/>
    <w:rsid w:val="0062351B"/>
    <w:pPr>
      <w:ind w:left="284"/>
    </w:pPr>
  </w:style>
  <w:style w:type="numbering" w:customStyle="1" w:styleId="AktuelleListe7">
    <w:name w:val="Aktuelle Liste7"/>
    <w:uiPriority w:val="99"/>
    <w:rsid w:val="0062351B"/>
    <w:pPr>
      <w:numPr>
        <w:numId w:val="10"/>
      </w:numPr>
    </w:pPr>
  </w:style>
  <w:style w:type="numbering" w:customStyle="1" w:styleId="AktuelleListe9">
    <w:name w:val="Aktuelle Liste9"/>
    <w:uiPriority w:val="99"/>
    <w:rsid w:val="0062351B"/>
    <w:pPr>
      <w:numPr>
        <w:numId w:val="12"/>
      </w:numPr>
    </w:pPr>
  </w:style>
  <w:style w:type="numbering" w:customStyle="1" w:styleId="AktuelleListe8">
    <w:name w:val="Aktuelle Liste8"/>
    <w:uiPriority w:val="99"/>
    <w:rsid w:val="0062351B"/>
    <w:pPr>
      <w:numPr>
        <w:numId w:val="11"/>
      </w:numPr>
    </w:pPr>
  </w:style>
  <w:style w:type="numbering" w:customStyle="1" w:styleId="AktuelleListe10">
    <w:name w:val="Aktuelle Liste10"/>
    <w:uiPriority w:val="99"/>
    <w:rsid w:val="0062351B"/>
    <w:pPr>
      <w:numPr>
        <w:numId w:val="13"/>
      </w:numPr>
    </w:pPr>
  </w:style>
  <w:style w:type="character" w:customStyle="1" w:styleId="Versalien-bold">
    <w:name w:val="_Versalien-bold"/>
    <w:uiPriority w:val="1"/>
    <w:qFormat/>
    <w:rsid w:val="0062351B"/>
    <w:rPr>
      <w:b/>
      <w:bCs/>
      <w:caps/>
      <w:smallCaps w:val="0"/>
    </w:rPr>
  </w:style>
  <w:style w:type="character" w:customStyle="1" w:styleId="markedcontent">
    <w:name w:val="markedcontent"/>
    <w:basedOn w:val="Absatz-Standardschriftart"/>
    <w:rsid w:val="00AC1274"/>
  </w:style>
  <w:style w:type="paragraph" w:customStyle="1" w:styleId="paragraph">
    <w:name w:val="paragraph"/>
    <w:basedOn w:val="Standard"/>
    <w:rsid w:val="00CC44A2"/>
    <w:pPr>
      <w:spacing w:before="100" w:beforeAutospacing="1" w:after="100" w:afterAutospacing="1" w:line="240" w:lineRule="auto"/>
      <w:jc w:val="left"/>
    </w:pPr>
    <w:rPr>
      <w:rFonts w:ascii="Times New Roman" w:eastAsia="Times New Roman" w:hAnsi="Times New Roman"/>
      <w:sz w:val="24"/>
      <w:szCs w:val="24"/>
      <w:lang w:val="de-DE" w:eastAsia="de-DE"/>
    </w:rPr>
  </w:style>
  <w:style w:type="character" w:customStyle="1" w:styleId="normaltextrun">
    <w:name w:val="normaltextrun"/>
    <w:rsid w:val="00CC44A2"/>
  </w:style>
  <w:style w:type="character" w:customStyle="1" w:styleId="eop">
    <w:name w:val="eop"/>
    <w:rsid w:val="00CC44A2"/>
  </w:style>
  <w:style w:type="character" w:styleId="NichtaufgelsteErwhnung">
    <w:name w:val="Unresolved Mention"/>
    <w:uiPriority w:val="99"/>
    <w:semiHidden/>
    <w:unhideWhenUsed/>
    <w:rsid w:val="006566B2"/>
    <w:rPr>
      <w:color w:val="605E5C"/>
      <w:shd w:val="clear" w:color="auto" w:fill="E1DFDD"/>
    </w:rPr>
  </w:style>
  <w:style w:type="table" w:customStyle="1" w:styleId="Tabellenraster2">
    <w:name w:val="Tabellenraster2"/>
    <w:basedOn w:val="NormaleTabelle"/>
    <w:next w:val="Tabellenraster"/>
    <w:uiPriority w:val="59"/>
    <w:rsid w:val="00057EE7"/>
    <w:rPr>
      <w:rFonts w:asciiTheme="minorHAnsi" w:eastAsiaTheme="minorHAnsi" w:hAnsiTheme="minorHAnsi" w:cstheme="minorBidi"/>
      <w:sz w:val="22"/>
      <w:szCs w:val="22"/>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C97429"/>
    <w:rPr>
      <w:b/>
      <w:bCs/>
    </w:rPr>
  </w:style>
  <w:style w:type="character" w:styleId="BesuchterLink">
    <w:name w:val="FollowedHyperlink"/>
    <w:basedOn w:val="Absatz-Standardschriftart"/>
    <w:uiPriority w:val="99"/>
    <w:semiHidden/>
    <w:unhideWhenUsed/>
    <w:rsid w:val="00495CCE"/>
    <w:rPr>
      <w:color w:val="954F72" w:themeColor="followedHyperlink"/>
      <w:u w:val="single"/>
    </w:rPr>
  </w:style>
  <w:style w:type="character" w:styleId="Erwhnung">
    <w:name w:val="Mention"/>
    <w:basedOn w:val="Absatz-Standardschriftart"/>
    <w:uiPriority w:val="99"/>
    <w:unhideWhenUsed/>
    <w:rsid w:val="005F44A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5703">
      <w:bodyDiv w:val="1"/>
      <w:marLeft w:val="0"/>
      <w:marRight w:val="0"/>
      <w:marTop w:val="0"/>
      <w:marBottom w:val="0"/>
      <w:divBdr>
        <w:top w:val="none" w:sz="0" w:space="0" w:color="auto"/>
        <w:left w:val="none" w:sz="0" w:space="0" w:color="auto"/>
        <w:bottom w:val="none" w:sz="0" w:space="0" w:color="auto"/>
        <w:right w:val="none" w:sz="0" w:space="0" w:color="auto"/>
      </w:divBdr>
    </w:div>
    <w:div w:id="89475275">
      <w:bodyDiv w:val="1"/>
      <w:marLeft w:val="0"/>
      <w:marRight w:val="0"/>
      <w:marTop w:val="0"/>
      <w:marBottom w:val="0"/>
      <w:divBdr>
        <w:top w:val="none" w:sz="0" w:space="0" w:color="auto"/>
        <w:left w:val="none" w:sz="0" w:space="0" w:color="auto"/>
        <w:bottom w:val="none" w:sz="0" w:space="0" w:color="auto"/>
        <w:right w:val="none" w:sz="0" w:space="0" w:color="auto"/>
      </w:divBdr>
    </w:div>
    <w:div w:id="131099721">
      <w:bodyDiv w:val="1"/>
      <w:marLeft w:val="0"/>
      <w:marRight w:val="0"/>
      <w:marTop w:val="0"/>
      <w:marBottom w:val="0"/>
      <w:divBdr>
        <w:top w:val="none" w:sz="0" w:space="0" w:color="auto"/>
        <w:left w:val="none" w:sz="0" w:space="0" w:color="auto"/>
        <w:bottom w:val="none" w:sz="0" w:space="0" w:color="auto"/>
        <w:right w:val="none" w:sz="0" w:space="0" w:color="auto"/>
      </w:divBdr>
    </w:div>
    <w:div w:id="167642441">
      <w:bodyDiv w:val="1"/>
      <w:marLeft w:val="0"/>
      <w:marRight w:val="0"/>
      <w:marTop w:val="0"/>
      <w:marBottom w:val="0"/>
      <w:divBdr>
        <w:top w:val="none" w:sz="0" w:space="0" w:color="auto"/>
        <w:left w:val="none" w:sz="0" w:space="0" w:color="auto"/>
        <w:bottom w:val="none" w:sz="0" w:space="0" w:color="auto"/>
        <w:right w:val="none" w:sz="0" w:space="0" w:color="auto"/>
      </w:divBdr>
    </w:div>
    <w:div w:id="214893542">
      <w:bodyDiv w:val="1"/>
      <w:marLeft w:val="0"/>
      <w:marRight w:val="0"/>
      <w:marTop w:val="0"/>
      <w:marBottom w:val="0"/>
      <w:divBdr>
        <w:top w:val="none" w:sz="0" w:space="0" w:color="auto"/>
        <w:left w:val="none" w:sz="0" w:space="0" w:color="auto"/>
        <w:bottom w:val="none" w:sz="0" w:space="0" w:color="auto"/>
        <w:right w:val="none" w:sz="0" w:space="0" w:color="auto"/>
      </w:divBdr>
    </w:div>
    <w:div w:id="271789156">
      <w:bodyDiv w:val="1"/>
      <w:marLeft w:val="0"/>
      <w:marRight w:val="0"/>
      <w:marTop w:val="0"/>
      <w:marBottom w:val="0"/>
      <w:divBdr>
        <w:top w:val="none" w:sz="0" w:space="0" w:color="auto"/>
        <w:left w:val="none" w:sz="0" w:space="0" w:color="auto"/>
        <w:bottom w:val="none" w:sz="0" w:space="0" w:color="auto"/>
        <w:right w:val="none" w:sz="0" w:space="0" w:color="auto"/>
      </w:divBdr>
    </w:div>
    <w:div w:id="331837608">
      <w:bodyDiv w:val="1"/>
      <w:marLeft w:val="0"/>
      <w:marRight w:val="0"/>
      <w:marTop w:val="0"/>
      <w:marBottom w:val="0"/>
      <w:divBdr>
        <w:top w:val="none" w:sz="0" w:space="0" w:color="auto"/>
        <w:left w:val="none" w:sz="0" w:space="0" w:color="auto"/>
        <w:bottom w:val="none" w:sz="0" w:space="0" w:color="auto"/>
        <w:right w:val="none" w:sz="0" w:space="0" w:color="auto"/>
      </w:divBdr>
    </w:div>
    <w:div w:id="554782796">
      <w:bodyDiv w:val="1"/>
      <w:marLeft w:val="0"/>
      <w:marRight w:val="0"/>
      <w:marTop w:val="0"/>
      <w:marBottom w:val="0"/>
      <w:divBdr>
        <w:top w:val="none" w:sz="0" w:space="0" w:color="auto"/>
        <w:left w:val="none" w:sz="0" w:space="0" w:color="auto"/>
        <w:bottom w:val="none" w:sz="0" w:space="0" w:color="auto"/>
        <w:right w:val="none" w:sz="0" w:space="0" w:color="auto"/>
      </w:divBdr>
    </w:div>
    <w:div w:id="597835367">
      <w:bodyDiv w:val="1"/>
      <w:marLeft w:val="0"/>
      <w:marRight w:val="0"/>
      <w:marTop w:val="0"/>
      <w:marBottom w:val="0"/>
      <w:divBdr>
        <w:top w:val="none" w:sz="0" w:space="0" w:color="auto"/>
        <w:left w:val="none" w:sz="0" w:space="0" w:color="auto"/>
        <w:bottom w:val="none" w:sz="0" w:space="0" w:color="auto"/>
        <w:right w:val="none" w:sz="0" w:space="0" w:color="auto"/>
      </w:divBdr>
    </w:div>
    <w:div w:id="676426093">
      <w:bodyDiv w:val="1"/>
      <w:marLeft w:val="0"/>
      <w:marRight w:val="0"/>
      <w:marTop w:val="0"/>
      <w:marBottom w:val="0"/>
      <w:divBdr>
        <w:top w:val="none" w:sz="0" w:space="0" w:color="auto"/>
        <w:left w:val="none" w:sz="0" w:space="0" w:color="auto"/>
        <w:bottom w:val="none" w:sz="0" w:space="0" w:color="auto"/>
        <w:right w:val="none" w:sz="0" w:space="0" w:color="auto"/>
      </w:divBdr>
    </w:div>
    <w:div w:id="705565875">
      <w:bodyDiv w:val="1"/>
      <w:marLeft w:val="0"/>
      <w:marRight w:val="0"/>
      <w:marTop w:val="0"/>
      <w:marBottom w:val="0"/>
      <w:divBdr>
        <w:top w:val="none" w:sz="0" w:space="0" w:color="auto"/>
        <w:left w:val="none" w:sz="0" w:space="0" w:color="auto"/>
        <w:bottom w:val="none" w:sz="0" w:space="0" w:color="auto"/>
        <w:right w:val="none" w:sz="0" w:space="0" w:color="auto"/>
      </w:divBdr>
      <w:divsChild>
        <w:div w:id="154077886">
          <w:marLeft w:val="0"/>
          <w:marRight w:val="0"/>
          <w:marTop w:val="240"/>
          <w:marBottom w:val="240"/>
          <w:divBdr>
            <w:top w:val="none" w:sz="0" w:space="0" w:color="auto"/>
            <w:left w:val="none" w:sz="0" w:space="0" w:color="auto"/>
            <w:bottom w:val="none" w:sz="0" w:space="0" w:color="auto"/>
            <w:right w:val="none" w:sz="0" w:space="0" w:color="auto"/>
          </w:divBdr>
        </w:div>
        <w:div w:id="555941944">
          <w:marLeft w:val="0"/>
          <w:marRight w:val="0"/>
          <w:marTop w:val="240"/>
          <w:marBottom w:val="240"/>
          <w:divBdr>
            <w:top w:val="none" w:sz="0" w:space="0" w:color="auto"/>
            <w:left w:val="none" w:sz="0" w:space="0" w:color="auto"/>
            <w:bottom w:val="none" w:sz="0" w:space="0" w:color="auto"/>
            <w:right w:val="none" w:sz="0" w:space="0" w:color="auto"/>
          </w:divBdr>
        </w:div>
        <w:div w:id="757409927">
          <w:marLeft w:val="0"/>
          <w:marRight w:val="0"/>
          <w:marTop w:val="0"/>
          <w:marBottom w:val="0"/>
          <w:divBdr>
            <w:top w:val="none" w:sz="0" w:space="0" w:color="auto"/>
            <w:left w:val="none" w:sz="0" w:space="0" w:color="auto"/>
            <w:bottom w:val="none" w:sz="0" w:space="0" w:color="auto"/>
            <w:right w:val="none" w:sz="0" w:space="0" w:color="auto"/>
          </w:divBdr>
        </w:div>
        <w:div w:id="945693499">
          <w:marLeft w:val="0"/>
          <w:marRight w:val="0"/>
          <w:marTop w:val="0"/>
          <w:marBottom w:val="0"/>
          <w:divBdr>
            <w:top w:val="none" w:sz="0" w:space="0" w:color="auto"/>
            <w:left w:val="none" w:sz="0" w:space="0" w:color="auto"/>
            <w:bottom w:val="none" w:sz="0" w:space="0" w:color="auto"/>
            <w:right w:val="none" w:sz="0" w:space="0" w:color="auto"/>
          </w:divBdr>
        </w:div>
        <w:div w:id="1495875649">
          <w:marLeft w:val="0"/>
          <w:marRight w:val="0"/>
          <w:marTop w:val="240"/>
          <w:marBottom w:val="240"/>
          <w:divBdr>
            <w:top w:val="none" w:sz="0" w:space="0" w:color="auto"/>
            <w:left w:val="none" w:sz="0" w:space="0" w:color="auto"/>
            <w:bottom w:val="none" w:sz="0" w:space="0" w:color="auto"/>
            <w:right w:val="none" w:sz="0" w:space="0" w:color="auto"/>
          </w:divBdr>
        </w:div>
        <w:div w:id="1783259394">
          <w:marLeft w:val="0"/>
          <w:marRight w:val="0"/>
          <w:marTop w:val="0"/>
          <w:marBottom w:val="0"/>
          <w:divBdr>
            <w:top w:val="none" w:sz="0" w:space="0" w:color="auto"/>
            <w:left w:val="none" w:sz="0" w:space="0" w:color="auto"/>
            <w:bottom w:val="none" w:sz="0" w:space="0" w:color="auto"/>
            <w:right w:val="none" w:sz="0" w:space="0" w:color="auto"/>
          </w:divBdr>
        </w:div>
      </w:divsChild>
    </w:div>
    <w:div w:id="716054501">
      <w:bodyDiv w:val="1"/>
      <w:marLeft w:val="0"/>
      <w:marRight w:val="0"/>
      <w:marTop w:val="0"/>
      <w:marBottom w:val="0"/>
      <w:divBdr>
        <w:top w:val="none" w:sz="0" w:space="0" w:color="auto"/>
        <w:left w:val="none" w:sz="0" w:space="0" w:color="auto"/>
        <w:bottom w:val="none" w:sz="0" w:space="0" w:color="auto"/>
        <w:right w:val="none" w:sz="0" w:space="0" w:color="auto"/>
      </w:divBdr>
    </w:div>
    <w:div w:id="738409288">
      <w:bodyDiv w:val="1"/>
      <w:marLeft w:val="0"/>
      <w:marRight w:val="0"/>
      <w:marTop w:val="0"/>
      <w:marBottom w:val="0"/>
      <w:divBdr>
        <w:top w:val="none" w:sz="0" w:space="0" w:color="auto"/>
        <w:left w:val="none" w:sz="0" w:space="0" w:color="auto"/>
        <w:bottom w:val="none" w:sz="0" w:space="0" w:color="auto"/>
        <w:right w:val="none" w:sz="0" w:space="0" w:color="auto"/>
      </w:divBdr>
    </w:div>
    <w:div w:id="859510824">
      <w:bodyDiv w:val="1"/>
      <w:marLeft w:val="0"/>
      <w:marRight w:val="0"/>
      <w:marTop w:val="0"/>
      <w:marBottom w:val="0"/>
      <w:divBdr>
        <w:top w:val="none" w:sz="0" w:space="0" w:color="auto"/>
        <w:left w:val="none" w:sz="0" w:space="0" w:color="auto"/>
        <w:bottom w:val="none" w:sz="0" w:space="0" w:color="auto"/>
        <w:right w:val="none" w:sz="0" w:space="0" w:color="auto"/>
      </w:divBdr>
    </w:div>
    <w:div w:id="875384394">
      <w:bodyDiv w:val="1"/>
      <w:marLeft w:val="0"/>
      <w:marRight w:val="0"/>
      <w:marTop w:val="0"/>
      <w:marBottom w:val="0"/>
      <w:divBdr>
        <w:top w:val="none" w:sz="0" w:space="0" w:color="auto"/>
        <w:left w:val="none" w:sz="0" w:space="0" w:color="auto"/>
        <w:bottom w:val="none" w:sz="0" w:space="0" w:color="auto"/>
        <w:right w:val="none" w:sz="0" w:space="0" w:color="auto"/>
      </w:divBdr>
    </w:div>
    <w:div w:id="882518208">
      <w:bodyDiv w:val="1"/>
      <w:marLeft w:val="0"/>
      <w:marRight w:val="0"/>
      <w:marTop w:val="0"/>
      <w:marBottom w:val="0"/>
      <w:divBdr>
        <w:top w:val="none" w:sz="0" w:space="0" w:color="auto"/>
        <w:left w:val="none" w:sz="0" w:space="0" w:color="auto"/>
        <w:bottom w:val="none" w:sz="0" w:space="0" w:color="auto"/>
        <w:right w:val="none" w:sz="0" w:space="0" w:color="auto"/>
      </w:divBdr>
    </w:div>
    <w:div w:id="902566757">
      <w:bodyDiv w:val="1"/>
      <w:marLeft w:val="0"/>
      <w:marRight w:val="0"/>
      <w:marTop w:val="0"/>
      <w:marBottom w:val="0"/>
      <w:divBdr>
        <w:top w:val="none" w:sz="0" w:space="0" w:color="auto"/>
        <w:left w:val="none" w:sz="0" w:space="0" w:color="auto"/>
        <w:bottom w:val="none" w:sz="0" w:space="0" w:color="auto"/>
        <w:right w:val="none" w:sz="0" w:space="0" w:color="auto"/>
      </w:divBdr>
    </w:div>
    <w:div w:id="991829604">
      <w:bodyDiv w:val="1"/>
      <w:marLeft w:val="0"/>
      <w:marRight w:val="0"/>
      <w:marTop w:val="0"/>
      <w:marBottom w:val="0"/>
      <w:divBdr>
        <w:top w:val="none" w:sz="0" w:space="0" w:color="auto"/>
        <w:left w:val="none" w:sz="0" w:space="0" w:color="auto"/>
        <w:bottom w:val="none" w:sz="0" w:space="0" w:color="auto"/>
        <w:right w:val="none" w:sz="0" w:space="0" w:color="auto"/>
      </w:divBdr>
    </w:div>
    <w:div w:id="1182206562">
      <w:bodyDiv w:val="1"/>
      <w:marLeft w:val="0"/>
      <w:marRight w:val="0"/>
      <w:marTop w:val="0"/>
      <w:marBottom w:val="0"/>
      <w:divBdr>
        <w:top w:val="none" w:sz="0" w:space="0" w:color="auto"/>
        <w:left w:val="none" w:sz="0" w:space="0" w:color="auto"/>
        <w:bottom w:val="none" w:sz="0" w:space="0" w:color="auto"/>
        <w:right w:val="none" w:sz="0" w:space="0" w:color="auto"/>
      </w:divBdr>
    </w:div>
    <w:div w:id="1206941204">
      <w:bodyDiv w:val="1"/>
      <w:marLeft w:val="0"/>
      <w:marRight w:val="0"/>
      <w:marTop w:val="0"/>
      <w:marBottom w:val="0"/>
      <w:divBdr>
        <w:top w:val="none" w:sz="0" w:space="0" w:color="auto"/>
        <w:left w:val="none" w:sz="0" w:space="0" w:color="auto"/>
        <w:bottom w:val="none" w:sz="0" w:space="0" w:color="auto"/>
        <w:right w:val="none" w:sz="0" w:space="0" w:color="auto"/>
      </w:divBdr>
    </w:div>
    <w:div w:id="1225870237">
      <w:bodyDiv w:val="1"/>
      <w:marLeft w:val="0"/>
      <w:marRight w:val="0"/>
      <w:marTop w:val="0"/>
      <w:marBottom w:val="0"/>
      <w:divBdr>
        <w:top w:val="none" w:sz="0" w:space="0" w:color="auto"/>
        <w:left w:val="none" w:sz="0" w:space="0" w:color="auto"/>
        <w:bottom w:val="none" w:sz="0" w:space="0" w:color="auto"/>
        <w:right w:val="none" w:sz="0" w:space="0" w:color="auto"/>
      </w:divBdr>
    </w:div>
    <w:div w:id="1279027641">
      <w:bodyDiv w:val="1"/>
      <w:marLeft w:val="0"/>
      <w:marRight w:val="0"/>
      <w:marTop w:val="0"/>
      <w:marBottom w:val="0"/>
      <w:divBdr>
        <w:top w:val="none" w:sz="0" w:space="0" w:color="auto"/>
        <w:left w:val="none" w:sz="0" w:space="0" w:color="auto"/>
        <w:bottom w:val="none" w:sz="0" w:space="0" w:color="auto"/>
        <w:right w:val="none" w:sz="0" w:space="0" w:color="auto"/>
      </w:divBdr>
    </w:div>
    <w:div w:id="1299189938">
      <w:bodyDiv w:val="1"/>
      <w:marLeft w:val="0"/>
      <w:marRight w:val="0"/>
      <w:marTop w:val="0"/>
      <w:marBottom w:val="0"/>
      <w:divBdr>
        <w:top w:val="none" w:sz="0" w:space="0" w:color="auto"/>
        <w:left w:val="none" w:sz="0" w:space="0" w:color="auto"/>
        <w:bottom w:val="none" w:sz="0" w:space="0" w:color="auto"/>
        <w:right w:val="none" w:sz="0" w:space="0" w:color="auto"/>
      </w:divBdr>
    </w:div>
    <w:div w:id="1310094579">
      <w:bodyDiv w:val="1"/>
      <w:marLeft w:val="0"/>
      <w:marRight w:val="0"/>
      <w:marTop w:val="0"/>
      <w:marBottom w:val="0"/>
      <w:divBdr>
        <w:top w:val="none" w:sz="0" w:space="0" w:color="auto"/>
        <w:left w:val="none" w:sz="0" w:space="0" w:color="auto"/>
        <w:bottom w:val="none" w:sz="0" w:space="0" w:color="auto"/>
        <w:right w:val="none" w:sz="0" w:space="0" w:color="auto"/>
      </w:divBdr>
    </w:div>
    <w:div w:id="1366099631">
      <w:bodyDiv w:val="1"/>
      <w:marLeft w:val="0"/>
      <w:marRight w:val="0"/>
      <w:marTop w:val="0"/>
      <w:marBottom w:val="0"/>
      <w:divBdr>
        <w:top w:val="none" w:sz="0" w:space="0" w:color="auto"/>
        <w:left w:val="none" w:sz="0" w:space="0" w:color="auto"/>
        <w:bottom w:val="none" w:sz="0" w:space="0" w:color="auto"/>
        <w:right w:val="none" w:sz="0" w:space="0" w:color="auto"/>
      </w:divBdr>
    </w:div>
    <w:div w:id="1497724977">
      <w:bodyDiv w:val="1"/>
      <w:marLeft w:val="0"/>
      <w:marRight w:val="0"/>
      <w:marTop w:val="0"/>
      <w:marBottom w:val="0"/>
      <w:divBdr>
        <w:top w:val="none" w:sz="0" w:space="0" w:color="auto"/>
        <w:left w:val="none" w:sz="0" w:space="0" w:color="auto"/>
        <w:bottom w:val="none" w:sz="0" w:space="0" w:color="auto"/>
        <w:right w:val="none" w:sz="0" w:space="0" w:color="auto"/>
      </w:divBdr>
    </w:div>
    <w:div w:id="1511329488">
      <w:bodyDiv w:val="1"/>
      <w:marLeft w:val="0"/>
      <w:marRight w:val="0"/>
      <w:marTop w:val="0"/>
      <w:marBottom w:val="0"/>
      <w:divBdr>
        <w:top w:val="none" w:sz="0" w:space="0" w:color="auto"/>
        <w:left w:val="none" w:sz="0" w:space="0" w:color="auto"/>
        <w:bottom w:val="none" w:sz="0" w:space="0" w:color="auto"/>
        <w:right w:val="none" w:sz="0" w:space="0" w:color="auto"/>
      </w:divBdr>
    </w:div>
    <w:div w:id="1513959486">
      <w:bodyDiv w:val="1"/>
      <w:marLeft w:val="0"/>
      <w:marRight w:val="0"/>
      <w:marTop w:val="0"/>
      <w:marBottom w:val="0"/>
      <w:divBdr>
        <w:top w:val="none" w:sz="0" w:space="0" w:color="auto"/>
        <w:left w:val="none" w:sz="0" w:space="0" w:color="auto"/>
        <w:bottom w:val="none" w:sz="0" w:space="0" w:color="auto"/>
        <w:right w:val="none" w:sz="0" w:space="0" w:color="auto"/>
      </w:divBdr>
    </w:div>
    <w:div w:id="1537617915">
      <w:bodyDiv w:val="1"/>
      <w:marLeft w:val="0"/>
      <w:marRight w:val="0"/>
      <w:marTop w:val="0"/>
      <w:marBottom w:val="0"/>
      <w:divBdr>
        <w:top w:val="none" w:sz="0" w:space="0" w:color="auto"/>
        <w:left w:val="none" w:sz="0" w:space="0" w:color="auto"/>
        <w:bottom w:val="none" w:sz="0" w:space="0" w:color="auto"/>
        <w:right w:val="none" w:sz="0" w:space="0" w:color="auto"/>
      </w:divBdr>
    </w:div>
    <w:div w:id="1542593972">
      <w:bodyDiv w:val="1"/>
      <w:marLeft w:val="0"/>
      <w:marRight w:val="0"/>
      <w:marTop w:val="0"/>
      <w:marBottom w:val="0"/>
      <w:divBdr>
        <w:top w:val="none" w:sz="0" w:space="0" w:color="auto"/>
        <w:left w:val="none" w:sz="0" w:space="0" w:color="auto"/>
        <w:bottom w:val="none" w:sz="0" w:space="0" w:color="auto"/>
        <w:right w:val="none" w:sz="0" w:space="0" w:color="auto"/>
      </w:divBdr>
      <w:divsChild>
        <w:div w:id="233439805">
          <w:marLeft w:val="0"/>
          <w:marRight w:val="0"/>
          <w:marTop w:val="0"/>
          <w:marBottom w:val="0"/>
          <w:divBdr>
            <w:top w:val="none" w:sz="0" w:space="0" w:color="auto"/>
            <w:left w:val="none" w:sz="0" w:space="0" w:color="auto"/>
            <w:bottom w:val="none" w:sz="0" w:space="0" w:color="auto"/>
            <w:right w:val="none" w:sz="0" w:space="0" w:color="auto"/>
          </w:divBdr>
        </w:div>
        <w:div w:id="466240846">
          <w:marLeft w:val="0"/>
          <w:marRight w:val="0"/>
          <w:marTop w:val="0"/>
          <w:marBottom w:val="0"/>
          <w:divBdr>
            <w:top w:val="none" w:sz="0" w:space="0" w:color="auto"/>
            <w:left w:val="none" w:sz="0" w:space="0" w:color="auto"/>
            <w:bottom w:val="none" w:sz="0" w:space="0" w:color="auto"/>
            <w:right w:val="none" w:sz="0" w:space="0" w:color="auto"/>
          </w:divBdr>
        </w:div>
        <w:div w:id="795879453">
          <w:marLeft w:val="0"/>
          <w:marRight w:val="0"/>
          <w:marTop w:val="0"/>
          <w:marBottom w:val="0"/>
          <w:divBdr>
            <w:top w:val="none" w:sz="0" w:space="0" w:color="auto"/>
            <w:left w:val="none" w:sz="0" w:space="0" w:color="auto"/>
            <w:bottom w:val="none" w:sz="0" w:space="0" w:color="auto"/>
            <w:right w:val="none" w:sz="0" w:space="0" w:color="auto"/>
          </w:divBdr>
        </w:div>
        <w:div w:id="1559365865">
          <w:marLeft w:val="0"/>
          <w:marRight w:val="0"/>
          <w:marTop w:val="240"/>
          <w:marBottom w:val="240"/>
          <w:divBdr>
            <w:top w:val="none" w:sz="0" w:space="0" w:color="auto"/>
            <w:left w:val="none" w:sz="0" w:space="0" w:color="auto"/>
            <w:bottom w:val="none" w:sz="0" w:space="0" w:color="auto"/>
            <w:right w:val="none" w:sz="0" w:space="0" w:color="auto"/>
          </w:divBdr>
        </w:div>
        <w:div w:id="1845823019">
          <w:marLeft w:val="0"/>
          <w:marRight w:val="0"/>
          <w:marTop w:val="240"/>
          <w:marBottom w:val="240"/>
          <w:divBdr>
            <w:top w:val="none" w:sz="0" w:space="0" w:color="auto"/>
            <w:left w:val="none" w:sz="0" w:space="0" w:color="auto"/>
            <w:bottom w:val="none" w:sz="0" w:space="0" w:color="auto"/>
            <w:right w:val="none" w:sz="0" w:space="0" w:color="auto"/>
          </w:divBdr>
        </w:div>
        <w:div w:id="1979412298">
          <w:marLeft w:val="0"/>
          <w:marRight w:val="0"/>
          <w:marTop w:val="240"/>
          <w:marBottom w:val="240"/>
          <w:divBdr>
            <w:top w:val="none" w:sz="0" w:space="0" w:color="auto"/>
            <w:left w:val="none" w:sz="0" w:space="0" w:color="auto"/>
            <w:bottom w:val="none" w:sz="0" w:space="0" w:color="auto"/>
            <w:right w:val="none" w:sz="0" w:space="0" w:color="auto"/>
          </w:divBdr>
        </w:div>
      </w:divsChild>
    </w:div>
    <w:div w:id="1558784006">
      <w:bodyDiv w:val="1"/>
      <w:marLeft w:val="0"/>
      <w:marRight w:val="0"/>
      <w:marTop w:val="0"/>
      <w:marBottom w:val="0"/>
      <w:divBdr>
        <w:top w:val="none" w:sz="0" w:space="0" w:color="auto"/>
        <w:left w:val="none" w:sz="0" w:space="0" w:color="auto"/>
        <w:bottom w:val="none" w:sz="0" w:space="0" w:color="auto"/>
        <w:right w:val="none" w:sz="0" w:space="0" w:color="auto"/>
      </w:divBdr>
    </w:div>
    <w:div w:id="1611014293">
      <w:bodyDiv w:val="1"/>
      <w:marLeft w:val="0"/>
      <w:marRight w:val="0"/>
      <w:marTop w:val="0"/>
      <w:marBottom w:val="0"/>
      <w:divBdr>
        <w:top w:val="none" w:sz="0" w:space="0" w:color="auto"/>
        <w:left w:val="none" w:sz="0" w:space="0" w:color="auto"/>
        <w:bottom w:val="none" w:sz="0" w:space="0" w:color="auto"/>
        <w:right w:val="none" w:sz="0" w:space="0" w:color="auto"/>
      </w:divBdr>
      <w:divsChild>
        <w:div w:id="2004698026">
          <w:marLeft w:val="0"/>
          <w:marRight w:val="0"/>
          <w:marTop w:val="0"/>
          <w:marBottom w:val="0"/>
          <w:divBdr>
            <w:top w:val="none" w:sz="0" w:space="0" w:color="auto"/>
            <w:left w:val="none" w:sz="0" w:space="0" w:color="auto"/>
            <w:bottom w:val="none" w:sz="0" w:space="0" w:color="auto"/>
            <w:right w:val="none" w:sz="0" w:space="0" w:color="auto"/>
          </w:divBdr>
          <w:divsChild>
            <w:div w:id="1098788754">
              <w:marLeft w:val="0"/>
              <w:marRight w:val="0"/>
              <w:marTop w:val="0"/>
              <w:marBottom w:val="0"/>
              <w:divBdr>
                <w:top w:val="none" w:sz="0" w:space="0" w:color="auto"/>
                <w:left w:val="none" w:sz="0" w:space="0" w:color="auto"/>
                <w:bottom w:val="none" w:sz="0" w:space="0" w:color="auto"/>
                <w:right w:val="none" w:sz="0" w:space="0" w:color="auto"/>
              </w:divBdr>
              <w:divsChild>
                <w:div w:id="816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048062">
      <w:bodyDiv w:val="1"/>
      <w:marLeft w:val="0"/>
      <w:marRight w:val="0"/>
      <w:marTop w:val="0"/>
      <w:marBottom w:val="0"/>
      <w:divBdr>
        <w:top w:val="none" w:sz="0" w:space="0" w:color="auto"/>
        <w:left w:val="none" w:sz="0" w:space="0" w:color="auto"/>
        <w:bottom w:val="none" w:sz="0" w:space="0" w:color="auto"/>
        <w:right w:val="none" w:sz="0" w:space="0" w:color="auto"/>
      </w:divBdr>
    </w:div>
    <w:div w:id="1685739925">
      <w:bodyDiv w:val="1"/>
      <w:marLeft w:val="0"/>
      <w:marRight w:val="0"/>
      <w:marTop w:val="0"/>
      <w:marBottom w:val="0"/>
      <w:divBdr>
        <w:top w:val="none" w:sz="0" w:space="0" w:color="auto"/>
        <w:left w:val="none" w:sz="0" w:space="0" w:color="auto"/>
        <w:bottom w:val="none" w:sz="0" w:space="0" w:color="auto"/>
        <w:right w:val="none" w:sz="0" w:space="0" w:color="auto"/>
      </w:divBdr>
    </w:div>
    <w:div w:id="1733188647">
      <w:bodyDiv w:val="1"/>
      <w:marLeft w:val="0"/>
      <w:marRight w:val="0"/>
      <w:marTop w:val="0"/>
      <w:marBottom w:val="0"/>
      <w:divBdr>
        <w:top w:val="none" w:sz="0" w:space="0" w:color="auto"/>
        <w:left w:val="none" w:sz="0" w:space="0" w:color="auto"/>
        <w:bottom w:val="none" w:sz="0" w:space="0" w:color="auto"/>
        <w:right w:val="none" w:sz="0" w:space="0" w:color="auto"/>
      </w:divBdr>
    </w:div>
    <w:div w:id="1830632960">
      <w:bodyDiv w:val="1"/>
      <w:marLeft w:val="0"/>
      <w:marRight w:val="0"/>
      <w:marTop w:val="0"/>
      <w:marBottom w:val="0"/>
      <w:divBdr>
        <w:top w:val="none" w:sz="0" w:space="0" w:color="auto"/>
        <w:left w:val="none" w:sz="0" w:space="0" w:color="auto"/>
        <w:bottom w:val="none" w:sz="0" w:space="0" w:color="auto"/>
        <w:right w:val="none" w:sz="0" w:space="0" w:color="auto"/>
      </w:divBdr>
    </w:div>
    <w:div w:id="1836450750">
      <w:bodyDiv w:val="1"/>
      <w:marLeft w:val="0"/>
      <w:marRight w:val="0"/>
      <w:marTop w:val="0"/>
      <w:marBottom w:val="0"/>
      <w:divBdr>
        <w:top w:val="none" w:sz="0" w:space="0" w:color="auto"/>
        <w:left w:val="none" w:sz="0" w:space="0" w:color="auto"/>
        <w:bottom w:val="none" w:sz="0" w:space="0" w:color="auto"/>
        <w:right w:val="none" w:sz="0" w:space="0" w:color="auto"/>
      </w:divBdr>
    </w:div>
    <w:div w:id="1883595989">
      <w:bodyDiv w:val="1"/>
      <w:marLeft w:val="0"/>
      <w:marRight w:val="0"/>
      <w:marTop w:val="0"/>
      <w:marBottom w:val="0"/>
      <w:divBdr>
        <w:top w:val="none" w:sz="0" w:space="0" w:color="auto"/>
        <w:left w:val="none" w:sz="0" w:space="0" w:color="auto"/>
        <w:bottom w:val="none" w:sz="0" w:space="0" w:color="auto"/>
        <w:right w:val="none" w:sz="0" w:space="0" w:color="auto"/>
      </w:divBdr>
    </w:div>
    <w:div w:id="1894543456">
      <w:bodyDiv w:val="1"/>
      <w:marLeft w:val="0"/>
      <w:marRight w:val="0"/>
      <w:marTop w:val="0"/>
      <w:marBottom w:val="0"/>
      <w:divBdr>
        <w:top w:val="none" w:sz="0" w:space="0" w:color="auto"/>
        <w:left w:val="none" w:sz="0" w:space="0" w:color="auto"/>
        <w:bottom w:val="none" w:sz="0" w:space="0" w:color="auto"/>
        <w:right w:val="none" w:sz="0" w:space="0" w:color="auto"/>
      </w:divBdr>
    </w:div>
    <w:div w:id="1917199644">
      <w:bodyDiv w:val="1"/>
      <w:marLeft w:val="0"/>
      <w:marRight w:val="0"/>
      <w:marTop w:val="0"/>
      <w:marBottom w:val="0"/>
      <w:divBdr>
        <w:top w:val="none" w:sz="0" w:space="0" w:color="auto"/>
        <w:left w:val="none" w:sz="0" w:space="0" w:color="auto"/>
        <w:bottom w:val="none" w:sz="0" w:space="0" w:color="auto"/>
        <w:right w:val="none" w:sz="0" w:space="0" w:color="auto"/>
      </w:divBdr>
    </w:div>
    <w:div w:id="1946377710">
      <w:bodyDiv w:val="1"/>
      <w:marLeft w:val="0"/>
      <w:marRight w:val="0"/>
      <w:marTop w:val="0"/>
      <w:marBottom w:val="0"/>
      <w:divBdr>
        <w:top w:val="none" w:sz="0" w:space="0" w:color="auto"/>
        <w:left w:val="none" w:sz="0" w:space="0" w:color="auto"/>
        <w:bottom w:val="none" w:sz="0" w:space="0" w:color="auto"/>
        <w:right w:val="none" w:sz="0" w:space="0" w:color="auto"/>
      </w:divBdr>
    </w:div>
    <w:div w:id="2071079085">
      <w:bodyDiv w:val="1"/>
      <w:marLeft w:val="0"/>
      <w:marRight w:val="0"/>
      <w:marTop w:val="0"/>
      <w:marBottom w:val="0"/>
      <w:divBdr>
        <w:top w:val="none" w:sz="0" w:space="0" w:color="auto"/>
        <w:left w:val="none" w:sz="0" w:space="0" w:color="auto"/>
        <w:bottom w:val="none" w:sz="0" w:space="0" w:color="auto"/>
        <w:right w:val="none" w:sz="0" w:space="0" w:color="auto"/>
      </w:divBdr>
    </w:div>
    <w:div w:id="2092848686">
      <w:bodyDiv w:val="1"/>
      <w:marLeft w:val="0"/>
      <w:marRight w:val="0"/>
      <w:marTop w:val="0"/>
      <w:marBottom w:val="0"/>
      <w:divBdr>
        <w:top w:val="none" w:sz="0" w:space="0" w:color="auto"/>
        <w:left w:val="none" w:sz="0" w:space="0" w:color="auto"/>
        <w:bottom w:val="none" w:sz="0" w:space="0" w:color="auto"/>
        <w:right w:val="none" w:sz="0" w:space="0" w:color="auto"/>
      </w:divBdr>
    </w:div>
    <w:div w:id="2136096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walter@berlin-economics.com" TargetMode="External"/><Relationship Id="rId18" Type="http://schemas.openxmlformats.org/officeDocument/2006/relationships/chart" Target="charts/chart2.xml"/><Relationship Id="rId26" Type="http://schemas.openxmlformats.org/officeDocument/2006/relationships/chart" Target="charts/chart5.xml"/><Relationship Id="rId39" Type="http://schemas.openxmlformats.org/officeDocument/2006/relationships/image" Target="media/image12.png"/><Relationship Id="rId21" Type="http://schemas.openxmlformats.org/officeDocument/2006/relationships/diagramData" Target="diagrams/data1.xm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hart" Target="charts/chart4.xml"/><Relationship Id="rId29" Type="http://schemas.openxmlformats.org/officeDocument/2006/relationships/chart" Target="charts/chart7.xm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diagramColors" Target="diagrams/colors1.xml"/><Relationship Id="rId32" Type="http://schemas.openxmlformats.org/officeDocument/2006/relationships/image" Target="media/image7.png"/><Relationship Id="rId37" Type="http://schemas.openxmlformats.org/officeDocument/2006/relationships/chart" Target="charts/chart9.xml"/><Relationship Id="rId40" Type="http://schemas.openxmlformats.org/officeDocument/2006/relationships/chart" Target="charts/chart10.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diagramQuickStyle" Target="diagrams/quickStyle1.xml"/><Relationship Id="rId28" Type="http://schemas.openxmlformats.org/officeDocument/2006/relationships/chart" Target="charts/chart6.xml"/><Relationship Id="rId36" Type="http://schemas.openxmlformats.org/officeDocument/2006/relationships/chart" Target="charts/chart8.xml"/><Relationship Id="rId10" Type="http://schemas.openxmlformats.org/officeDocument/2006/relationships/endnotes" Target="endnotes.xml"/><Relationship Id="rId19" Type="http://schemas.openxmlformats.org/officeDocument/2006/relationships/chart" Target="charts/chart3.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diagramLayout" Target="diagrams/layout1.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hart" Target="charts/chart1.xml"/><Relationship Id="rId25" Type="http://schemas.microsoft.com/office/2007/relationships/diagramDrawing" Target="diagrams/drawing1.xml"/><Relationship Id="rId33" Type="http://schemas.openxmlformats.org/officeDocument/2006/relationships/image" Target="media/image8.png"/><Relationship Id="rId38"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sei.org/tools/leap-long-range-energy-alternatives-planning-system/" TargetMode="External"/><Relationship Id="rId2" Type="http://schemas.openxmlformats.org/officeDocument/2006/relationships/hyperlink" Target="https://lex.uz/uz/docs/6624455" TargetMode="External"/><Relationship Id="rId1" Type="http://schemas.openxmlformats.org/officeDocument/2006/relationships/hyperlink" Target="https://lex.uz/ru/pdfs/6609144" TargetMode="External"/><Relationship Id="rId6" Type="http://schemas.openxmlformats.org/officeDocument/2006/relationships/hyperlink" Target="https://het.uz/uploads/e2dff98e-6eb9-2c89-3ff6-2bc23943bbe7_media_.pdf" TargetMode="External"/><Relationship Id="rId5" Type="http://schemas.openxmlformats.org/officeDocument/2006/relationships/hyperlink" Target="https://www.iea.org/countries/uzbekistan/electricity" TargetMode="External"/><Relationship Id="rId4" Type="http://schemas.openxmlformats.org/officeDocument/2006/relationships/hyperlink" Target="https://www.reuters.com/article/us-uzbekistan-economy-idUSKBN1EG24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https://oucarv.sharepoint.com/sites/LCU/Freigegebene%20Dokumente/General/02_GET%20P301/02_GET%20Uzbekistan/PS_01_2024_Electricity%20Demand%20Forecast/input_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https://oucarv.sharepoint.com/sites/LCU/Freigegebene%20Dokumente/General/02_GET%20P301/02_GET%20Uzbekistan/PS_01_2024_Electricity%20Demand%20Forecast/data_raw/tariff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oucarv.sharepoint.com/sites/LCU/Freigegebene%20Dokumente/General/02_GET%20P301/02_GET%20Uzbekistan/PS_01_2024_Electricity%20Demand%20Forecast/input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oucarv.sharepoint.com/sites/LCU/Freigegebene%20Dokumente/General/02_GET%20P301/02_GET%20Uzbekistan/PS_01_2024_Electricity%20Demand%20Forecast/input_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oucarv.sharepoint.com/sites/LCU/Freigegebene%20Dokumente/General/02_GET%20P301/02_GET%20Uzbekistan/PS_01_2024_Electricity%20Demand%20Forecast/input_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https://oucarv.sharepoint.com/sites/LCU/Freigegebene%20Dokumente/General/02_GET%20P301/02_GET%20Uzbekistan/PS_01_2024_Electricity%20Demand%20Forecast/output_data.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https://oucarv.sharepoint.com/sites/LCU/Freigegebene%20Dokumente/General/02_GET%20P301/02_GET%20Uzbekistan/PS_01_2024_Electricity%20Demand%20Forecast/output_data.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https://oucarv.sharepoint.com/sites/LCU/Freigegebene%20Dokumente/General/02_GET%20P301/02_GET%20Uzbekistan/PS_01_2024_Electricity%20Demand%20Forecast/output_data.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https://oucarv.sharepoint.com/sites/LCU/Freigegebene%20Dokumente/General/02_GET%20P301/02_GET%20Uzbekistan/PS_01_2024_Electricity%20Demand%20Forecast/input_data.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https://oucarv.sharepoint.com/sites/LCU/Freigegebene%20Dokumente/General/02_GET%20P301/02_GET%20Uzbekistan/PS_01_2024_Electricity%20Demand%20Forecast/input_dat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513951106848353E-2"/>
          <c:y val="3.7099544677762948E-2"/>
          <c:w val="0.84470755633400518"/>
          <c:h val="0.81598953578200717"/>
        </c:manualLayout>
      </c:layout>
      <c:barChart>
        <c:barDir val="col"/>
        <c:grouping val="clustered"/>
        <c:varyColors val="0"/>
        <c:ser>
          <c:idx val="0"/>
          <c:order val="0"/>
          <c:tx>
            <c:strRef>
              <c:f>[input_data.xlsx]CHARTS!$B$1</c:f>
              <c:strCache>
                <c:ptCount val="1"/>
                <c:pt idx="0">
                  <c:v> GDP </c:v>
                </c:pt>
              </c:strCache>
            </c:strRef>
          </c:tx>
          <c:spPr>
            <a:solidFill>
              <a:srgbClr val="104C91"/>
            </a:solidFill>
            <a:ln>
              <a:noFill/>
            </a:ln>
            <a:effectLst/>
          </c:spPr>
          <c:invertIfNegative val="0"/>
          <c:cat>
            <c:numRef>
              <c:f>[input_data.xlsx]CHARTS!$A$2:$A$25</c:f>
              <c:numCache>
                <c:formatCode>General</c:formatCode>
                <c:ptCount val="2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numCache>
            </c:numRef>
          </c:cat>
          <c:val>
            <c:numRef>
              <c:f>[input_data.xlsx]CHARTS!$B$2:$B$25</c:f>
              <c:numCache>
                <c:formatCode>_(* #,##0.00_);_(* \(#,##0.00\);_(* "-"??_);_(@_)</c:formatCode>
                <c:ptCount val="24"/>
                <c:pt idx="0">
                  <c:v>175290300000000</c:v>
                </c:pt>
                <c:pt idx="1">
                  <c:v>182652492000000</c:v>
                </c:pt>
                <c:pt idx="2">
                  <c:v>189958592000000</c:v>
                </c:pt>
                <c:pt idx="3">
                  <c:v>197936853000000</c:v>
                </c:pt>
                <c:pt idx="4">
                  <c:v>212584180000000</c:v>
                </c:pt>
                <c:pt idx="5">
                  <c:v>227465073000000</c:v>
                </c:pt>
                <c:pt idx="6">
                  <c:v>244524953000000</c:v>
                </c:pt>
                <c:pt idx="7">
                  <c:v>267754824000000.03</c:v>
                </c:pt>
                <c:pt idx="8">
                  <c:v>291852758000000</c:v>
                </c:pt>
                <c:pt idx="9">
                  <c:v>315492831000000</c:v>
                </c:pt>
                <c:pt idx="10">
                  <c:v>337873683000000</c:v>
                </c:pt>
                <c:pt idx="11">
                  <c:v>363299150000000</c:v>
                </c:pt>
                <c:pt idx="12">
                  <c:v>389102272000000</c:v>
                </c:pt>
                <c:pt idx="13">
                  <c:v>417493315000000</c:v>
                </c:pt>
                <c:pt idx="14">
                  <c:v>446191131000000</c:v>
                </c:pt>
                <c:pt idx="15">
                  <c:v>478400658000000</c:v>
                </c:pt>
                <c:pt idx="16">
                  <c:v>506780107000000</c:v>
                </c:pt>
                <c:pt idx="17">
                  <c:v>529054484000000.06</c:v>
                </c:pt>
                <c:pt idx="18">
                  <c:v>560161528000000.06</c:v>
                </c:pt>
                <c:pt idx="19">
                  <c:v>593667777000000</c:v>
                </c:pt>
                <c:pt idx="20">
                  <c:v>605514900000000</c:v>
                </c:pt>
                <c:pt idx="21">
                  <c:v>650343400000000</c:v>
                </c:pt>
                <c:pt idx="22">
                  <c:v>687240233000000</c:v>
                </c:pt>
                <c:pt idx="23">
                  <c:v>728398786000000</c:v>
                </c:pt>
              </c:numCache>
            </c:numRef>
          </c:val>
          <c:extLst>
            <c:ext xmlns:c16="http://schemas.microsoft.com/office/drawing/2014/chart" uri="{C3380CC4-5D6E-409C-BE32-E72D297353CC}">
              <c16:uniqueId val="{00000000-3AC2-49A6-A211-8B2C3025E9C9}"/>
            </c:ext>
          </c:extLst>
        </c:ser>
        <c:dLbls>
          <c:showLegendKey val="0"/>
          <c:showVal val="0"/>
          <c:showCatName val="0"/>
          <c:showSerName val="0"/>
          <c:showPercent val="0"/>
          <c:showBubbleSize val="0"/>
        </c:dLbls>
        <c:gapWidth val="150"/>
        <c:axId val="674550127"/>
        <c:axId val="674552527"/>
      </c:barChart>
      <c:lineChart>
        <c:grouping val="standard"/>
        <c:varyColors val="0"/>
        <c:ser>
          <c:idx val="1"/>
          <c:order val="1"/>
          <c:tx>
            <c:strRef>
              <c:f>[input_data.xlsx]CHARTS!$C$1</c:f>
              <c:strCache>
                <c:ptCount val="1"/>
                <c:pt idx="0">
                  <c:v>GDP growth (rhs)</c:v>
                </c:pt>
              </c:strCache>
            </c:strRef>
          </c:tx>
          <c:spPr>
            <a:ln w="25400" cap="rnd">
              <a:solidFill>
                <a:srgbClr val="F49B19"/>
              </a:solidFill>
              <a:round/>
            </a:ln>
            <a:effectLst/>
          </c:spPr>
          <c:marker>
            <c:symbol val="none"/>
          </c:marker>
          <c:cat>
            <c:numRef>
              <c:f>[input_data.xlsx]CHARTS!$A$2:$A$25</c:f>
              <c:numCache>
                <c:formatCode>General</c:formatCode>
                <c:ptCount val="2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numCache>
            </c:numRef>
          </c:cat>
          <c:val>
            <c:numRef>
              <c:f>[input_data.xlsx]CHARTS!$C$2:$C$25</c:f>
              <c:numCache>
                <c:formatCode>0.00%</c:formatCode>
                <c:ptCount val="24"/>
                <c:pt idx="0">
                  <c:v>3.7999999999999999E-2</c:v>
                </c:pt>
                <c:pt idx="1">
                  <c:v>4.2000000000000003E-2</c:v>
                </c:pt>
                <c:pt idx="2">
                  <c:v>0.04</c:v>
                </c:pt>
                <c:pt idx="3">
                  <c:v>4.2000000000000003E-2</c:v>
                </c:pt>
                <c:pt idx="4">
                  <c:v>7.400000000000001E-2</c:v>
                </c:pt>
                <c:pt idx="5">
                  <c:v>7.0000000000000007E-2</c:v>
                </c:pt>
                <c:pt idx="6">
                  <c:v>7.4999999999999997E-2</c:v>
                </c:pt>
                <c:pt idx="7">
                  <c:v>9.5000000000000001E-2</c:v>
                </c:pt>
                <c:pt idx="8">
                  <c:v>0.09</c:v>
                </c:pt>
                <c:pt idx="9">
                  <c:v>8.1000000000000003E-2</c:v>
                </c:pt>
                <c:pt idx="10">
                  <c:v>7.0940000000000003E-2</c:v>
                </c:pt>
                <c:pt idx="11">
                  <c:v>7.5249999999999997E-2</c:v>
                </c:pt>
                <c:pt idx="12">
                  <c:v>7.102E-2</c:v>
                </c:pt>
                <c:pt idx="13">
                  <c:v>7.2969999999999993E-2</c:v>
                </c:pt>
                <c:pt idx="14">
                  <c:v>6.8739999999999996E-2</c:v>
                </c:pt>
                <c:pt idx="15">
                  <c:v>7.2190000000000004E-2</c:v>
                </c:pt>
                <c:pt idx="16">
                  <c:v>5.9320000000000005E-2</c:v>
                </c:pt>
                <c:pt idx="17">
                  <c:v>4.3949999999999996E-2</c:v>
                </c:pt>
                <c:pt idx="18">
                  <c:v>5.8799999999999998E-2</c:v>
                </c:pt>
                <c:pt idx="19">
                  <c:v>5.9820000000000005E-2</c:v>
                </c:pt>
                <c:pt idx="20">
                  <c:v>1.9959999999999999E-2</c:v>
                </c:pt>
                <c:pt idx="21">
                  <c:v>7.4029999999999999E-2</c:v>
                </c:pt>
                <c:pt idx="22">
                  <c:v>5.6730000000000003E-2</c:v>
                </c:pt>
                <c:pt idx="23">
                  <c:v>5.9889999999999999E-2</c:v>
                </c:pt>
              </c:numCache>
            </c:numRef>
          </c:val>
          <c:smooth val="0"/>
          <c:extLst>
            <c:ext xmlns:c16="http://schemas.microsoft.com/office/drawing/2014/chart" uri="{C3380CC4-5D6E-409C-BE32-E72D297353CC}">
              <c16:uniqueId val="{00000001-3AC2-49A6-A211-8B2C3025E9C9}"/>
            </c:ext>
          </c:extLst>
        </c:ser>
        <c:dLbls>
          <c:showLegendKey val="0"/>
          <c:showVal val="0"/>
          <c:showCatName val="0"/>
          <c:showSerName val="0"/>
          <c:showPercent val="0"/>
          <c:showBubbleSize val="0"/>
        </c:dLbls>
        <c:marker val="1"/>
        <c:smooth val="0"/>
        <c:axId val="677875295"/>
        <c:axId val="1298252208"/>
      </c:lineChart>
      <c:dateAx>
        <c:axId val="674550127"/>
        <c:scaling>
          <c:orientation val="minMax"/>
        </c:scaling>
        <c:delete val="0"/>
        <c:axPos val="b"/>
        <c:numFmt formatCode="General" sourceLinked="1"/>
        <c:majorTickMark val="none"/>
        <c:minorTickMark val="none"/>
        <c:tickLblPos val="nextTo"/>
        <c:spPr>
          <a:noFill/>
          <a:ln w="9525" cap="flat" cmpd="sng" algn="ctr">
            <a:solidFill>
              <a:srgbClr val="7A7A7A"/>
            </a:solidFill>
            <a:round/>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674552527"/>
        <c:crosses val="autoZero"/>
        <c:auto val="0"/>
        <c:lblOffset val="100"/>
        <c:baseTimeUnit val="days"/>
        <c:majorUnit val="5"/>
        <c:majorTimeUnit val="days"/>
      </c:dateAx>
      <c:valAx>
        <c:axId val="674552527"/>
        <c:scaling>
          <c:orientation val="minMax"/>
        </c:scaling>
        <c:delete val="0"/>
        <c:axPos val="l"/>
        <c:title>
          <c:tx>
            <c:rich>
              <a:bodyPr rot="0" spcFirstLastPara="1" vertOverflow="ellipsis" wrap="square" anchor="ctr" anchorCtr="1"/>
              <a:lstStyle/>
              <a:p>
                <a:pPr algn="l">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r>
                  <a:rPr lang="de-DE" sz="1000" baseline="0">
                    <a:solidFill>
                      <a:srgbClr val="7A7A7A"/>
                    </a:solidFill>
                    <a:latin typeface="Calibri" panose="020F0502020204030204" pitchFamily="34" charset="0"/>
                    <a:ea typeface="Calibri" panose="020F0502020204030204" pitchFamily="34" charset="0"/>
                    <a:cs typeface="Calibri" panose="020F0502020204030204" pitchFamily="34" charset="0"/>
                  </a:rPr>
                  <a:t>UZS tn</a:t>
                </a:r>
                <a:endParaRPr lang="de-DE" sz="1000">
                  <a:solidFill>
                    <a:srgbClr val="7A7A7A"/>
                  </a:solidFill>
                  <a:latin typeface="Calibri" panose="020F0502020204030204" pitchFamily="34" charset="0"/>
                  <a:ea typeface="Calibri" panose="020F0502020204030204" pitchFamily="34" charset="0"/>
                  <a:cs typeface="Calibri" panose="020F0502020204030204" pitchFamily="34" charset="0"/>
                </a:endParaRPr>
              </a:p>
            </c:rich>
          </c:tx>
          <c:layout>
            <c:manualLayout>
              <c:xMode val="edge"/>
              <c:yMode val="edge"/>
              <c:x val="9.234715125233843E-2"/>
              <c:y val="1.3936196362104081E-2"/>
            </c:manualLayout>
          </c:layout>
          <c:overlay val="0"/>
          <c:spPr>
            <a:noFill/>
            <a:ln>
              <a:noFill/>
            </a:ln>
            <a:effectLst/>
          </c:spPr>
          <c:txPr>
            <a:bodyPr rot="0" spcFirstLastPara="1" vertOverflow="ellipsis" wrap="square" anchor="ctr" anchorCtr="1"/>
            <a:lstStyle/>
            <a:p>
              <a:pPr algn="l">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title>
        <c:numFmt formatCode="#,##0" sourceLinked="0"/>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674550127"/>
        <c:crosses val="autoZero"/>
        <c:crossBetween val="between"/>
        <c:dispUnits>
          <c:builtInUnit val="trillions"/>
        </c:dispUnits>
      </c:valAx>
      <c:valAx>
        <c:axId val="1298252208"/>
        <c:scaling>
          <c:orientation val="minMax"/>
        </c:scaling>
        <c:delete val="0"/>
        <c:axPos val="r"/>
        <c:numFmt formatCode="0%" sourceLinked="0"/>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677875295"/>
        <c:crosses val="max"/>
        <c:crossBetween val="between"/>
      </c:valAx>
      <c:catAx>
        <c:axId val="677875295"/>
        <c:scaling>
          <c:orientation val="minMax"/>
        </c:scaling>
        <c:delete val="1"/>
        <c:axPos val="b"/>
        <c:numFmt formatCode="General" sourceLinked="1"/>
        <c:majorTickMark val="none"/>
        <c:minorTickMark val="none"/>
        <c:tickLblPos val="nextTo"/>
        <c:crossAx val="1298252208"/>
        <c:crosses val="autoZero"/>
        <c:auto val="1"/>
        <c:lblAlgn val="ctr"/>
        <c:lblOffset val="100"/>
        <c:noMultiLvlLbl val="0"/>
      </c:catAx>
      <c:spPr>
        <a:noFill/>
        <a:ln>
          <a:noFill/>
        </a:ln>
        <a:effectLst/>
      </c:spPr>
    </c:plotArea>
    <c:legend>
      <c:legendPos val="b"/>
      <c:layout>
        <c:manualLayout>
          <c:xMode val="edge"/>
          <c:yMode val="edge"/>
          <c:x val="0.19678225532583296"/>
          <c:y val="0.92180207621446064"/>
          <c:w val="0.61723594177274255"/>
          <c:h val="7.8089365855933637E-2"/>
        </c:manualLayout>
      </c:layout>
      <c:overlay val="0"/>
      <c:spPr>
        <a:noFill/>
        <a:ln>
          <a:noFill/>
        </a:ln>
        <a:effectLst/>
      </c:spPr>
      <c:txPr>
        <a:bodyPr rot="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3511811023622054E-2"/>
          <c:y val="4.6238427198557377E-2"/>
          <c:w val="0.87480443207769365"/>
          <c:h val="0.77341829217337776"/>
        </c:manualLayout>
      </c:layout>
      <c:lineChart>
        <c:grouping val="standard"/>
        <c:varyColors val="0"/>
        <c:ser>
          <c:idx val="0"/>
          <c:order val="0"/>
          <c:tx>
            <c:v>Household</c:v>
          </c:tx>
          <c:spPr>
            <a:ln w="28575" cap="rnd">
              <a:solidFill>
                <a:schemeClr val="accent1"/>
              </a:solidFill>
              <a:round/>
            </a:ln>
            <a:effectLst/>
          </c:spPr>
          <c:marker>
            <c:symbol val="none"/>
          </c:marker>
          <c:cat>
            <c:numRef>
              <c:f>[tariffs.xlsx]Scenario!$A$3:$A$24</c:f>
              <c:numCache>
                <c:formatCode>General</c:formatCode>
                <c:ptCount val="22"/>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numCache>
            </c:numRef>
          </c:cat>
          <c:val>
            <c:numRef>
              <c:f>[tariffs.xlsx]Scenario!$Y$3:$Y$24</c:f>
              <c:numCache>
                <c:formatCode>General</c:formatCode>
                <c:ptCount val="22"/>
                <c:pt idx="0">
                  <c:v>144.30000000000001</c:v>
                </c:pt>
                <c:pt idx="1">
                  <c:v>167.4</c:v>
                </c:pt>
                <c:pt idx="2">
                  <c:v>191</c:v>
                </c:pt>
                <c:pt idx="3">
                  <c:v>204.3</c:v>
                </c:pt>
                <c:pt idx="4">
                  <c:v>250</c:v>
                </c:pt>
                <c:pt idx="5">
                  <c:v>295</c:v>
                </c:pt>
                <c:pt idx="6">
                  <c:v>295</c:v>
                </c:pt>
                <c:pt idx="7">
                  <c:v>295</c:v>
                </c:pt>
                <c:pt idx="8">
                  <c:v>295</c:v>
                </c:pt>
                <c:pt idx="9">
                  <c:v>295</c:v>
                </c:pt>
                <c:pt idx="10">
                  <c:v>675</c:v>
                </c:pt>
              </c:numCache>
            </c:numRef>
          </c:val>
          <c:smooth val="0"/>
          <c:extLst>
            <c:ext xmlns:c16="http://schemas.microsoft.com/office/drawing/2014/chart" uri="{C3380CC4-5D6E-409C-BE32-E72D297353CC}">
              <c16:uniqueId val="{00000000-8679-49FE-B9EE-07E45F99531F}"/>
            </c:ext>
          </c:extLst>
        </c:ser>
        <c:ser>
          <c:idx val="5"/>
          <c:order val="1"/>
          <c:tx>
            <c:v>Industry</c:v>
          </c:tx>
          <c:spPr>
            <a:ln w="28575" cap="rnd">
              <a:solidFill>
                <a:srgbClr val="86B3E1"/>
              </a:solidFill>
              <a:round/>
            </a:ln>
            <a:effectLst/>
          </c:spPr>
          <c:marker>
            <c:symbol val="none"/>
          </c:marker>
          <c:cat>
            <c:numRef>
              <c:f>[tariffs.xlsx]Scenario!$A$3:$A$24</c:f>
              <c:numCache>
                <c:formatCode>General</c:formatCode>
                <c:ptCount val="22"/>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numCache>
            </c:numRef>
          </c:cat>
          <c:val>
            <c:numRef>
              <c:f>[tariffs.xlsx]Scenario!$AA$3:$AA$24</c:f>
              <c:numCache>
                <c:formatCode>General</c:formatCode>
                <c:ptCount val="22"/>
                <c:pt idx="0">
                  <c:v>144.30000000000001</c:v>
                </c:pt>
                <c:pt idx="1">
                  <c:v>167.4</c:v>
                </c:pt>
                <c:pt idx="2">
                  <c:v>191</c:v>
                </c:pt>
                <c:pt idx="3">
                  <c:v>204.3</c:v>
                </c:pt>
                <c:pt idx="4">
                  <c:v>331</c:v>
                </c:pt>
                <c:pt idx="5">
                  <c:v>450</c:v>
                </c:pt>
                <c:pt idx="6">
                  <c:v>450</c:v>
                </c:pt>
                <c:pt idx="7">
                  <c:v>450</c:v>
                </c:pt>
                <c:pt idx="8">
                  <c:v>450</c:v>
                </c:pt>
                <c:pt idx="9">
                  <c:v>900</c:v>
                </c:pt>
                <c:pt idx="10">
                  <c:v>900</c:v>
                </c:pt>
              </c:numCache>
            </c:numRef>
          </c:val>
          <c:smooth val="0"/>
          <c:extLst>
            <c:ext xmlns:c16="http://schemas.microsoft.com/office/drawing/2014/chart" uri="{C3380CC4-5D6E-409C-BE32-E72D297353CC}">
              <c16:uniqueId val="{00000001-8679-49FE-B9EE-07E45F99531F}"/>
            </c:ext>
          </c:extLst>
        </c:ser>
        <c:ser>
          <c:idx val="2"/>
          <c:order val="2"/>
          <c:spPr>
            <a:ln w="28575" cap="rnd">
              <a:solidFill>
                <a:srgbClr val="104C91"/>
              </a:solidFill>
              <a:prstDash val="sysDash"/>
              <a:round/>
            </a:ln>
            <a:effectLst/>
          </c:spPr>
          <c:marker>
            <c:symbol val="none"/>
          </c:marker>
          <c:cat>
            <c:numRef>
              <c:f>[tariffs.xlsx]Scenario!$A$3:$A$24</c:f>
              <c:numCache>
                <c:formatCode>General</c:formatCode>
                <c:ptCount val="22"/>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numCache>
            </c:numRef>
          </c:cat>
          <c:val>
            <c:numRef>
              <c:f>[tariffs.xlsx]Scenario!$Z$3:$Z$24</c:f>
              <c:numCache>
                <c:formatCode>General</c:formatCode>
                <c:ptCount val="22"/>
                <c:pt idx="10">
                  <c:v>675</c:v>
                </c:pt>
                <c:pt idx="11">
                  <c:v>800</c:v>
                </c:pt>
                <c:pt idx="12">
                  <c:v>861.36800000000005</c:v>
                </c:pt>
                <c:pt idx="13">
                  <c:v>912.38682663999998</c:v>
                </c:pt>
                <c:pt idx="14">
                  <c:v>958.36199883438951</c:v>
                </c:pt>
                <c:pt idx="15">
                  <c:v>1006.3184332560625</c:v>
                </c:pt>
                <c:pt idx="16">
                  <c:v>1056.6746076561958</c:v>
                </c:pt>
                <c:pt idx="17">
                  <c:v>1109.5506050233118</c:v>
                </c:pt>
                <c:pt idx="18">
                  <c:v>1165.0725172986786</c:v>
                </c:pt>
                <c:pt idx="19">
                  <c:v>1223.3727460643045</c:v>
                </c:pt>
                <c:pt idx="20">
                  <c:v>1284.5903182773623</c:v>
                </c:pt>
                <c:pt idx="21">
                  <c:v>1348.8712178039616</c:v>
                </c:pt>
              </c:numCache>
            </c:numRef>
          </c:val>
          <c:smooth val="0"/>
          <c:extLst>
            <c:ext xmlns:c16="http://schemas.microsoft.com/office/drawing/2014/chart" uri="{C3380CC4-5D6E-409C-BE32-E72D297353CC}">
              <c16:uniqueId val="{00000002-8679-49FE-B9EE-07E45F99531F}"/>
            </c:ext>
          </c:extLst>
        </c:ser>
        <c:ser>
          <c:idx val="3"/>
          <c:order val="3"/>
          <c:spPr>
            <a:ln w="28575" cap="rnd">
              <a:solidFill>
                <a:srgbClr val="86B3E1"/>
              </a:solidFill>
              <a:prstDash val="sysDash"/>
              <a:round/>
            </a:ln>
            <a:effectLst/>
          </c:spPr>
          <c:marker>
            <c:symbol val="none"/>
          </c:marker>
          <c:cat>
            <c:numRef>
              <c:f>[tariffs.xlsx]Scenario!$A$3:$A$24</c:f>
              <c:numCache>
                <c:formatCode>General</c:formatCode>
                <c:ptCount val="22"/>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numCache>
            </c:numRef>
          </c:cat>
          <c:val>
            <c:numRef>
              <c:f>[tariffs.xlsx]Scenario!$AB$3:$AB$24</c:f>
              <c:numCache>
                <c:formatCode>General</c:formatCode>
                <c:ptCount val="22"/>
                <c:pt idx="10">
                  <c:v>900</c:v>
                </c:pt>
                <c:pt idx="11">
                  <c:v>1000</c:v>
                </c:pt>
                <c:pt idx="12">
                  <c:v>1076.71</c:v>
                </c:pt>
                <c:pt idx="13">
                  <c:v>1140.4835332999999</c:v>
                </c:pt>
                <c:pt idx="14">
                  <c:v>1197.9524985429869</c:v>
                </c:pt>
                <c:pt idx="15">
                  <c:v>1257.898041570078</c:v>
                </c:pt>
                <c:pt idx="16">
                  <c:v>1320.8432595702448</c:v>
                </c:pt>
                <c:pt idx="17">
                  <c:v>1386.93825627914</c:v>
                </c:pt>
                <c:pt idx="18">
                  <c:v>1456.3406466233482</c:v>
                </c:pt>
                <c:pt idx="19">
                  <c:v>1529.2159325803807</c:v>
                </c:pt>
                <c:pt idx="20">
                  <c:v>1605.7378978467032</c:v>
                </c:pt>
                <c:pt idx="21">
                  <c:v>1686.0890222549524</c:v>
                </c:pt>
              </c:numCache>
            </c:numRef>
          </c:val>
          <c:smooth val="0"/>
          <c:extLst>
            <c:ext xmlns:c16="http://schemas.microsoft.com/office/drawing/2014/chart" uri="{C3380CC4-5D6E-409C-BE32-E72D297353CC}">
              <c16:uniqueId val="{00000003-8679-49FE-B9EE-07E45F99531F}"/>
            </c:ext>
          </c:extLst>
        </c:ser>
        <c:dLbls>
          <c:showLegendKey val="0"/>
          <c:showVal val="0"/>
          <c:showCatName val="0"/>
          <c:showSerName val="0"/>
          <c:showPercent val="0"/>
          <c:showBubbleSize val="0"/>
        </c:dLbls>
        <c:smooth val="0"/>
        <c:axId val="884553952"/>
        <c:axId val="884550112"/>
      </c:lineChart>
      <c:catAx>
        <c:axId val="884553952"/>
        <c:scaling>
          <c:orientation val="minMax"/>
        </c:scaling>
        <c:delete val="0"/>
        <c:axPos val="b"/>
        <c:numFmt formatCode="General" sourceLinked="1"/>
        <c:majorTickMark val="out"/>
        <c:minorTickMark val="none"/>
        <c:tickLblPos val="nextTo"/>
        <c:spPr>
          <a:noFill/>
          <a:ln w="9525" cap="flat" cmpd="sng" algn="ctr">
            <a:solidFill>
              <a:srgbClr val="ADADAD"/>
            </a:solidFill>
            <a:round/>
          </a:ln>
          <a:effectLst/>
        </c:spPr>
        <c:txPr>
          <a:bodyPr rot="-60000000" spcFirstLastPara="1" vertOverflow="ellipsis" vert="horz" wrap="square" anchor="ctr" anchorCtr="1"/>
          <a:lstStyle/>
          <a:p>
            <a:pPr>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884550112"/>
        <c:crosses val="autoZero"/>
        <c:auto val="1"/>
        <c:lblAlgn val="ctr"/>
        <c:lblOffset val="100"/>
        <c:tickLblSkip val="2"/>
        <c:tickMarkSkip val="1"/>
        <c:noMultiLvlLbl val="0"/>
      </c:catAx>
      <c:valAx>
        <c:axId val="884550112"/>
        <c:scaling>
          <c:orientation val="minMax"/>
        </c:scaling>
        <c:delete val="0"/>
        <c:axPos val="l"/>
        <c:title>
          <c:tx>
            <c:rich>
              <a:bodyPr rot="0" spcFirstLastPara="1" vertOverflow="ellipsis" wrap="square" anchor="ctr" anchorCtr="1"/>
              <a:lstStyle/>
              <a:p>
                <a:pPr>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r>
                  <a:rPr lang="de-DE" sz="900">
                    <a:solidFill>
                      <a:srgbClr val="7A7A7A"/>
                    </a:solidFill>
                    <a:latin typeface="Calibri" panose="020F0502020204030204" pitchFamily="34" charset="0"/>
                    <a:ea typeface="Calibri" panose="020F0502020204030204" pitchFamily="34" charset="0"/>
                    <a:cs typeface="Calibri" panose="020F0502020204030204" pitchFamily="34" charset="0"/>
                  </a:rPr>
                  <a:t>UZS/kWh</a:t>
                </a:r>
              </a:p>
            </c:rich>
          </c:tx>
          <c:layout>
            <c:manualLayout>
              <c:xMode val="edge"/>
              <c:yMode val="edge"/>
              <c:x val="9.0139733199159397E-2"/>
              <c:y val="1.3020546991254885E-2"/>
            </c:manualLayout>
          </c:layout>
          <c:overlay val="0"/>
          <c:spPr>
            <a:noFill/>
            <a:ln>
              <a:noFill/>
            </a:ln>
            <a:effectLst/>
          </c:spPr>
          <c:txPr>
            <a:bodyPr rot="0" spcFirstLastPara="1" vertOverflow="ellipsis" wrap="square" anchor="ctr" anchorCtr="1"/>
            <a:lstStyle/>
            <a:p>
              <a:pPr>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title>
        <c:numFmt formatCode="#,##0" sourceLinked="0"/>
        <c:majorTickMark val="out"/>
        <c:minorTickMark val="none"/>
        <c:tickLblPos val="nextTo"/>
        <c:spPr>
          <a:noFill/>
          <a:ln w="6350">
            <a:solidFill>
              <a:srgbClr val="ADADAD"/>
            </a:solidFill>
          </a:ln>
          <a:effectLst/>
        </c:spPr>
        <c:txPr>
          <a:bodyPr rot="-60000000" spcFirstLastPara="1" vertOverflow="ellipsis" vert="horz" wrap="square" anchor="ctr" anchorCtr="1"/>
          <a:lstStyle/>
          <a:p>
            <a:pPr>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884553952"/>
        <c:crosses val="autoZero"/>
        <c:crossBetween val="midCat"/>
      </c:valAx>
      <c:spPr>
        <a:noFill/>
        <a:ln>
          <a:noFill/>
        </a:ln>
        <a:effectLst/>
      </c:spPr>
    </c:plotArea>
    <c:legend>
      <c:legendPos val="b"/>
      <c:legendEntry>
        <c:idx val="2"/>
        <c:delete val="1"/>
      </c:legendEntry>
      <c:legendEntry>
        <c:idx val="3"/>
        <c:delete val="1"/>
      </c:legendEntry>
      <c:layout>
        <c:manualLayout>
          <c:xMode val="edge"/>
          <c:yMode val="edge"/>
          <c:x val="6.9825713732017862E-3"/>
          <c:y val="0.89804132855394048"/>
          <c:w val="0.98948720276948443"/>
          <c:h val="0.10169844376516468"/>
        </c:manualLayout>
      </c:layout>
      <c:overlay val="0"/>
      <c:spPr>
        <a:noFill/>
        <a:ln>
          <a:noFill/>
        </a:ln>
        <a:effectLst/>
      </c:spPr>
      <c:txPr>
        <a:bodyPr rot="0" spcFirstLastPara="1" vertOverflow="ellipsis" vert="horz" wrap="square" anchor="ctr" anchorCtr="1"/>
        <a:lstStyle/>
        <a:p>
          <a:pPr>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667624838946831E-2"/>
          <c:y val="4.6477041430598789E-2"/>
          <c:w val="0.88529836099495018"/>
          <c:h val="0.80198476332952506"/>
        </c:manualLayout>
      </c:layout>
      <c:barChart>
        <c:barDir val="col"/>
        <c:grouping val="clustered"/>
        <c:varyColors val="0"/>
        <c:ser>
          <c:idx val="0"/>
          <c:order val="0"/>
          <c:tx>
            <c:strRef>
              <c:f>[input_data.xlsx]CHARTS!$H$1</c:f>
              <c:strCache>
                <c:ptCount val="1"/>
                <c:pt idx="0">
                  <c:v>Population</c:v>
                </c:pt>
              </c:strCache>
            </c:strRef>
          </c:tx>
          <c:spPr>
            <a:solidFill>
              <a:srgbClr val="104C91"/>
            </a:solidFill>
            <a:ln>
              <a:noFill/>
            </a:ln>
            <a:effectLst/>
          </c:spPr>
          <c:invertIfNegative val="0"/>
          <c:cat>
            <c:numRef>
              <c:f>[input_data.xlsx]CHARTS!$G$12:$G$34</c:f>
              <c:numCache>
                <c:formatCode>General</c:formatCode>
                <c:ptCount val="23"/>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numCache>
            </c:numRef>
          </c:cat>
          <c:val>
            <c:numRef>
              <c:f>[input_data.xlsx]CHARTS!$H$12:$H$34</c:f>
              <c:numCache>
                <c:formatCode>General</c:formatCode>
                <c:ptCount val="23"/>
                <c:pt idx="0">
                  <c:v>24637755</c:v>
                </c:pt>
                <c:pt idx="1">
                  <c:v>24936354</c:v>
                </c:pt>
                <c:pt idx="2">
                  <c:v>25244211</c:v>
                </c:pt>
                <c:pt idx="3">
                  <c:v>25555748</c:v>
                </c:pt>
                <c:pt idx="4">
                  <c:v>25866770</c:v>
                </c:pt>
                <c:pt idx="5">
                  <c:v>26191930</c:v>
                </c:pt>
                <c:pt idx="6">
                  <c:v>26522019</c:v>
                </c:pt>
                <c:pt idx="7">
                  <c:v>26876068</c:v>
                </c:pt>
                <c:pt idx="8">
                  <c:v>27275948</c:v>
                </c:pt>
                <c:pt idx="9">
                  <c:v>27713601</c:v>
                </c:pt>
                <c:pt idx="10">
                  <c:v>28165056</c:v>
                </c:pt>
                <c:pt idx="11">
                  <c:v>28605957</c:v>
                </c:pt>
                <c:pt idx="12">
                  <c:v>29040434</c:v>
                </c:pt>
                <c:pt idx="13">
                  <c:v>29483372</c:v>
                </c:pt>
                <c:pt idx="14">
                  <c:v>29964758</c:v>
                </c:pt>
                <c:pt idx="15">
                  <c:v>30481229</c:v>
                </c:pt>
                <c:pt idx="16">
                  <c:v>31017464</c:v>
                </c:pt>
                <c:pt idx="17">
                  <c:v>31551672</c:v>
                </c:pt>
                <c:pt idx="18">
                  <c:v>32086683</c:v>
                </c:pt>
                <c:pt idx="19">
                  <c:v>32660298</c:v>
                </c:pt>
                <c:pt idx="20">
                  <c:v>33269104</c:v>
                </c:pt>
                <c:pt idx="21">
                  <c:v>33903640</c:v>
                </c:pt>
                <c:pt idx="22">
                  <c:v>34583751</c:v>
                </c:pt>
              </c:numCache>
            </c:numRef>
          </c:val>
          <c:extLst>
            <c:ext xmlns:c16="http://schemas.microsoft.com/office/drawing/2014/chart" uri="{C3380CC4-5D6E-409C-BE32-E72D297353CC}">
              <c16:uniqueId val="{00000000-F235-4538-93E0-48E9DB05709B}"/>
            </c:ext>
          </c:extLst>
        </c:ser>
        <c:dLbls>
          <c:showLegendKey val="0"/>
          <c:showVal val="0"/>
          <c:showCatName val="0"/>
          <c:showSerName val="0"/>
          <c:showPercent val="0"/>
          <c:showBubbleSize val="0"/>
        </c:dLbls>
        <c:gapWidth val="150"/>
        <c:axId val="674550127"/>
        <c:axId val="674552527"/>
      </c:barChart>
      <c:lineChart>
        <c:grouping val="standard"/>
        <c:varyColors val="0"/>
        <c:ser>
          <c:idx val="1"/>
          <c:order val="1"/>
          <c:tx>
            <c:strRef>
              <c:f>[input_data.xlsx]CHARTS!$I$1</c:f>
              <c:strCache>
                <c:ptCount val="1"/>
                <c:pt idx="0">
                  <c:v>Population growth (rhs)</c:v>
                </c:pt>
              </c:strCache>
            </c:strRef>
          </c:tx>
          <c:spPr>
            <a:ln w="28575" cap="rnd">
              <a:solidFill>
                <a:srgbClr val="F49B19"/>
              </a:solidFill>
              <a:round/>
            </a:ln>
            <a:effectLst/>
          </c:spPr>
          <c:marker>
            <c:symbol val="none"/>
          </c:marker>
          <c:cat>
            <c:numRef>
              <c:f>[input_data.xlsx]CHARTS!$G$12:$G$34</c:f>
              <c:numCache>
                <c:formatCode>General</c:formatCode>
                <c:ptCount val="23"/>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numCache>
            </c:numRef>
          </c:cat>
          <c:val>
            <c:numRef>
              <c:f>[input_data.xlsx]CHARTS!$I$12:$I$34</c:f>
              <c:numCache>
                <c:formatCode>0.00%</c:formatCode>
                <c:ptCount val="23"/>
                <c:pt idx="0">
                  <c:v>1.330466044990386E-2</c:v>
                </c:pt>
                <c:pt idx="1">
                  <c:v>1.2119570147523628E-2</c:v>
                </c:pt>
                <c:pt idx="2">
                  <c:v>1.2345710202862792E-2</c:v>
                </c:pt>
                <c:pt idx="3">
                  <c:v>1.2340928381560534E-2</c:v>
                </c:pt>
                <c:pt idx="4">
                  <c:v>1.2170334439046693E-2</c:v>
                </c:pt>
                <c:pt idx="5">
                  <c:v>1.2570568339224319E-2</c:v>
                </c:pt>
                <c:pt idx="6">
                  <c:v>1.2602698617474983E-2</c:v>
                </c:pt>
                <c:pt idx="7">
                  <c:v>1.3349247657201468E-2</c:v>
                </c:pt>
                <c:pt idx="8">
                  <c:v>1.4878664542744779E-2</c:v>
                </c:pt>
                <c:pt idx="9">
                  <c:v>1.604538181404358E-2</c:v>
                </c:pt>
                <c:pt idx="10">
                  <c:v>1.6290015866216701E-2</c:v>
                </c:pt>
                <c:pt idx="11">
                  <c:v>1.5654185100856921E-2</c:v>
                </c:pt>
                <c:pt idx="12">
                  <c:v>1.5188339967091569E-2</c:v>
                </c:pt>
                <c:pt idx="13">
                  <c:v>1.5252458003899072E-2</c:v>
                </c:pt>
                <c:pt idx="14">
                  <c:v>1.6327372594966416E-2</c:v>
                </c:pt>
                <c:pt idx="15">
                  <c:v>1.7235947642226801E-2</c:v>
                </c:pt>
                <c:pt idx="16">
                  <c:v>1.7592302462607456E-2</c:v>
                </c:pt>
                <c:pt idx="17">
                  <c:v>1.7222813573669393E-2</c:v>
                </c:pt>
                <c:pt idx="18">
                  <c:v>1.6956660807072366E-2</c:v>
                </c:pt>
                <c:pt idx="19">
                  <c:v>1.7877042634790286E-2</c:v>
                </c:pt>
                <c:pt idx="20">
                  <c:v>1.8640552514248343E-2</c:v>
                </c:pt>
                <c:pt idx="21">
                  <c:v>1.9072831056706541E-2</c:v>
                </c:pt>
                <c:pt idx="22">
                  <c:v>2.0060117438717384E-2</c:v>
                </c:pt>
              </c:numCache>
            </c:numRef>
          </c:val>
          <c:smooth val="0"/>
          <c:extLst>
            <c:ext xmlns:c16="http://schemas.microsoft.com/office/drawing/2014/chart" uri="{C3380CC4-5D6E-409C-BE32-E72D297353CC}">
              <c16:uniqueId val="{00000001-F235-4538-93E0-48E9DB05709B}"/>
            </c:ext>
          </c:extLst>
        </c:ser>
        <c:dLbls>
          <c:showLegendKey val="0"/>
          <c:showVal val="0"/>
          <c:showCatName val="0"/>
          <c:showSerName val="0"/>
          <c:showPercent val="0"/>
          <c:showBubbleSize val="0"/>
        </c:dLbls>
        <c:marker val="1"/>
        <c:smooth val="0"/>
        <c:axId val="677875295"/>
        <c:axId val="1298252208"/>
      </c:lineChart>
      <c:dateAx>
        <c:axId val="674550127"/>
        <c:scaling>
          <c:orientation val="minMax"/>
        </c:scaling>
        <c:delete val="0"/>
        <c:axPos val="b"/>
        <c:numFmt formatCode="General" sourceLinked="1"/>
        <c:majorTickMark val="none"/>
        <c:minorTickMark val="none"/>
        <c:tickLblPos val="nextTo"/>
        <c:spPr>
          <a:noFill/>
          <a:ln w="9525" cap="flat" cmpd="sng" algn="ctr">
            <a:solidFill>
              <a:srgbClr val="7A7A7A"/>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674552527"/>
        <c:crosses val="autoZero"/>
        <c:auto val="0"/>
        <c:lblOffset val="100"/>
        <c:baseTimeUnit val="days"/>
        <c:majorUnit val="5"/>
        <c:majorTimeUnit val="days"/>
      </c:dateAx>
      <c:valAx>
        <c:axId val="674552527"/>
        <c:scaling>
          <c:orientation val="minMax"/>
        </c:scaling>
        <c:delete val="0"/>
        <c:axPos val="l"/>
        <c:title>
          <c:tx>
            <c:rich>
              <a:bodyPr rot="0" spcFirstLastPara="1" vertOverflow="ellipsis" wrap="square" anchor="ctr" anchorCtr="1"/>
              <a:lstStyle/>
              <a:p>
                <a:pPr algn="l">
                  <a:defRPr sz="10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r>
                  <a:rPr lang="de-DE"/>
                  <a:t>m</a:t>
                </a:r>
              </a:p>
            </c:rich>
          </c:tx>
          <c:layout>
            <c:manualLayout>
              <c:xMode val="edge"/>
              <c:yMode val="edge"/>
              <c:x val="5.8749928407473818E-2"/>
              <c:y val="9.2951155265756143E-3"/>
            </c:manualLayout>
          </c:layout>
          <c:overlay val="0"/>
          <c:spPr>
            <a:noFill/>
            <a:ln>
              <a:noFill/>
            </a:ln>
            <a:effectLst/>
          </c:spPr>
          <c:txPr>
            <a:bodyPr rot="0" spcFirstLastPara="1" vertOverflow="ellipsis" wrap="square" anchor="ctr" anchorCtr="1"/>
            <a:lstStyle/>
            <a:p>
              <a:pPr algn="l">
                <a:defRPr sz="10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title>
        <c:numFmt formatCode="0" sourceLinked="0"/>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674550127"/>
        <c:crosses val="autoZero"/>
        <c:crossBetween val="between"/>
        <c:majorUnit val="5000000"/>
        <c:dispUnits>
          <c:builtInUnit val="millions"/>
        </c:dispUnits>
      </c:valAx>
      <c:valAx>
        <c:axId val="1298252208"/>
        <c:scaling>
          <c:orientation val="minMax"/>
        </c:scaling>
        <c:delete val="0"/>
        <c:axPos val="r"/>
        <c:numFmt formatCode="0.0%" sourceLinked="0"/>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677875295"/>
        <c:crosses val="max"/>
        <c:crossBetween val="between"/>
      </c:valAx>
      <c:catAx>
        <c:axId val="677875295"/>
        <c:scaling>
          <c:orientation val="minMax"/>
        </c:scaling>
        <c:delete val="1"/>
        <c:axPos val="b"/>
        <c:numFmt formatCode="General" sourceLinked="1"/>
        <c:majorTickMark val="none"/>
        <c:minorTickMark val="none"/>
        <c:tickLblPos val="nextTo"/>
        <c:crossAx val="1298252208"/>
        <c:crosses val="autoZero"/>
        <c:auto val="1"/>
        <c:lblAlgn val="ctr"/>
        <c:lblOffset val="100"/>
        <c:noMultiLvlLbl val="0"/>
      </c:catAx>
      <c:spPr>
        <a:noFill/>
        <a:ln>
          <a:noFill/>
        </a:ln>
        <a:effectLst/>
      </c:spPr>
    </c:plotArea>
    <c:legend>
      <c:legendPos val="b"/>
      <c:layout>
        <c:manualLayout>
          <c:xMode val="edge"/>
          <c:yMode val="edge"/>
          <c:x val="0.19678225532583296"/>
          <c:y val="0.92180207621446064"/>
          <c:w val="0.61757987762233157"/>
          <c:h val="7.8197923785539344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Calibri" panose="020F0502020204030204" pitchFamily="34" charset="0"/>
          <a:ea typeface="Calibri" panose="020F0502020204030204" pitchFamily="34" charset="0"/>
          <a:cs typeface="Calibri" panose="020F050202020403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7977175603474006E-2"/>
          <c:y val="3.2316414746199201E-2"/>
          <c:w val="0.8819940376722859"/>
          <c:h val="0.81465317226257783"/>
        </c:manualLayout>
      </c:layout>
      <c:barChart>
        <c:barDir val="col"/>
        <c:grouping val="clustered"/>
        <c:varyColors val="0"/>
        <c:ser>
          <c:idx val="1"/>
          <c:order val="0"/>
          <c:tx>
            <c:strRef>
              <c:f>[input_data.xlsx]CHARTS!$N$1</c:f>
              <c:strCache>
                <c:ptCount val="1"/>
                <c:pt idx="0">
                  <c:v>Electricity consumption</c:v>
                </c:pt>
              </c:strCache>
            </c:strRef>
          </c:tx>
          <c:spPr>
            <a:solidFill>
              <a:srgbClr val="104C91"/>
            </a:solidFill>
            <a:ln>
              <a:noFill/>
            </a:ln>
            <a:effectLst/>
          </c:spPr>
          <c:invertIfNegative val="0"/>
          <c:cat>
            <c:numRef>
              <c:f>[input_data.xlsx]CHARTS!$M$2:$M$11</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[input_data.xlsx]CHARTS!$N$2:$N$11</c:f>
              <c:numCache>
                <c:formatCode>General</c:formatCode>
                <c:ptCount val="10"/>
                <c:pt idx="0">
                  <c:v>54908140</c:v>
                </c:pt>
                <c:pt idx="1">
                  <c:v>56339107</c:v>
                </c:pt>
                <c:pt idx="2">
                  <c:v>57333996</c:v>
                </c:pt>
                <c:pt idx="3">
                  <c:v>60022400</c:v>
                </c:pt>
                <c:pt idx="4">
                  <c:v>62854796</c:v>
                </c:pt>
                <c:pt idx="5">
                  <c:v>65118348</c:v>
                </c:pt>
                <c:pt idx="6">
                  <c:v>69030000</c:v>
                </c:pt>
                <c:pt idx="7">
                  <c:v>74310000</c:v>
                </c:pt>
                <c:pt idx="8">
                  <c:v>77070000</c:v>
                </c:pt>
                <c:pt idx="9">
                  <c:v>80950000</c:v>
                </c:pt>
              </c:numCache>
            </c:numRef>
          </c:val>
          <c:extLst>
            <c:ext xmlns:c16="http://schemas.microsoft.com/office/drawing/2014/chart" uri="{C3380CC4-5D6E-409C-BE32-E72D297353CC}">
              <c16:uniqueId val="{00000000-3DFF-4663-87E6-A966A47D7806}"/>
            </c:ext>
          </c:extLst>
        </c:ser>
        <c:dLbls>
          <c:showLegendKey val="0"/>
          <c:showVal val="0"/>
          <c:showCatName val="0"/>
          <c:showSerName val="0"/>
          <c:showPercent val="0"/>
          <c:showBubbleSize val="0"/>
        </c:dLbls>
        <c:gapWidth val="219"/>
        <c:overlap val="-27"/>
        <c:axId val="202684399"/>
        <c:axId val="202680079"/>
      </c:barChart>
      <c:lineChart>
        <c:grouping val="standard"/>
        <c:varyColors val="0"/>
        <c:ser>
          <c:idx val="2"/>
          <c:order val="1"/>
          <c:tx>
            <c:strRef>
              <c:f>[input_data.xlsx]CHARTS!$O$1</c:f>
              <c:strCache>
                <c:ptCount val="1"/>
                <c:pt idx="0">
                  <c:v>Growth (rhs)</c:v>
                </c:pt>
              </c:strCache>
            </c:strRef>
          </c:tx>
          <c:spPr>
            <a:ln w="28575" cap="rnd">
              <a:solidFill>
                <a:srgbClr val="F49B19"/>
              </a:solidFill>
              <a:round/>
            </a:ln>
            <a:effectLst/>
          </c:spPr>
          <c:marker>
            <c:symbol val="none"/>
          </c:marker>
          <c:cat>
            <c:numRef>
              <c:f>[input_data.xlsx]CHARTS!$M$2:$M$11</c:f>
              <c:numCache>
                <c:formatCode>General</c:formatCode>
                <c:ptCount val="10"/>
                <c:pt idx="0">
                  <c:v>2014</c:v>
                </c:pt>
                <c:pt idx="1">
                  <c:v>2015</c:v>
                </c:pt>
                <c:pt idx="2">
                  <c:v>2016</c:v>
                </c:pt>
                <c:pt idx="3">
                  <c:v>2017</c:v>
                </c:pt>
                <c:pt idx="4">
                  <c:v>2018</c:v>
                </c:pt>
                <c:pt idx="5">
                  <c:v>2019</c:v>
                </c:pt>
                <c:pt idx="6">
                  <c:v>2020</c:v>
                </c:pt>
                <c:pt idx="7">
                  <c:v>2021</c:v>
                </c:pt>
                <c:pt idx="8">
                  <c:v>2022</c:v>
                </c:pt>
                <c:pt idx="9">
                  <c:v>2023</c:v>
                </c:pt>
              </c:numCache>
            </c:numRef>
          </c:cat>
          <c:val>
            <c:numRef>
              <c:f>[input_data.xlsx]CHARTS!$O$2:$O$11</c:f>
              <c:numCache>
                <c:formatCode>0.00%</c:formatCode>
                <c:ptCount val="10"/>
                <c:pt idx="1">
                  <c:v>2.6061108607940531E-2</c:v>
                </c:pt>
                <c:pt idx="2">
                  <c:v>1.7658941594512756E-2</c:v>
                </c:pt>
                <c:pt idx="3">
                  <c:v>4.6890225478091629E-2</c:v>
                </c:pt>
                <c:pt idx="4">
                  <c:v>4.7188982779762245E-2</c:v>
                </c:pt>
                <c:pt idx="5">
                  <c:v>3.601239911748344E-2</c:v>
                </c:pt>
                <c:pt idx="6">
                  <c:v>6.0069889979395663E-2</c:v>
                </c:pt>
                <c:pt idx="7">
                  <c:v>7.6488483268144281E-2</c:v>
                </c:pt>
                <c:pt idx="8">
                  <c:v>3.7141703673798876E-2</c:v>
                </c:pt>
                <c:pt idx="9">
                  <c:v>5.0343843259374577E-2</c:v>
                </c:pt>
              </c:numCache>
            </c:numRef>
          </c:val>
          <c:smooth val="0"/>
          <c:extLst>
            <c:ext xmlns:c16="http://schemas.microsoft.com/office/drawing/2014/chart" uri="{C3380CC4-5D6E-409C-BE32-E72D297353CC}">
              <c16:uniqueId val="{00000001-3DFF-4663-87E6-A966A47D7806}"/>
            </c:ext>
          </c:extLst>
        </c:ser>
        <c:dLbls>
          <c:showLegendKey val="0"/>
          <c:showVal val="0"/>
          <c:showCatName val="0"/>
          <c:showSerName val="0"/>
          <c:showPercent val="0"/>
          <c:showBubbleSize val="0"/>
        </c:dLbls>
        <c:marker val="1"/>
        <c:smooth val="0"/>
        <c:axId val="202685839"/>
        <c:axId val="202685359"/>
      </c:lineChart>
      <c:catAx>
        <c:axId val="202684399"/>
        <c:scaling>
          <c:orientation val="minMax"/>
        </c:scaling>
        <c:delete val="0"/>
        <c:axPos val="b"/>
        <c:numFmt formatCode="General" sourceLinked="1"/>
        <c:majorTickMark val="none"/>
        <c:minorTickMark val="none"/>
        <c:tickLblPos val="nextTo"/>
        <c:spPr>
          <a:noFill/>
          <a:ln w="9525" cap="flat" cmpd="sng" algn="ctr">
            <a:solidFill>
              <a:srgbClr val="7A7A7A"/>
            </a:solidFill>
            <a:round/>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202680079"/>
        <c:crosses val="autoZero"/>
        <c:auto val="1"/>
        <c:lblAlgn val="ctr"/>
        <c:lblOffset val="100"/>
        <c:noMultiLvlLbl val="0"/>
      </c:catAx>
      <c:valAx>
        <c:axId val="202680079"/>
        <c:scaling>
          <c:orientation val="minMax"/>
        </c:scaling>
        <c:delete val="0"/>
        <c:axPos val="l"/>
        <c:numFmt formatCode="General" sourceLinked="1"/>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202684399"/>
        <c:crosses val="autoZero"/>
        <c:crossBetween val="between"/>
        <c:dispUnits>
          <c:builtInUnit val="millions"/>
          <c:dispUnitsLbl>
            <c:layout>
              <c:manualLayout>
                <c:xMode val="edge"/>
                <c:yMode val="edge"/>
                <c:x val="6.5369803760789033E-2"/>
                <c:y val="4.1748495917884115E-4"/>
              </c:manualLayout>
            </c:layout>
            <c:tx>
              <c:rich>
                <a:bodyPr rot="0" spcFirstLastPara="1" vertOverflow="ellipsis"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r>
                    <a:rPr lang="de-DE" sz="1000">
                      <a:solidFill>
                        <a:srgbClr val="7A7A7A"/>
                      </a:solidFill>
                      <a:latin typeface="Calibri" panose="020F0502020204030204" pitchFamily="34" charset="0"/>
                      <a:ea typeface="Calibri" panose="020F0502020204030204" pitchFamily="34" charset="0"/>
                      <a:cs typeface="Calibri" panose="020F0502020204030204" pitchFamily="34" charset="0"/>
                    </a:rPr>
                    <a:t>TWh</a:t>
                  </a:r>
                </a:p>
              </c:rich>
            </c:tx>
            <c:spPr>
              <a:noFill/>
              <a:ln>
                <a:noFill/>
              </a:ln>
              <a:effectLst/>
            </c:spPr>
            <c:txPr>
              <a:bodyPr rot="0" spcFirstLastPara="1" vertOverflow="ellipsis"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dispUnitsLbl>
        </c:dispUnits>
      </c:valAx>
      <c:valAx>
        <c:axId val="202685359"/>
        <c:scaling>
          <c:orientation val="minMax"/>
        </c:scaling>
        <c:delete val="0"/>
        <c:axPos val="r"/>
        <c:numFmt formatCode="0%" sourceLinked="0"/>
        <c:majorTickMark val="none"/>
        <c:minorTickMark val="out"/>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202685839"/>
        <c:crosses val="max"/>
        <c:crossBetween val="between"/>
        <c:minorUnit val="1.0000000000000002E-2"/>
      </c:valAx>
      <c:catAx>
        <c:axId val="202685839"/>
        <c:scaling>
          <c:orientation val="minMax"/>
        </c:scaling>
        <c:delete val="1"/>
        <c:axPos val="b"/>
        <c:numFmt formatCode="General" sourceLinked="1"/>
        <c:majorTickMark val="none"/>
        <c:minorTickMark val="none"/>
        <c:tickLblPos val="nextTo"/>
        <c:crossAx val="202685359"/>
        <c:crosses val="autoZero"/>
        <c:auto val="1"/>
        <c:lblAlgn val="ctr"/>
        <c:lblOffset val="100"/>
        <c:noMultiLvlLbl val="0"/>
      </c:catAx>
      <c:spPr>
        <a:noFill/>
        <a:ln>
          <a:noFill/>
        </a:ln>
        <a:effectLst/>
      </c:spPr>
    </c:plotArea>
    <c:legend>
      <c:legendPos val="b"/>
      <c:layout>
        <c:manualLayout>
          <c:xMode val="edge"/>
          <c:yMode val="edge"/>
          <c:x val="0.20298651123618033"/>
          <c:y val="0.9217295078374943"/>
          <c:w val="0.59402697752763922"/>
          <c:h val="7.8270492162505659E-2"/>
        </c:manualLayout>
      </c:layout>
      <c:overlay val="0"/>
      <c:spPr>
        <a:noFill/>
        <a:ln>
          <a:noFill/>
        </a:ln>
        <a:effectLst/>
      </c:spPr>
      <c:txPr>
        <a:bodyPr rot="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7977175603474006E-2"/>
          <c:y val="4.6593024792764219E-2"/>
          <c:w val="0.8819940376722859"/>
          <c:h val="0.69389943163579382"/>
        </c:manualLayout>
      </c:layout>
      <c:barChart>
        <c:barDir val="col"/>
        <c:grouping val="clustered"/>
        <c:varyColors val="0"/>
        <c:ser>
          <c:idx val="1"/>
          <c:order val="0"/>
          <c:tx>
            <c:strRef>
              <c:f>[input_data.xlsx]CHARTS!$D$55</c:f>
              <c:strCache>
                <c:ptCount val="1"/>
                <c:pt idx="0">
                  <c:v>2030 consumption</c:v>
                </c:pt>
              </c:strCache>
            </c:strRef>
          </c:tx>
          <c:spPr>
            <a:solidFill>
              <a:srgbClr val="104C9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Calibri" panose="020F0502020204030204" pitchFamily="34" charset="0"/>
                    <a:ea typeface="Calibri" panose="020F0502020204030204" pitchFamily="34" charset="0"/>
                    <a:cs typeface="Calibri" panose="020F0502020204030204" pitchFamily="34" charset="0"/>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[input_data.xlsx]CHARTS!$B$56:$C$59</c:f>
              <c:multiLvlStrCache>
                <c:ptCount val="4"/>
                <c:lvl>
                  <c:pt idx="1">
                    <c:v>Conservative</c:v>
                  </c:pt>
                  <c:pt idx="2">
                    <c:v>Moderate</c:v>
                  </c:pt>
                  <c:pt idx="3">
                    <c:v>Accelerating</c:v>
                  </c:pt>
                </c:lvl>
                <c:lvl>
                  <c:pt idx="0">
                    <c:v>Ministry of Energy  </c:v>
                  </c:pt>
                  <c:pt idx="1">
                    <c:v>EPPEI, Ministry of Energy</c:v>
                  </c:pt>
                </c:lvl>
              </c:multiLvlStrCache>
            </c:multiLvlStrRef>
          </c:cat>
          <c:val>
            <c:numRef>
              <c:f>[input_data.xlsx]CHARTS!$D$56:$D$59</c:f>
              <c:numCache>
                <c:formatCode>General</c:formatCode>
                <c:ptCount val="4"/>
                <c:pt idx="0">
                  <c:v>120.8</c:v>
                </c:pt>
                <c:pt idx="1">
                  <c:v>118.2</c:v>
                </c:pt>
                <c:pt idx="2">
                  <c:v>127.5</c:v>
                </c:pt>
                <c:pt idx="3">
                  <c:v>137.30000000000001</c:v>
                </c:pt>
              </c:numCache>
            </c:numRef>
          </c:val>
          <c:extLst>
            <c:ext xmlns:c16="http://schemas.microsoft.com/office/drawing/2014/chart" uri="{C3380CC4-5D6E-409C-BE32-E72D297353CC}">
              <c16:uniqueId val="{00000000-B269-405E-81DC-3AE98EFB1089}"/>
            </c:ext>
          </c:extLst>
        </c:ser>
        <c:dLbls>
          <c:showLegendKey val="0"/>
          <c:showVal val="1"/>
          <c:showCatName val="0"/>
          <c:showSerName val="0"/>
          <c:showPercent val="0"/>
          <c:showBubbleSize val="0"/>
        </c:dLbls>
        <c:gapWidth val="219"/>
        <c:overlap val="-27"/>
        <c:axId val="202684399"/>
        <c:axId val="202680079"/>
      </c:barChart>
      <c:lineChart>
        <c:grouping val="standard"/>
        <c:varyColors val="0"/>
        <c:ser>
          <c:idx val="2"/>
          <c:order val="1"/>
          <c:tx>
            <c:strRef>
              <c:f>[input_data.xlsx]CHARTS!$E$55</c:f>
              <c:strCache>
                <c:ptCount val="1"/>
                <c:pt idx="0">
                  <c:v>2030 peak load (rhs)</c:v>
                </c:pt>
              </c:strCache>
            </c:strRef>
          </c:tx>
          <c:spPr>
            <a:ln w="28575" cap="rnd">
              <a:noFill/>
              <a:round/>
            </a:ln>
            <a:effectLst/>
          </c:spPr>
          <c:marker>
            <c:symbol val="circle"/>
            <c:size val="5"/>
            <c:spPr>
              <a:solidFill>
                <a:srgbClr val="F49B19"/>
              </a:solidFill>
              <a:ln w="9525">
                <a:solidFill>
                  <a:srgbClr val="F49B19"/>
                </a:solidFill>
              </a:ln>
              <a:effectLst/>
            </c:spPr>
          </c:marker>
          <c:dLbls>
            <c:dLbl>
              <c:idx val="1"/>
              <c:layout>
                <c:manualLayout>
                  <c:x val="-4.8603005419627275E-2"/>
                  <c:y val="-5.182711894559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69-405E-81DC-3AE98EFB1089}"/>
                </c:ext>
              </c:extLst>
            </c:dLbl>
            <c:dLbl>
              <c:idx val="3"/>
              <c:layout>
                <c:manualLayout>
                  <c:x val="-4.6691317027809882E-2"/>
                  <c:y val="-8.137330360483742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dLblPos val="r"/>
              <c:showLegendKey val="0"/>
              <c:showVal val="1"/>
              <c:showCatName val="0"/>
              <c:showSerName val="0"/>
              <c:showPercent val="0"/>
              <c:showBubbleSize val="0"/>
              <c:extLst>
                <c:ext xmlns:c15="http://schemas.microsoft.com/office/drawing/2012/chart" uri="{CE6537A1-D6FC-4f65-9D91-7224C49458BB}">
                  <c15:layout>
                    <c:manualLayout>
                      <c:w val="6.642244005522091E-2"/>
                      <c:h val="8.0313987022085392E-2"/>
                    </c:manualLayout>
                  </c15:layout>
                </c:ext>
                <c:ext xmlns:c16="http://schemas.microsoft.com/office/drawing/2014/chart" uri="{C3380CC4-5D6E-409C-BE32-E72D297353CC}">
                  <c16:uniqueId val="{00000002-B269-405E-81DC-3AE98EFB1089}"/>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[input_data.xlsx]CHARTS!$B$56:$C$59</c:f>
              <c:multiLvlStrCache>
                <c:ptCount val="4"/>
                <c:lvl>
                  <c:pt idx="1">
                    <c:v>Conservative</c:v>
                  </c:pt>
                  <c:pt idx="2">
                    <c:v>Moderate</c:v>
                  </c:pt>
                  <c:pt idx="3">
                    <c:v>Accelerating</c:v>
                  </c:pt>
                </c:lvl>
                <c:lvl>
                  <c:pt idx="0">
                    <c:v>Ministry of Energy  </c:v>
                  </c:pt>
                  <c:pt idx="1">
                    <c:v>EPPEI, Ministry of Energy</c:v>
                  </c:pt>
                </c:lvl>
              </c:multiLvlStrCache>
            </c:multiLvlStrRef>
          </c:cat>
          <c:val>
            <c:numRef>
              <c:f>[input_data.xlsx]CHARTS!$E$56:$E$59</c:f>
              <c:numCache>
                <c:formatCode>General</c:formatCode>
                <c:ptCount val="4"/>
                <c:pt idx="0">
                  <c:v>20.9</c:v>
                </c:pt>
                <c:pt idx="1">
                  <c:v>18.2</c:v>
                </c:pt>
                <c:pt idx="2">
                  <c:v>19.600000000000001</c:v>
                </c:pt>
                <c:pt idx="3">
                  <c:v>21.1</c:v>
                </c:pt>
              </c:numCache>
            </c:numRef>
          </c:val>
          <c:smooth val="0"/>
          <c:extLst>
            <c:ext xmlns:c16="http://schemas.microsoft.com/office/drawing/2014/chart" uri="{C3380CC4-5D6E-409C-BE32-E72D297353CC}">
              <c16:uniqueId val="{00000003-B269-405E-81DC-3AE98EFB1089}"/>
            </c:ext>
          </c:extLst>
        </c:ser>
        <c:dLbls>
          <c:showLegendKey val="0"/>
          <c:showVal val="1"/>
          <c:showCatName val="0"/>
          <c:showSerName val="0"/>
          <c:showPercent val="0"/>
          <c:showBubbleSize val="0"/>
        </c:dLbls>
        <c:marker val="1"/>
        <c:smooth val="0"/>
        <c:axId val="202685839"/>
        <c:axId val="202685359"/>
      </c:lineChart>
      <c:catAx>
        <c:axId val="202684399"/>
        <c:scaling>
          <c:orientation val="minMax"/>
        </c:scaling>
        <c:delete val="0"/>
        <c:axPos val="b"/>
        <c:numFmt formatCode="General" sourceLinked="1"/>
        <c:majorTickMark val="none"/>
        <c:minorTickMark val="none"/>
        <c:tickLblPos val="nextTo"/>
        <c:spPr>
          <a:noFill/>
          <a:ln w="3175" cap="flat" cmpd="sng" algn="ctr">
            <a:solidFill>
              <a:srgbClr val="7A7A7A"/>
            </a:solidFill>
            <a:round/>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202680079"/>
        <c:crosses val="autoZero"/>
        <c:auto val="1"/>
        <c:lblAlgn val="ctr"/>
        <c:lblOffset val="100"/>
        <c:noMultiLvlLbl val="0"/>
      </c:catAx>
      <c:valAx>
        <c:axId val="202680079"/>
        <c:scaling>
          <c:orientation val="minMax"/>
        </c:scaling>
        <c:delete val="0"/>
        <c:axPos val="l"/>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solidFill>
                      <a:srgbClr val="7A7A7A"/>
                    </a:solidFill>
                    <a:latin typeface="Calibri" panose="020F0502020204030204" pitchFamily="34" charset="0"/>
                    <a:ea typeface="Calibri" panose="020F0502020204030204" pitchFamily="34" charset="0"/>
                    <a:cs typeface="Calibri" panose="020F0502020204030204" pitchFamily="34" charset="0"/>
                  </a:rPr>
                  <a:t>TWh</a:t>
                </a:r>
              </a:p>
            </c:rich>
          </c:tx>
          <c:layout>
            <c:manualLayout>
              <c:xMode val="edge"/>
              <c:yMode val="edge"/>
              <c:x val="7.0041080472458522E-2"/>
              <c:y val="4.1932870684887645E-3"/>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202684399"/>
        <c:crosses val="autoZero"/>
        <c:crossBetween val="between"/>
      </c:valAx>
      <c:valAx>
        <c:axId val="202685359"/>
        <c:scaling>
          <c:orientation val="minMax"/>
        </c:scaling>
        <c:delete val="0"/>
        <c:axPos val="r"/>
        <c:title>
          <c:tx>
            <c:rich>
              <a:bodyPr rot="0" spcFirstLastPara="1" vertOverflow="ellipsis" wrap="square" anchor="ctr" anchorCtr="1"/>
              <a:lstStyle/>
              <a:p>
                <a:pPr>
                  <a:defRPr sz="1050" b="0" i="0" u="none" strike="noStrike" kern="1200" baseline="0">
                    <a:solidFill>
                      <a:schemeClr val="tx1">
                        <a:lumMod val="65000"/>
                        <a:lumOff val="35000"/>
                      </a:schemeClr>
                    </a:solidFill>
                    <a:latin typeface="+mn-lt"/>
                    <a:ea typeface="+mn-ea"/>
                    <a:cs typeface="+mn-cs"/>
                  </a:defRPr>
                </a:pPr>
                <a:r>
                  <a:rPr lang="de-DE" sz="1050">
                    <a:solidFill>
                      <a:srgbClr val="7A7A7A"/>
                    </a:solidFill>
                    <a:latin typeface="Calibri" panose="020F0502020204030204" pitchFamily="34" charset="0"/>
                    <a:ea typeface="Calibri" panose="020F0502020204030204" pitchFamily="34" charset="0"/>
                    <a:cs typeface="Calibri" panose="020F0502020204030204" pitchFamily="34" charset="0"/>
                  </a:rPr>
                  <a:t>GW</a:t>
                </a:r>
              </a:p>
            </c:rich>
          </c:tx>
          <c:layout>
            <c:manualLayout>
              <c:xMode val="edge"/>
              <c:yMode val="edge"/>
              <c:x val="0.89109858386862362"/>
              <c:y val="3.4100064557305073E-3"/>
            </c:manualLayout>
          </c:layout>
          <c:overlay val="0"/>
          <c:spPr>
            <a:noFill/>
            <a:ln>
              <a:noFill/>
            </a:ln>
            <a:effectLst/>
          </c:spPr>
          <c:txPr>
            <a:bodyPr rot="0" spcFirstLastPara="1" vertOverflow="ellipsis"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out"/>
        <c:minorTickMark val="none"/>
        <c:tickLblPos val="nextTo"/>
        <c:spPr>
          <a:noFill/>
          <a:ln w="9525">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202685839"/>
        <c:crosses val="max"/>
        <c:crossBetween val="between"/>
        <c:majorUnit val="1"/>
      </c:valAx>
      <c:catAx>
        <c:axId val="202685839"/>
        <c:scaling>
          <c:orientation val="minMax"/>
        </c:scaling>
        <c:delete val="1"/>
        <c:axPos val="b"/>
        <c:numFmt formatCode="General" sourceLinked="1"/>
        <c:majorTickMark val="none"/>
        <c:minorTickMark val="none"/>
        <c:tickLblPos val="nextTo"/>
        <c:crossAx val="202685359"/>
        <c:crosses val="autoZero"/>
        <c:auto val="1"/>
        <c:lblAlgn val="ctr"/>
        <c:lblOffset val="100"/>
        <c:noMultiLvlLbl val="0"/>
      </c:catAx>
      <c:spPr>
        <a:noFill/>
        <a:ln>
          <a:noFill/>
        </a:ln>
        <a:effectLst/>
      </c:spPr>
    </c:plotArea>
    <c:legend>
      <c:legendPos val="b"/>
      <c:layout>
        <c:manualLayout>
          <c:xMode val="edge"/>
          <c:yMode val="edge"/>
          <c:x val="0.14642551751166855"/>
          <c:y val="0.92172946640832198"/>
          <c:w val="0.7014930790608187"/>
          <c:h val="7.8270492162505659E-2"/>
        </c:manualLayout>
      </c:layout>
      <c:overlay val="0"/>
      <c:spPr>
        <a:noFill/>
        <a:ln>
          <a:noFill/>
        </a:ln>
        <a:effectLst/>
      </c:spPr>
      <c:txPr>
        <a:bodyPr rot="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671143300601308E-2"/>
          <c:y val="5.0831848463601011E-2"/>
          <c:w val="0.86243601826723137"/>
          <c:h val="0.75358742950583224"/>
        </c:manualLayout>
      </c:layout>
      <c:lineChart>
        <c:grouping val="standard"/>
        <c:varyColors val="0"/>
        <c:ser>
          <c:idx val="0"/>
          <c:order val="0"/>
          <c:tx>
            <c:strRef>
              <c:f>'[output_data.xlsx]Yearly comparison'!$B$2</c:f>
              <c:strCache>
                <c:ptCount val="1"/>
                <c:pt idx="0">
                  <c:v>Actual</c:v>
                </c:pt>
              </c:strCache>
            </c:strRef>
          </c:tx>
          <c:spPr>
            <a:ln w="28575" cap="rnd">
              <a:solidFill>
                <a:srgbClr val="7A7A7A"/>
              </a:solidFill>
              <a:prstDash val="solid"/>
              <a:round/>
            </a:ln>
          </c:spPr>
          <c:marker>
            <c:symbol val="none"/>
          </c:marker>
          <c:cat>
            <c:numRef>
              <c:f>'[output_data.xlsx]Yearly comparison'!$A$3:$A$24</c:f>
              <c:numCache>
                <c:formatCode>General</c:formatCode>
                <c:ptCount val="22"/>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numCache>
            </c:numRef>
          </c:cat>
          <c:val>
            <c:numRef>
              <c:f>'[output_data.xlsx]Yearly comparison'!$B$3:$B$19</c:f>
              <c:numCache>
                <c:formatCode>0.00</c:formatCode>
                <c:ptCount val="17"/>
                <c:pt idx="0">
                  <c:v>54.908140000000003</c:v>
                </c:pt>
                <c:pt idx="1">
                  <c:v>56.339106999999998</c:v>
                </c:pt>
                <c:pt idx="2">
                  <c:v>57.333995999999999</c:v>
                </c:pt>
                <c:pt idx="3">
                  <c:v>60.022399999999998</c:v>
                </c:pt>
                <c:pt idx="4">
                  <c:v>62.854796</c:v>
                </c:pt>
                <c:pt idx="5">
                  <c:v>65.118347999999997</c:v>
                </c:pt>
                <c:pt idx="6">
                  <c:v>69.03</c:v>
                </c:pt>
                <c:pt idx="7">
                  <c:v>74.31</c:v>
                </c:pt>
                <c:pt idx="8">
                  <c:v>77.069999999999993</c:v>
                </c:pt>
                <c:pt idx="9">
                  <c:v>80.95</c:v>
                </c:pt>
              </c:numCache>
            </c:numRef>
          </c:val>
          <c:smooth val="0"/>
          <c:extLst>
            <c:ext xmlns:c16="http://schemas.microsoft.com/office/drawing/2014/chart" uri="{C3380CC4-5D6E-409C-BE32-E72D297353CC}">
              <c16:uniqueId val="{00000000-FA6A-40C4-9336-9CB48BCECD60}"/>
            </c:ext>
          </c:extLst>
        </c:ser>
        <c:ser>
          <c:idx val="1"/>
          <c:order val="1"/>
          <c:tx>
            <c:strRef>
              <c:f>'[output_data.xlsx]Yearly comparison'!$M$2</c:f>
              <c:strCache>
                <c:ptCount val="1"/>
                <c:pt idx="0">
                  <c:v>Steady growth</c:v>
                </c:pt>
              </c:strCache>
            </c:strRef>
          </c:tx>
          <c:spPr>
            <a:ln w="28575">
              <a:solidFill>
                <a:srgbClr val="104C91"/>
              </a:solidFill>
              <a:prstDash val="solid"/>
            </a:ln>
          </c:spPr>
          <c:marker>
            <c:symbol val="none"/>
          </c:marker>
          <c:val>
            <c:numRef>
              <c:f>'[output_data.xlsx]Yearly comparison'!$M$3:$M$24</c:f>
              <c:numCache>
                <c:formatCode>General</c:formatCode>
                <c:ptCount val="22"/>
                <c:pt idx="9" formatCode="0.00">
                  <c:v>80.953400999999999</c:v>
                </c:pt>
                <c:pt idx="10" formatCode="0.00">
                  <c:v>86.203182787243861</c:v>
                </c:pt>
                <c:pt idx="11" formatCode="0.00">
                  <c:v>91.038085840504237</c:v>
                </c:pt>
                <c:pt idx="12" formatCode="0.00">
                  <c:v>96.158374416657026</c:v>
                </c:pt>
                <c:pt idx="13" formatCode="0.00">
                  <c:v>101.36676814560839</c:v>
                </c:pt>
                <c:pt idx="14" formatCode="0.00">
                  <c:v>106.9725641642312</c:v>
                </c:pt>
                <c:pt idx="15" formatCode="0.00">
                  <c:v>112.05806675274489</c:v>
                </c:pt>
                <c:pt idx="16" formatCode="0.00">
                  <c:v>117.52664844578</c:v>
                </c:pt>
                <c:pt idx="17" formatCode="0.00">
                  <c:v>121.49944380465921</c:v>
                </c:pt>
                <c:pt idx="18" formatCode="0.00">
                  <c:v>125.82886444940691</c:v>
                </c:pt>
                <c:pt idx="19" formatCode="0.00">
                  <c:v>129.3751358432736</c:v>
                </c:pt>
                <c:pt idx="20" formatCode="0.00">
                  <c:v>133.27590590536082</c:v>
                </c:pt>
                <c:pt idx="21" formatCode="0.00">
                  <c:v>137.16894485502129</c:v>
                </c:pt>
              </c:numCache>
            </c:numRef>
          </c:val>
          <c:smooth val="0"/>
          <c:extLst>
            <c:ext xmlns:c16="http://schemas.microsoft.com/office/drawing/2014/chart" uri="{C3380CC4-5D6E-409C-BE32-E72D297353CC}">
              <c16:uniqueId val="{00000001-FA6A-40C4-9336-9CB48BCECD60}"/>
            </c:ext>
          </c:extLst>
        </c:ser>
        <c:ser>
          <c:idx val="2"/>
          <c:order val="2"/>
          <c:tx>
            <c:strRef>
              <c:f>'[output_data.xlsx]Yearly comparison'!$O$2</c:f>
              <c:strCache>
                <c:ptCount val="1"/>
                <c:pt idx="0">
                  <c:v>Sectoral expansion</c:v>
                </c:pt>
              </c:strCache>
            </c:strRef>
          </c:tx>
          <c:spPr>
            <a:ln w="28575">
              <a:solidFill>
                <a:srgbClr val="86B3E1"/>
              </a:solidFill>
              <a:prstDash val="solid"/>
            </a:ln>
          </c:spPr>
          <c:marker>
            <c:symbol val="none"/>
          </c:marker>
          <c:cat>
            <c:numRef>
              <c:f>'[output_data.xlsx]Yearly comparison'!$A$3:$A$24</c:f>
              <c:numCache>
                <c:formatCode>General</c:formatCode>
                <c:ptCount val="22"/>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numCache>
            </c:numRef>
          </c:cat>
          <c:val>
            <c:numRef>
              <c:f>'Yearly comparison'!#REF!</c:f>
              <c:numCache>
                <c:formatCode>General</c:formatCode>
                <c:ptCount val="22"/>
                <c:pt idx="9" formatCode="0.00">
                  <c:v>80.953400999999999</c:v>
                </c:pt>
                <c:pt idx="10" formatCode="0.00">
                  <c:v>86.267981244158207</c:v>
                </c:pt>
                <c:pt idx="11" formatCode="0.00">
                  <c:v>91.428252361881235</c:v>
                </c:pt>
                <c:pt idx="12" formatCode="0.00">
                  <c:v>97.127256069268654</c:v>
                </c:pt>
                <c:pt idx="13" formatCode="0.00">
                  <c:v>103.08081943821161</c:v>
                </c:pt>
                <c:pt idx="14" formatCode="0.00">
                  <c:v>109.7686025260756</c:v>
                </c:pt>
                <c:pt idx="15" formatCode="0.00">
                  <c:v>116.4038753536214</c:v>
                </c:pt>
                <c:pt idx="16" formatCode="0.00">
                  <c:v>122.7063605475402</c:v>
                </c:pt>
                <c:pt idx="17" formatCode="0.00">
                  <c:v>128.64541105200911</c:v>
                </c:pt>
                <c:pt idx="18" formatCode="0.00">
                  <c:v>134.88729522944459</c:v>
                </c:pt>
                <c:pt idx="19" formatCode="0.00">
                  <c:v>140.2302621802084</c:v>
                </c:pt>
                <c:pt idx="20" formatCode="0.00">
                  <c:v>145.88305393734291</c:v>
                </c:pt>
                <c:pt idx="21" formatCode="0.00">
                  <c:v>151.44791051749331</c:v>
                </c:pt>
              </c:numCache>
            </c:numRef>
          </c:val>
          <c:smooth val="0"/>
          <c:extLst>
            <c:ext xmlns:c16="http://schemas.microsoft.com/office/drawing/2014/chart" uri="{C3380CC4-5D6E-409C-BE32-E72D297353CC}">
              <c16:uniqueId val="{00000002-FA6A-40C4-9336-9CB48BCECD60}"/>
            </c:ext>
          </c:extLst>
        </c:ser>
        <c:ser>
          <c:idx val="3"/>
          <c:order val="3"/>
          <c:tx>
            <c:strRef>
              <c:f>'[output_data.xlsx]Yearly comparison'!$Q$2</c:f>
              <c:strCache>
                <c:ptCount val="1"/>
                <c:pt idx="0">
                  <c:v>Tariff impact</c:v>
                </c:pt>
              </c:strCache>
            </c:strRef>
          </c:tx>
          <c:spPr>
            <a:ln w="28575">
              <a:solidFill>
                <a:srgbClr val="F49B19"/>
              </a:solidFill>
              <a:prstDash val="solid"/>
            </a:ln>
          </c:spPr>
          <c:marker>
            <c:symbol val="none"/>
          </c:marker>
          <c:val>
            <c:numRef>
              <c:f>'[output_data.xlsx]Yearly comparison'!$Q$3:$Q$24</c:f>
              <c:numCache>
                <c:formatCode>General</c:formatCode>
                <c:ptCount val="22"/>
                <c:pt idx="9" formatCode="0.00">
                  <c:v>80.953400999999999</c:v>
                </c:pt>
                <c:pt idx="10" formatCode="0.00">
                  <c:v>81.703253710805114</c:v>
                </c:pt>
                <c:pt idx="11" formatCode="0.00">
                  <c:v>85.317174898352462</c:v>
                </c:pt>
                <c:pt idx="12" formatCode="0.00">
                  <c:v>89.619962064821294</c:v>
                </c:pt>
                <c:pt idx="13" formatCode="0.00">
                  <c:v>94.163730962804209</c:v>
                </c:pt>
                <c:pt idx="14" formatCode="0.00">
                  <c:v>99.399734967120679</c:v>
                </c:pt>
                <c:pt idx="15" formatCode="0.00">
                  <c:v>104.64282186135929</c:v>
                </c:pt>
                <c:pt idx="16" formatCode="0.00">
                  <c:v>109.298334334568</c:v>
                </c:pt>
                <c:pt idx="17" formatCode="0.00">
                  <c:v>113.9285581835172</c:v>
                </c:pt>
                <c:pt idx="18" formatCode="0.00">
                  <c:v>118.7634103895611</c:v>
                </c:pt>
                <c:pt idx="19" formatCode="0.00">
                  <c:v>122.7263176997956</c:v>
                </c:pt>
                <c:pt idx="20" formatCode="0.00">
                  <c:v>126.89167275793409</c:v>
                </c:pt>
                <c:pt idx="21" formatCode="0.00">
                  <c:v>130.90358290003849</c:v>
                </c:pt>
              </c:numCache>
            </c:numRef>
          </c:val>
          <c:smooth val="0"/>
          <c:extLst>
            <c:ext xmlns:c16="http://schemas.microsoft.com/office/drawing/2014/chart" uri="{C3380CC4-5D6E-409C-BE32-E72D297353CC}">
              <c16:uniqueId val="{00000003-FA6A-40C4-9336-9CB48BCECD60}"/>
            </c:ext>
          </c:extLst>
        </c:ser>
        <c:dLbls>
          <c:showLegendKey val="0"/>
          <c:showVal val="0"/>
          <c:showCatName val="0"/>
          <c:showSerName val="0"/>
          <c:showPercent val="0"/>
          <c:showBubbleSize val="0"/>
        </c:dLbls>
        <c:smooth val="0"/>
        <c:axId val="1332705520"/>
        <c:axId val="1332702640"/>
      </c:lineChart>
      <c:catAx>
        <c:axId val="1332705520"/>
        <c:scaling>
          <c:orientation val="minMax"/>
        </c:scaling>
        <c:delete val="0"/>
        <c:axPos val="b"/>
        <c:numFmt formatCode="General" sourceLinked="1"/>
        <c:majorTickMark val="out"/>
        <c:minorTickMark val="none"/>
        <c:tickLblPos val="nextTo"/>
        <c:spPr>
          <a:noFill/>
          <a:ln w="9525" cap="flat" cmpd="sng" algn="ctr">
            <a:solidFill>
              <a:srgbClr val="7A7A7A"/>
            </a:solidFill>
            <a:prstDash val="solid"/>
            <a:round/>
          </a:ln>
        </c:spPr>
        <c:txPr>
          <a:bodyPr rot="-60000000" spcFirstLastPara="1" vertOverflow="ellipsis" vert="horz" wrap="square" anchor="ctr" anchorCtr="1"/>
          <a:lstStyle/>
          <a:p>
            <a:pPr>
              <a:defRPr sz="900" b="0" i="0" strike="noStrike" kern="1200" baseline="0">
                <a:solidFill>
                  <a:srgbClr val="7A7A7A"/>
                </a:solidFill>
                <a:latin typeface="+mn-lt"/>
                <a:ea typeface="+mn-ea"/>
                <a:cs typeface="+mn-cs"/>
              </a:defRPr>
            </a:pPr>
            <a:endParaRPr lang="en-US"/>
          </a:p>
        </c:txPr>
        <c:crossAx val="1332702640"/>
        <c:crosses val="autoZero"/>
        <c:auto val="1"/>
        <c:lblAlgn val="ctr"/>
        <c:lblOffset val="100"/>
        <c:tickLblSkip val="2"/>
        <c:noMultiLvlLbl val="1"/>
      </c:catAx>
      <c:valAx>
        <c:axId val="1332702640"/>
        <c:scaling>
          <c:orientation val="minMax"/>
          <c:max val="160"/>
          <c:min val="50"/>
        </c:scaling>
        <c:delete val="0"/>
        <c:axPos val="l"/>
        <c:numFmt formatCode="0" sourceLinked="0"/>
        <c:majorTickMark val="out"/>
        <c:minorTickMark val="none"/>
        <c:tickLblPos val="nextTo"/>
        <c:spPr>
          <a:noFill/>
          <a:ln w="9525">
            <a:solidFill>
              <a:srgbClr val="7A7A7A"/>
            </a:solidFill>
            <a:prstDash val="solid"/>
          </a:ln>
        </c:spPr>
        <c:txPr>
          <a:bodyPr rot="-60000000" spcFirstLastPara="1" vertOverflow="ellipsis" vert="horz" wrap="square" anchor="ctr" anchorCtr="1"/>
          <a:lstStyle/>
          <a:p>
            <a:pPr>
              <a:defRPr sz="900" b="0" i="0" strike="noStrike" kern="1200" baseline="0">
                <a:solidFill>
                  <a:srgbClr val="7A7A7A"/>
                </a:solidFill>
                <a:latin typeface="+mn-lt"/>
                <a:ea typeface="+mn-ea"/>
                <a:cs typeface="+mn-cs"/>
              </a:defRPr>
            </a:pPr>
            <a:endParaRPr lang="en-US"/>
          </a:p>
        </c:txPr>
        <c:crossAx val="1332705520"/>
        <c:crosses val="autoZero"/>
        <c:crossBetween val="midCat"/>
        <c:majorUnit val="10"/>
      </c:valAx>
    </c:plotArea>
    <c:legend>
      <c:legendPos val="b"/>
      <c:layout>
        <c:manualLayout>
          <c:xMode val="edge"/>
          <c:yMode val="edge"/>
          <c:x val="0"/>
          <c:y val="0.89059654467144322"/>
          <c:w val="0.99600318035606894"/>
          <c:h val="0.1094034553285568"/>
        </c:manualLayout>
      </c:layout>
      <c:overlay val="0"/>
      <c:spPr>
        <a:noFill/>
        <a:ln>
          <a:noFill/>
          <a:prstDash val="solid"/>
        </a:ln>
      </c:spPr>
      <c:txPr>
        <a:bodyPr rot="0" spcFirstLastPara="1" vertOverflow="ellipsis" vert="horz" wrap="square" anchor="ctr" anchorCtr="1"/>
        <a:lstStyle/>
        <a:p>
          <a:pPr>
            <a:defRPr sz="900" b="0" i="0" strike="noStrike" kern="1200" baseline="0">
              <a:solidFill>
                <a:srgbClr val="7A7A7A"/>
              </a:solidFill>
              <a:latin typeface="+mn-lt"/>
              <a:ea typeface="+mn-ea"/>
              <a:cs typeface="+mn-cs"/>
            </a:defRPr>
          </a:pPr>
          <a:endParaRPr lang="en-US"/>
        </a:p>
      </c:txPr>
    </c:legend>
    <c:plotVisOnly val="1"/>
    <c:dispBlanksAs val="gap"/>
    <c:showDLblsOverMax val="1"/>
  </c:chart>
  <c:spPr>
    <a:noFill/>
    <a:ln w="9525" cap="flat" cmpd="sng" algn="ctr">
      <a:noFill/>
      <a:prstDash val="solid"/>
      <a:round/>
    </a:ln>
  </c:sp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02905221561537E-2"/>
          <c:y val="7.953084536978712E-2"/>
          <c:w val="0.40542292385029066"/>
          <c:h val="0.70492472381541771"/>
        </c:manualLayout>
      </c:layout>
      <c:barChart>
        <c:barDir val="col"/>
        <c:grouping val="stacked"/>
        <c:varyColors val="0"/>
        <c:ser>
          <c:idx val="0"/>
          <c:order val="0"/>
          <c:tx>
            <c:strRef>
              <c:f>[output_data.xlsx]CHARTS!$T$24</c:f>
              <c:strCache>
                <c:ptCount val="1"/>
                <c:pt idx="0">
                  <c:v>Min</c:v>
                </c:pt>
              </c:strCache>
            </c:strRef>
          </c:tx>
          <c:spPr>
            <a:noFill/>
            <a:ln>
              <a:noFill/>
            </a:ln>
            <a:effectLst/>
          </c:spPr>
          <c:invertIfNegative val="0"/>
          <c:cat>
            <c:numRef>
              <c:f>[output_data.xlsx]CHARTS!$P$25:$P$27</c:f>
              <c:numCache>
                <c:formatCode>General</c:formatCode>
                <c:ptCount val="3"/>
                <c:pt idx="0">
                  <c:v>2023</c:v>
                </c:pt>
                <c:pt idx="1">
                  <c:v>2030</c:v>
                </c:pt>
                <c:pt idx="2">
                  <c:v>2035</c:v>
                </c:pt>
              </c:numCache>
            </c:numRef>
          </c:cat>
          <c:val>
            <c:numRef>
              <c:f>[output_data.xlsx]CHARTS!$T$25:$T$27</c:f>
              <c:numCache>
                <c:formatCode>General</c:formatCode>
                <c:ptCount val="3"/>
                <c:pt idx="1">
                  <c:v>118.2</c:v>
                </c:pt>
                <c:pt idx="2">
                  <c:v>150.80000000000001</c:v>
                </c:pt>
              </c:numCache>
            </c:numRef>
          </c:val>
          <c:extLst>
            <c:ext xmlns:c16="http://schemas.microsoft.com/office/drawing/2014/chart" uri="{C3380CC4-5D6E-409C-BE32-E72D297353CC}">
              <c16:uniqueId val="{00000000-9251-42CD-A25E-B977CCC8A209}"/>
            </c:ext>
          </c:extLst>
        </c:ser>
        <c:ser>
          <c:idx val="1"/>
          <c:order val="4"/>
          <c:tx>
            <c:v>External forecasts, range</c:v>
          </c:tx>
          <c:spPr>
            <a:solidFill>
              <a:srgbClr val="7A7A7A">
                <a:alpha val="30000"/>
              </a:srgbClr>
            </a:solidFill>
            <a:ln>
              <a:noFill/>
            </a:ln>
            <a:effectLst/>
          </c:spPr>
          <c:invertIfNegative val="0"/>
          <c:cat>
            <c:numRef>
              <c:f>[output_data.xlsx]CHARTS!$P$25:$P$27</c:f>
              <c:numCache>
                <c:formatCode>General</c:formatCode>
                <c:ptCount val="3"/>
                <c:pt idx="0">
                  <c:v>2023</c:v>
                </c:pt>
                <c:pt idx="1">
                  <c:v>2030</c:v>
                </c:pt>
                <c:pt idx="2">
                  <c:v>2035</c:v>
                </c:pt>
              </c:numCache>
            </c:numRef>
          </c:cat>
          <c:val>
            <c:numRef>
              <c:f>[output_data.xlsx]CHARTS!$U$25:$U$27</c:f>
              <c:numCache>
                <c:formatCode>General</c:formatCode>
                <c:ptCount val="3"/>
                <c:pt idx="1">
                  <c:v>19.100000000000009</c:v>
                </c:pt>
                <c:pt idx="2">
                  <c:v>37.399999999999977</c:v>
                </c:pt>
              </c:numCache>
            </c:numRef>
          </c:val>
          <c:extLst>
            <c:ext xmlns:c16="http://schemas.microsoft.com/office/drawing/2014/chart" uri="{C3380CC4-5D6E-409C-BE32-E72D297353CC}">
              <c16:uniqueId val="{00000001-9251-42CD-A25E-B977CCC8A209}"/>
            </c:ext>
          </c:extLst>
        </c:ser>
        <c:dLbls>
          <c:showLegendKey val="0"/>
          <c:showVal val="0"/>
          <c:showCatName val="0"/>
          <c:showSerName val="0"/>
          <c:showPercent val="0"/>
          <c:showBubbleSize val="0"/>
        </c:dLbls>
        <c:gapWidth val="150"/>
        <c:overlap val="100"/>
        <c:axId val="770499104"/>
        <c:axId val="770502464"/>
      </c:barChart>
      <c:lineChart>
        <c:grouping val="standard"/>
        <c:varyColors val="0"/>
        <c:ser>
          <c:idx val="2"/>
          <c:order val="1"/>
          <c:tx>
            <c:strRef>
              <c:f>[output_data.xlsx]CHARTS!$Q$24</c:f>
              <c:strCache>
                <c:ptCount val="1"/>
                <c:pt idx="0">
                  <c:v>Steady growth</c:v>
                </c:pt>
              </c:strCache>
            </c:strRef>
          </c:tx>
          <c:spPr>
            <a:ln w="28575" cap="rnd">
              <a:noFill/>
              <a:round/>
            </a:ln>
            <a:effectLst/>
          </c:spPr>
          <c:marker>
            <c:symbol val="circle"/>
            <c:size val="7"/>
            <c:spPr>
              <a:solidFill>
                <a:srgbClr val="104C91"/>
              </a:solidFill>
              <a:ln w="9525">
                <a:solidFill>
                  <a:srgbClr val="104C91"/>
                </a:solidFill>
              </a:ln>
              <a:effectLst/>
            </c:spPr>
          </c:marker>
          <c:dPt>
            <c:idx val="0"/>
            <c:marker>
              <c:symbol val="circle"/>
              <c:size val="7"/>
              <c:spPr>
                <a:solidFill>
                  <a:srgbClr val="7A7A7A"/>
                </a:solidFill>
                <a:ln w="9525">
                  <a:solidFill>
                    <a:srgbClr val="7A7A7A"/>
                  </a:solidFill>
                </a:ln>
                <a:effectLst/>
              </c:spPr>
            </c:marker>
            <c:bubble3D val="0"/>
            <c:extLst>
              <c:ext xmlns:c16="http://schemas.microsoft.com/office/drawing/2014/chart" uri="{C3380CC4-5D6E-409C-BE32-E72D297353CC}">
                <c16:uniqueId val="{00000002-9251-42CD-A25E-B977CCC8A209}"/>
              </c:ext>
            </c:extLst>
          </c:dPt>
          <c:val>
            <c:numRef>
              <c:f>[output_data.xlsx]CHARTS!$Q$25:$Q$27</c:f>
              <c:numCache>
                <c:formatCode>0.00</c:formatCode>
                <c:ptCount val="3"/>
                <c:pt idx="0">
                  <c:v>80.95</c:v>
                </c:pt>
                <c:pt idx="1">
                  <c:v>117.52664844578</c:v>
                </c:pt>
                <c:pt idx="2">
                  <c:v>137.16894485502129</c:v>
                </c:pt>
              </c:numCache>
            </c:numRef>
          </c:val>
          <c:smooth val="0"/>
          <c:extLst>
            <c:ext xmlns:c16="http://schemas.microsoft.com/office/drawing/2014/chart" uri="{C3380CC4-5D6E-409C-BE32-E72D297353CC}">
              <c16:uniqueId val="{00000003-9251-42CD-A25E-B977CCC8A209}"/>
            </c:ext>
          </c:extLst>
        </c:ser>
        <c:ser>
          <c:idx val="3"/>
          <c:order val="2"/>
          <c:tx>
            <c:strRef>
              <c:f>[output_data.xlsx]CHARTS!$R$24</c:f>
              <c:strCache>
                <c:ptCount val="1"/>
                <c:pt idx="0">
                  <c:v>Sectoral expansion</c:v>
                </c:pt>
              </c:strCache>
            </c:strRef>
          </c:tx>
          <c:spPr>
            <a:ln w="28575" cap="rnd">
              <a:noFill/>
              <a:round/>
            </a:ln>
            <a:effectLst/>
          </c:spPr>
          <c:marker>
            <c:symbol val="circle"/>
            <c:size val="7"/>
            <c:spPr>
              <a:solidFill>
                <a:srgbClr val="86B3E1"/>
              </a:solidFill>
              <a:ln w="9525">
                <a:solidFill>
                  <a:srgbClr val="86B3E1"/>
                </a:solidFill>
              </a:ln>
              <a:effectLst/>
            </c:spPr>
          </c:marker>
          <c:val>
            <c:numRef>
              <c:f>[output_data.xlsx]CHARTS!$R$25:$R$27</c:f>
              <c:numCache>
                <c:formatCode>0.00</c:formatCode>
                <c:ptCount val="3"/>
                <c:pt idx="1">
                  <c:v>122.7063605475402</c:v>
                </c:pt>
                <c:pt idx="2">
                  <c:v>151.44791051749331</c:v>
                </c:pt>
              </c:numCache>
            </c:numRef>
          </c:val>
          <c:smooth val="0"/>
          <c:extLst>
            <c:ext xmlns:c16="http://schemas.microsoft.com/office/drawing/2014/chart" uri="{C3380CC4-5D6E-409C-BE32-E72D297353CC}">
              <c16:uniqueId val="{00000004-9251-42CD-A25E-B977CCC8A209}"/>
            </c:ext>
          </c:extLst>
        </c:ser>
        <c:ser>
          <c:idx val="4"/>
          <c:order val="3"/>
          <c:tx>
            <c:strRef>
              <c:f>[output_data.xlsx]CHARTS!$S$24</c:f>
              <c:strCache>
                <c:ptCount val="1"/>
                <c:pt idx="0">
                  <c:v>Tariff impact</c:v>
                </c:pt>
              </c:strCache>
            </c:strRef>
          </c:tx>
          <c:spPr>
            <a:ln w="28575" cap="rnd">
              <a:noFill/>
              <a:round/>
            </a:ln>
            <a:effectLst/>
          </c:spPr>
          <c:marker>
            <c:symbol val="circle"/>
            <c:size val="7"/>
            <c:spPr>
              <a:solidFill>
                <a:srgbClr val="F49B19"/>
              </a:solidFill>
              <a:ln w="9525">
                <a:solidFill>
                  <a:srgbClr val="F49B19"/>
                </a:solidFill>
              </a:ln>
              <a:effectLst/>
            </c:spPr>
          </c:marker>
          <c:val>
            <c:numRef>
              <c:f>[output_data.xlsx]CHARTS!$S$25:$S$27</c:f>
              <c:numCache>
                <c:formatCode>0.00</c:formatCode>
                <c:ptCount val="3"/>
                <c:pt idx="1">
                  <c:v>109.298334334568</c:v>
                </c:pt>
                <c:pt idx="2">
                  <c:v>130.90358290003849</c:v>
                </c:pt>
              </c:numCache>
            </c:numRef>
          </c:val>
          <c:smooth val="0"/>
          <c:extLst>
            <c:ext xmlns:c16="http://schemas.microsoft.com/office/drawing/2014/chart" uri="{C3380CC4-5D6E-409C-BE32-E72D297353CC}">
              <c16:uniqueId val="{00000005-9251-42CD-A25E-B977CCC8A209}"/>
            </c:ext>
          </c:extLst>
        </c:ser>
        <c:dLbls>
          <c:showLegendKey val="0"/>
          <c:showVal val="0"/>
          <c:showCatName val="0"/>
          <c:showSerName val="0"/>
          <c:showPercent val="0"/>
          <c:showBubbleSize val="0"/>
        </c:dLbls>
        <c:marker val="1"/>
        <c:smooth val="0"/>
        <c:axId val="770499104"/>
        <c:axId val="770502464"/>
      </c:lineChart>
      <c:catAx>
        <c:axId val="770499104"/>
        <c:scaling>
          <c:orientation val="minMax"/>
        </c:scaling>
        <c:delete val="0"/>
        <c:axPos val="b"/>
        <c:numFmt formatCode="General" sourceLinked="1"/>
        <c:majorTickMark val="out"/>
        <c:minorTickMark val="none"/>
        <c:tickLblPos val="nextTo"/>
        <c:spPr>
          <a:noFill/>
          <a:ln w="9525" cap="flat" cmpd="sng" algn="ctr">
            <a:solidFill>
              <a:srgbClr val="7A7A7A"/>
            </a:solidFill>
            <a:round/>
          </a:ln>
          <a:effectLst/>
        </c:spPr>
        <c:txPr>
          <a:bodyPr rot="-60000000" spcFirstLastPara="1" vertOverflow="ellipsis" vert="horz" wrap="square" anchor="ctr" anchorCtr="1"/>
          <a:lstStyle/>
          <a:p>
            <a:pPr>
              <a:defRPr sz="1000" b="0" i="0" u="none" strike="noStrike" kern="1200" baseline="0">
                <a:solidFill>
                  <a:srgbClr val="7A7A7A"/>
                </a:solidFill>
                <a:latin typeface="+mn-lt"/>
                <a:ea typeface="+mn-ea"/>
                <a:cs typeface="+mn-cs"/>
              </a:defRPr>
            </a:pPr>
            <a:endParaRPr lang="en-US"/>
          </a:p>
        </c:txPr>
        <c:crossAx val="770502464"/>
        <c:crosses val="autoZero"/>
        <c:auto val="1"/>
        <c:lblAlgn val="ctr"/>
        <c:lblOffset val="100"/>
        <c:noMultiLvlLbl val="0"/>
      </c:catAx>
      <c:valAx>
        <c:axId val="770502464"/>
        <c:scaling>
          <c:orientation val="minMax"/>
          <c:max val="200"/>
          <c:min val="50"/>
        </c:scaling>
        <c:delete val="0"/>
        <c:axPos val="l"/>
        <c:numFmt formatCode="General" sourceLinked="1"/>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mn-lt"/>
                <a:ea typeface="+mn-ea"/>
                <a:cs typeface="+mn-cs"/>
              </a:defRPr>
            </a:pPr>
            <a:endParaRPr lang="en-US"/>
          </a:p>
        </c:txPr>
        <c:crossAx val="770499104"/>
        <c:crosses val="autoZero"/>
        <c:crossBetween val="between"/>
        <c:majorUnit val="25"/>
      </c:valAx>
      <c:spPr>
        <a:noFill/>
        <a:ln>
          <a:noFill/>
        </a:ln>
        <a:effectLst/>
      </c:spPr>
    </c:plotArea>
    <c:legend>
      <c:legendPos val="b"/>
      <c:legendEntry>
        <c:idx val="0"/>
        <c:delete val="1"/>
      </c:legendEntry>
      <c:layout>
        <c:manualLayout>
          <c:xMode val="edge"/>
          <c:yMode val="edge"/>
          <c:x val="1.0745485991096627E-2"/>
          <c:y val="0.86151583619762173"/>
          <c:w val="0.97850881104248177"/>
          <c:h val="0.11047533771403135"/>
        </c:manualLayout>
      </c:layout>
      <c:overlay val="0"/>
      <c:spPr>
        <a:noFill/>
        <a:ln>
          <a:noFill/>
        </a:ln>
        <a:effectLst/>
      </c:spPr>
      <c:txPr>
        <a:bodyPr rot="0" spcFirstLastPara="1" vertOverflow="ellipsis" vert="horz" wrap="square" anchor="ctr" anchorCtr="1"/>
        <a:lstStyle/>
        <a:p>
          <a:pPr>
            <a:defRPr sz="1000" b="0" i="0" u="none" strike="noStrike" kern="1200" baseline="0">
              <a:solidFill>
                <a:srgbClr val="7A7A7A"/>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922024350661301E-2"/>
          <c:y val="9.3273385736038536E-2"/>
          <c:w val="0.9038248062129659"/>
          <c:h val="0.79458043540886447"/>
        </c:manualLayout>
      </c:layout>
      <c:barChart>
        <c:barDir val="col"/>
        <c:grouping val="stacked"/>
        <c:varyColors val="0"/>
        <c:ser>
          <c:idx val="0"/>
          <c:order val="0"/>
          <c:tx>
            <c:strRef>
              <c:f>[output_data.xlsx]CHARTS!$Z$24</c:f>
              <c:strCache>
                <c:ptCount val="1"/>
                <c:pt idx="0">
                  <c:v>Min</c:v>
                </c:pt>
              </c:strCache>
            </c:strRef>
          </c:tx>
          <c:spPr>
            <a:noFill/>
            <a:ln>
              <a:noFill/>
            </a:ln>
            <a:effectLst/>
          </c:spPr>
          <c:invertIfNegative val="0"/>
          <c:cat>
            <c:numRef>
              <c:f>[output_data.xlsx]CHARTS!$P$25:$P$27</c:f>
              <c:numCache>
                <c:formatCode>General</c:formatCode>
                <c:ptCount val="3"/>
                <c:pt idx="0">
                  <c:v>2023</c:v>
                </c:pt>
                <c:pt idx="1">
                  <c:v>2030</c:v>
                </c:pt>
                <c:pt idx="2">
                  <c:v>2035</c:v>
                </c:pt>
              </c:numCache>
            </c:numRef>
          </c:cat>
          <c:val>
            <c:numRef>
              <c:f>[output_data.xlsx]CHARTS!$Z$25:$Z$27</c:f>
              <c:numCache>
                <c:formatCode>General</c:formatCode>
                <c:ptCount val="3"/>
                <c:pt idx="1">
                  <c:v>18.2</c:v>
                </c:pt>
                <c:pt idx="2">
                  <c:v>23.2</c:v>
                </c:pt>
              </c:numCache>
            </c:numRef>
          </c:val>
          <c:extLst>
            <c:ext xmlns:c16="http://schemas.microsoft.com/office/drawing/2014/chart" uri="{C3380CC4-5D6E-409C-BE32-E72D297353CC}">
              <c16:uniqueId val="{00000000-C5F6-499D-9D92-B5289F294B82}"/>
            </c:ext>
          </c:extLst>
        </c:ser>
        <c:ser>
          <c:idx val="1"/>
          <c:order val="1"/>
          <c:spPr>
            <a:solidFill>
              <a:srgbClr val="7A7A7A">
                <a:alpha val="30000"/>
              </a:srgbClr>
            </a:solidFill>
            <a:ln>
              <a:noFill/>
            </a:ln>
            <a:effectLst/>
          </c:spPr>
          <c:invertIfNegative val="0"/>
          <c:cat>
            <c:numRef>
              <c:f>[output_data.xlsx]CHARTS!$P$25:$P$27</c:f>
              <c:numCache>
                <c:formatCode>General</c:formatCode>
                <c:ptCount val="3"/>
                <c:pt idx="0">
                  <c:v>2023</c:v>
                </c:pt>
                <c:pt idx="1">
                  <c:v>2030</c:v>
                </c:pt>
                <c:pt idx="2">
                  <c:v>2035</c:v>
                </c:pt>
              </c:numCache>
            </c:numRef>
          </c:cat>
          <c:val>
            <c:numRef>
              <c:f>[output_data.xlsx]CHARTS!$AA$25:$AA$27</c:f>
              <c:numCache>
                <c:formatCode>General</c:formatCode>
                <c:ptCount val="3"/>
                <c:pt idx="1">
                  <c:v>2.9000000000000021</c:v>
                </c:pt>
                <c:pt idx="2">
                  <c:v>5.75</c:v>
                </c:pt>
              </c:numCache>
            </c:numRef>
          </c:val>
          <c:extLst>
            <c:ext xmlns:c16="http://schemas.microsoft.com/office/drawing/2014/chart" uri="{C3380CC4-5D6E-409C-BE32-E72D297353CC}">
              <c16:uniqueId val="{00000001-C5F6-499D-9D92-B5289F294B82}"/>
            </c:ext>
          </c:extLst>
        </c:ser>
        <c:dLbls>
          <c:showLegendKey val="0"/>
          <c:showVal val="0"/>
          <c:showCatName val="0"/>
          <c:showSerName val="0"/>
          <c:showPercent val="0"/>
          <c:showBubbleSize val="0"/>
        </c:dLbls>
        <c:gapWidth val="150"/>
        <c:overlap val="100"/>
        <c:axId val="770499104"/>
        <c:axId val="770502464"/>
      </c:barChart>
      <c:lineChart>
        <c:grouping val="standard"/>
        <c:varyColors val="0"/>
        <c:ser>
          <c:idx val="2"/>
          <c:order val="2"/>
          <c:tx>
            <c:strRef>
              <c:f>[output_data.xlsx]CHARTS!$W$24</c:f>
              <c:strCache>
                <c:ptCount val="1"/>
                <c:pt idx="0">
                  <c:v>Steady growth</c:v>
                </c:pt>
              </c:strCache>
            </c:strRef>
          </c:tx>
          <c:spPr>
            <a:ln w="28575" cap="rnd">
              <a:noFill/>
              <a:round/>
            </a:ln>
            <a:effectLst/>
          </c:spPr>
          <c:marker>
            <c:symbol val="circle"/>
            <c:size val="7"/>
            <c:spPr>
              <a:solidFill>
                <a:srgbClr val="104C91"/>
              </a:solidFill>
              <a:ln w="9525">
                <a:solidFill>
                  <a:srgbClr val="104C91"/>
                </a:solidFill>
              </a:ln>
              <a:effectLst/>
            </c:spPr>
          </c:marker>
          <c:dPt>
            <c:idx val="0"/>
            <c:marker>
              <c:symbol val="circle"/>
              <c:size val="7"/>
              <c:spPr>
                <a:solidFill>
                  <a:srgbClr val="7A7A7A"/>
                </a:solidFill>
                <a:ln w="9525">
                  <a:solidFill>
                    <a:srgbClr val="7A7A7A"/>
                  </a:solidFill>
                </a:ln>
                <a:effectLst/>
              </c:spPr>
            </c:marker>
            <c:bubble3D val="0"/>
            <c:extLst>
              <c:ext xmlns:c16="http://schemas.microsoft.com/office/drawing/2014/chart" uri="{C3380CC4-5D6E-409C-BE32-E72D297353CC}">
                <c16:uniqueId val="{00000002-C5F6-499D-9D92-B5289F294B82}"/>
              </c:ext>
            </c:extLst>
          </c:dPt>
          <c:val>
            <c:numRef>
              <c:f>[output_data.xlsx]CHARTS!$W$25:$W$27</c:f>
              <c:numCache>
                <c:formatCode>0.00</c:formatCode>
                <c:ptCount val="3"/>
                <c:pt idx="0">
                  <c:v>12.353</c:v>
                </c:pt>
                <c:pt idx="1">
                  <c:v>18.547496676144554</c:v>
                </c:pt>
                <c:pt idx="2">
                  <c:v>21.150803401648634</c:v>
                </c:pt>
              </c:numCache>
            </c:numRef>
          </c:val>
          <c:smooth val="0"/>
          <c:extLst>
            <c:ext xmlns:c16="http://schemas.microsoft.com/office/drawing/2014/chart" uri="{C3380CC4-5D6E-409C-BE32-E72D297353CC}">
              <c16:uniqueId val="{00000003-C5F6-499D-9D92-B5289F294B82}"/>
            </c:ext>
          </c:extLst>
        </c:ser>
        <c:ser>
          <c:idx val="3"/>
          <c:order val="3"/>
          <c:tx>
            <c:strRef>
              <c:f>[output_data.xlsx]CHARTS!$X$24</c:f>
              <c:strCache>
                <c:ptCount val="1"/>
                <c:pt idx="0">
                  <c:v>Sectoral expansion</c:v>
                </c:pt>
              </c:strCache>
            </c:strRef>
          </c:tx>
          <c:spPr>
            <a:ln w="28575" cap="rnd">
              <a:noFill/>
              <a:round/>
            </a:ln>
            <a:effectLst/>
          </c:spPr>
          <c:marker>
            <c:symbol val="circle"/>
            <c:size val="7"/>
            <c:spPr>
              <a:solidFill>
                <a:srgbClr val="86B3E1"/>
              </a:solidFill>
              <a:ln w="9525">
                <a:solidFill>
                  <a:srgbClr val="86B3E1"/>
                </a:solidFill>
              </a:ln>
              <a:effectLst/>
            </c:spPr>
          </c:marker>
          <c:val>
            <c:numRef>
              <c:f>[output_data.xlsx]CHARTS!$X$25:$X$27</c:f>
              <c:numCache>
                <c:formatCode>0.00</c:formatCode>
                <c:ptCount val="3"/>
                <c:pt idx="1">
                  <c:v>19.219477175617289</c:v>
                </c:pt>
                <c:pt idx="2">
                  <c:v>23.027923939164793</c:v>
                </c:pt>
              </c:numCache>
            </c:numRef>
          </c:val>
          <c:smooth val="0"/>
          <c:extLst>
            <c:ext xmlns:c16="http://schemas.microsoft.com/office/drawing/2014/chart" uri="{C3380CC4-5D6E-409C-BE32-E72D297353CC}">
              <c16:uniqueId val="{00000004-C5F6-499D-9D92-B5289F294B82}"/>
            </c:ext>
          </c:extLst>
        </c:ser>
        <c:ser>
          <c:idx val="4"/>
          <c:order val="4"/>
          <c:tx>
            <c:strRef>
              <c:f>[output_data.xlsx]CHARTS!$Y$24</c:f>
              <c:strCache>
                <c:ptCount val="1"/>
                <c:pt idx="0">
                  <c:v>Tariff impact</c:v>
                </c:pt>
              </c:strCache>
            </c:strRef>
          </c:tx>
          <c:spPr>
            <a:ln w="28575" cap="rnd">
              <a:noFill/>
              <a:round/>
            </a:ln>
            <a:effectLst/>
          </c:spPr>
          <c:marker>
            <c:symbol val="circle"/>
            <c:size val="7"/>
            <c:spPr>
              <a:solidFill>
                <a:srgbClr val="F49B19"/>
              </a:solidFill>
              <a:ln w="9525">
                <a:solidFill>
                  <a:srgbClr val="F49B19"/>
                </a:solidFill>
              </a:ln>
              <a:effectLst/>
            </c:spPr>
          </c:marker>
          <c:val>
            <c:numRef>
              <c:f>[output_data.xlsx]CHARTS!$Y$25:$Y$27</c:f>
              <c:numCache>
                <c:formatCode>0.00</c:formatCode>
                <c:ptCount val="3"/>
                <c:pt idx="1">
                  <c:v>17.395847403824515</c:v>
                </c:pt>
                <c:pt idx="2">
                  <c:v>20.259183883376441</c:v>
                </c:pt>
              </c:numCache>
            </c:numRef>
          </c:val>
          <c:smooth val="0"/>
          <c:extLst>
            <c:ext xmlns:c16="http://schemas.microsoft.com/office/drawing/2014/chart" uri="{C3380CC4-5D6E-409C-BE32-E72D297353CC}">
              <c16:uniqueId val="{00000005-C5F6-499D-9D92-B5289F294B82}"/>
            </c:ext>
          </c:extLst>
        </c:ser>
        <c:dLbls>
          <c:showLegendKey val="0"/>
          <c:showVal val="0"/>
          <c:showCatName val="0"/>
          <c:showSerName val="0"/>
          <c:showPercent val="0"/>
          <c:showBubbleSize val="0"/>
        </c:dLbls>
        <c:marker val="1"/>
        <c:smooth val="0"/>
        <c:axId val="770499104"/>
        <c:axId val="770502464"/>
      </c:lineChart>
      <c:catAx>
        <c:axId val="770499104"/>
        <c:scaling>
          <c:orientation val="minMax"/>
        </c:scaling>
        <c:delete val="0"/>
        <c:axPos val="b"/>
        <c:numFmt formatCode="General" sourceLinked="1"/>
        <c:majorTickMark val="out"/>
        <c:minorTickMark val="none"/>
        <c:tickLblPos val="nextTo"/>
        <c:spPr>
          <a:noFill/>
          <a:ln w="9525" cap="flat" cmpd="sng" algn="ctr">
            <a:solidFill>
              <a:srgbClr val="7A7A7A"/>
            </a:solidFill>
            <a:round/>
          </a:ln>
          <a:effectLst/>
        </c:spPr>
        <c:txPr>
          <a:bodyPr rot="-60000000" spcFirstLastPara="1" vertOverflow="ellipsis" vert="horz" wrap="square" anchor="ctr" anchorCtr="1"/>
          <a:lstStyle/>
          <a:p>
            <a:pPr>
              <a:defRPr sz="1000" b="0" i="0" u="none" strike="noStrike" kern="1200" baseline="0">
                <a:solidFill>
                  <a:srgbClr val="7A7A7A"/>
                </a:solidFill>
                <a:latin typeface="+mn-lt"/>
                <a:ea typeface="+mn-ea"/>
                <a:cs typeface="+mn-cs"/>
              </a:defRPr>
            </a:pPr>
            <a:endParaRPr lang="en-US"/>
          </a:p>
        </c:txPr>
        <c:crossAx val="770502464"/>
        <c:crosses val="autoZero"/>
        <c:auto val="1"/>
        <c:lblAlgn val="ctr"/>
        <c:lblOffset val="100"/>
        <c:noMultiLvlLbl val="0"/>
      </c:catAx>
      <c:valAx>
        <c:axId val="770502464"/>
        <c:scaling>
          <c:orientation val="minMax"/>
          <c:min val="5"/>
        </c:scaling>
        <c:delete val="0"/>
        <c:axPos val="l"/>
        <c:numFmt formatCode="General" sourceLinked="1"/>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mn-lt"/>
                <a:ea typeface="+mn-ea"/>
                <a:cs typeface="+mn-cs"/>
              </a:defRPr>
            </a:pPr>
            <a:endParaRPr lang="en-US"/>
          </a:p>
        </c:txPr>
        <c:crossAx val="770499104"/>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966286428541713E-2"/>
          <c:y val="8.4379300195127405E-2"/>
          <c:w val="0.40383851688165878"/>
          <c:h val="0.63044236736623804"/>
        </c:manualLayout>
      </c:layout>
      <c:lineChart>
        <c:grouping val="standard"/>
        <c:varyColors val="0"/>
        <c:ser>
          <c:idx val="2"/>
          <c:order val="0"/>
          <c:tx>
            <c:strRef>
              <c:f>[input_data.xlsx]CHARTS!$D$88</c:f>
              <c:strCache>
                <c:ptCount val="1"/>
                <c:pt idx="0">
                  <c:v>Industry consumption (rhs)</c:v>
                </c:pt>
              </c:strCache>
            </c:strRef>
          </c:tx>
          <c:spPr>
            <a:ln w="28575" cap="rnd">
              <a:solidFill>
                <a:srgbClr val="104C91"/>
              </a:solidFill>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[input_data.xlsx]CHARTS!$D$89:$D$124</c:f>
              <c:numCache>
                <c:formatCode>General</c:formatCode>
                <c:ptCount val="36"/>
                <c:pt idx="0">
                  <c:v>15517901.919999998</c:v>
                </c:pt>
                <c:pt idx="1">
                  <c:v>14697895.359999999</c:v>
                </c:pt>
                <c:pt idx="2">
                  <c:v>14905952.579999998</c:v>
                </c:pt>
                <c:pt idx="3">
                  <c:v>14552060.859999999</c:v>
                </c:pt>
                <c:pt idx="4">
                  <c:v>14195946.899999999</c:v>
                </c:pt>
                <c:pt idx="5">
                  <c:v>13932055.899999999</c:v>
                </c:pt>
                <c:pt idx="6">
                  <c:v>14350948.139999999</c:v>
                </c:pt>
                <c:pt idx="7">
                  <c:v>13840944.059999999</c:v>
                </c:pt>
                <c:pt idx="8">
                  <c:v>13902888.999999998</c:v>
                </c:pt>
                <c:pt idx="9">
                  <c:v>13945111.559999999</c:v>
                </c:pt>
                <c:pt idx="10">
                  <c:v>13888999.999999998</c:v>
                </c:pt>
                <c:pt idx="11">
                  <c:v>14669006.239999998</c:v>
                </c:pt>
                <c:pt idx="12">
                  <c:v>14722895.559999999</c:v>
                </c:pt>
                <c:pt idx="13">
                  <c:v>14982064.299999999</c:v>
                </c:pt>
                <c:pt idx="14">
                  <c:v>15812904.279999999</c:v>
                </c:pt>
                <c:pt idx="15">
                  <c:v>16260963.419999998</c:v>
                </c:pt>
                <c:pt idx="16">
                  <c:v>16409853.499999998</c:v>
                </c:pt>
                <c:pt idx="17">
                  <c:v>17378472.359999999</c:v>
                </c:pt>
                <c:pt idx="18">
                  <c:v>15421790.039999999</c:v>
                </c:pt>
                <c:pt idx="19">
                  <c:v>17382083.5</c:v>
                </c:pt>
                <c:pt idx="20">
                  <c:v>19732380.079999998</c:v>
                </c:pt>
                <c:pt idx="21">
                  <c:v>20249328.659999996</c:v>
                </c:pt>
                <c:pt idx="22">
                  <c:v>22396568.059999999</c:v>
                </c:pt>
              </c:numCache>
            </c:numRef>
          </c:val>
          <c:smooth val="0"/>
          <c:extLst>
            <c:ext xmlns:c16="http://schemas.microsoft.com/office/drawing/2014/chart" uri="{C3380CC4-5D6E-409C-BE32-E72D297353CC}">
              <c16:uniqueId val="{00000000-B44F-4BB5-819D-357562D04451}"/>
            </c:ext>
          </c:extLst>
        </c:ser>
        <c:ser>
          <c:idx val="3"/>
          <c:order val="1"/>
          <c:tx>
            <c:strRef>
              <c:f>[input_data.xlsx]CHARTS!$E$88</c:f>
              <c:strCache>
                <c:ptCount val="1"/>
                <c:pt idx="0">
                  <c:v>Industry cons. projection - sectoral expansion (rhs)</c:v>
                </c:pt>
              </c:strCache>
            </c:strRef>
          </c:tx>
          <c:spPr>
            <a:ln w="28575" cap="rnd">
              <a:solidFill>
                <a:srgbClr val="104C91"/>
              </a:solidFill>
              <a:prstDash val="sysDash"/>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[input_data.xlsx]CHARTS!$E$89:$E$124</c:f>
              <c:numCache>
                <c:formatCode>General</c:formatCode>
                <c:ptCount val="36"/>
                <c:pt idx="22">
                  <c:v>22396568.059999999</c:v>
                </c:pt>
                <c:pt idx="23">
                  <c:v>23277051.079308935</c:v>
                </c:pt>
                <c:pt idx="24">
                  <c:v>24157534.09861787</c:v>
                </c:pt>
                <c:pt idx="25">
                  <c:v>25038017.117926806</c:v>
                </c:pt>
                <c:pt idx="26">
                  <c:v>25918500.137235742</c:v>
                </c:pt>
                <c:pt idx="27">
                  <c:v>27002536.64296791</c:v>
                </c:pt>
                <c:pt idx="28">
                  <c:v>28180292.322734285</c:v>
                </c:pt>
                <c:pt idx="29">
                  <c:v>29425946.691132177</c:v>
                </c:pt>
                <c:pt idx="30">
                  <c:v>30760470.556048468</c:v>
                </c:pt>
                <c:pt idx="31">
                  <c:v>32210723.748296127</c:v>
                </c:pt>
                <c:pt idx="32">
                  <c:v>33811586.155249186</c:v>
                </c:pt>
                <c:pt idx="33">
                  <c:v>35542158.238297887</c:v>
                </c:pt>
                <c:pt idx="34">
                  <c:v>37411040.229677804</c:v>
                </c:pt>
                <c:pt idx="35">
                  <c:v>39437875.222115993</c:v>
                </c:pt>
              </c:numCache>
            </c:numRef>
          </c:val>
          <c:smooth val="0"/>
          <c:extLst>
            <c:ext xmlns:c16="http://schemas.microsoft.com/office/drawing/2014/chart" uri="{C3380CC4-5D6E-409C-BE32-E72D297353CC}">
              <c16:uniqueId val="{00000001-B44F-4BB5-819D-357562D04451}"/>
            </c:ext>
          </c:extLst>
        </c:ser>
        <c:ser>
          <c:idx val="7"/>
          <c:order val="2"/>
          <c:tx>
            <c:strRef>
              <c:f>[input_data.xlsx]CHARTS!$I$88</c:f>
              <c:strCache>
                <c:ptCount val="1"/>
                <c:pt idx="0">
                  <c:v>Residential consumption (rhs)</c:v>
                </c:pt>
              </c:strCache>
            </c:strRef>
          </c:tx>
          <c:spPr>
            <a:ln w="28575" cap="rnd">
              <a:solidFill>
                <a:srgbClr val="86B3E1"/>
              </a:solidFill>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[input_data.xlsx]CHARTS!$I$89:$I$124</c:f>
              <c:numCache>
                <c:formatCode>General</c:formatCode>
                <c:ptCount val="36"/>
                <c:pt idx="0">
                  <c:v>7355058.8399999989</c:v>
                </c:pt>
                <c:pt idx="1">
                  <c:v>4410868.6199999992</c:v>
                </c:pt>
                <c:pt idx="2">
                  <c:v>4033921.1599999997</c:v>
                </c:pt>
                <c:pt idx="3">
                  <c:v>4171977.8199999994</c:v>
                </c:pt>
                <c:pt idx="4">
                  <c:v>4315867.8599999994</c:v>
                </c:pt>
                <c:pt idx="5">
                  <c:v>4652815</c:v>
                </c:pt>
                <c:pt idx="6">
                  <c:v>5057818.2399999993</c:v>
                </c:pt>
                <c:pt idx="7">
                  <c:v>6441995.9799999995</c:v>
                </c:pt>
                <c:pt idx="8">
                  <c:v>6060048.4799999995</c:v>
                </c:pt>
                <c:pt idx="9">
                  <c:v>10892031.579999998</c:v>
                </c:pt>
                <c:pt idx="10">
                  <c:v>11448980.479999999</c:v>
                </c:pt>
                <c:pt idx="11">
                  <c:v>11667037.779999999</c:v>
                </c:pt>
                <c:pt idx="12">
                  <c:v>12193986.439999999</c:v>
                </c:pt>
                <c:pt idx="13">
                  <c:v>12045929.699999999</c:v>
                </c:pt>
                <c:pt idx="14">
                  <c:v>12222042.219999999</c:v>
                </c:pt>
                <c:pt idx="15">
                  <c:v>12548989.279999999</c:v>
                </c:pt>
                <c:pt idx="16">
                  <c:v>11195922.899999999</c:v>
                </c:pt>
                <c:pt idx="17">
                  <c:v>12779824.459999999</c:v>
                </c:pt>
                <c:pt idx="18">
                  <c:v>13593719.859999999</c:v>
                </c:pt>
                <c:pt idx="19">
                  <c:v>13478718.939999999</c:v>
                </c:pt>
                <c:pt idx="20">
                  <c:v>15549568.839999998</c:v>
                </c:pt>
                <c:pt idx="21">
                  <c:v>15461790.359999999</c:v>
                </c:pt>
                <c:pt idx="22">
                  <c:v>17470695.319999997</c:v>
                </c:pt>
              </c:numCache>
            </c:numRef>
          </c:val>
          <c:smooth val="0"/>
          <c:extLst>
            <c:ext xmlns:c16="http://schemas.microsoft.com/office/drawing/2014/chart" uri="{C3380CC4-5D6E-409C-BE32-E72D297353CC}">
              <c16:uniqueId val="{00000002-B44F-4BB5-819D-357562D04451}"/>
            </c:ext>
          </c:extLst>
        </c:ser>
        <c:ser>
          <c:idx val="8"/>
          <c:order val="3"/>
          <c:tx>
            <c:strRef>
              <c:f>[input_data.xlsx]CHARTS!$J$88</c:f>
              <c:strCache>
                <c:ptCount val="1"/>
                <c:pt idx="0">
                  <c:v>Residential cons. projection - sectoral expansion (rhs)</c:v>
                </c:pt>
              </c:strCache>
            </c:strRef>
          </c:tx>
          <c:spPr>
            <a:ln w="28575" cap="rnd">
              <a:solidFill>
                <a:srgbClr val="86B3E1"/>
              </a:solidFill>
              <a:prstDash val="sysDash"/>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[input_data.xlsx]CHARTS!$J$89:$J$124</c:f>
              <c:numCache>
                <c:formatCode>General</c:formatCode>
                <c:ptCount val="36"/>
                <c:pt idx="22">
                  <c:v>17470695.319999997</c:v>
                </c:pt>
                <c:pt idx="23">
                  <c:v>18510349.233078312</c:v>
                </c:pt>
                <c:pt idx="24">
                  <c:v>19468358.845800482</c:v>
                </c:pt>
                <c:pt idx="25">
                  <c:v>20514001.850596689</c:v>
                </c:pt>
                <c:pt idx="26">
                  <c:v>21634666.300268058</c:v>
                </c:pt>
                <c:pt idx="27">
                  <c:v>22819253.256465644</c:v>
                </c:pt>
                <c:pt idx="28">
                  <c:v>24067336.538306303</c:v>
                </c:pt>
                <c:pt idx="29">
                  <c:v>25384194.388499625</c:v>
                </c:pt>
                <c:pt idx="30">
                  <c:v>26773121.988688633</c:v>
                </c:pt>
                <c:pt idx="31">
                  <c:v>28238089.420794051</c:v>
                </c:pt>
                <c:pt idx="32">
                  <c:v>29783279.466863256</c:v>
                </c:pt>
                <c:pt idx="33">
                  <c:v>31413083.148492079</c:v>
                </c:pt>
                <c:pt idx="34">
                  <c:v>33132145.177519839</c:v>
                </c:pt>
                <c:pt idx="35">
                  <c:v>34945357.988076061</c:v>
                </c:pt>
              </c:numCache>
            </c:numRef>
          </c:val>
          <c:smooth val="0"/>
          <c:extLst>
            <c:ext xmlns:c16="http://schemas.microsoft.com/office/drawing/2014/chart" uri="{C3380CC4-5D6E-409C-BE32-E72D297353CC}">
              <c16:uniqueId val="{00000003-B44F-4BB5-819D-357562D04451}"/>
            </c:ext>
          </c:extLst>
        </c:ser>
        <c:ser>
          <c:idx val="5"/>
          <c:order val="4"/>
          <c:tx>
            <c:strRef>
              <c:f>[input_data.xlsx]CHARTS!$G$88</c:f>
              <c:strCache>
                <c:ptCount val="1"/>
                <c:pt idx="0">
                  <c:v>Transport consumption (rhs)</c:v>
                </c:pt>
              </c:strCache>
            </c:strRef>
          </c:tx>
          <c:spPr>
            <a:ln w="28575" cap="rnd">
              <a:solidFill>
                <a:srgbClr val="CFDBE9"/>
              </a:solidFill>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[input_data.xlsx]CHARTS!$G$89:$G$124</c:f>
              <c:numCache>
                <c:formatCode>General</c:formatCode>
                <c:ptCount val="36"/>
                <c:pt idx="0">
                  <c:v>1332788.44</c:v>
                </c:pt>
                <c:pt idx="1">
                  <c:v>1225843.1399999999</c:v>
                </c:pt>
                <c:pt idx="2">
                  <c:v>1210843.0199999998</c:v>
                </c:pt>
                <c:pt idx="3">
                  <c:v>1180842.7799999998</c:v>
                </c:pt>
                <c:pt idx="4">
                  <c:v>1302788.2</c:v>
                </c:pt>
                <c:pt idx="5">
                  <c:v>1372788.7599999998</c:v>
                </c:pt>
                <c:pt idx="6">
                  <c:v>1292788.1199999999</c:v>
                </c:pt>
                <c:pt idx="7">
                  <c:v>1271954.6199999999</c:v>
                </c:pt>
                <c:pt idx="8">
                  <c:v>1235843.22</c:v>
                </c:pt>
                <c:pt idx="9">
                  <c:v>1190842.8599999999</c:v>
                </c:pt>
                <c:pt idx="10">
                  <c:v>1207787.44</c:v>
                </c:pt>
                <c:pt idx="11">
                  <c:v>1190842.8599999999</c:v>
                </c:pt>
                <c:pt idx="12">
                  <c:v>1213898.5999999999</c:v>
                </c:pt>
                <c:pt idx="13">
                  <c:v>1224732.0199999998</c:v>
                </c:pt>
                <c:pt idx="14">
                  <c:v>1193898.44</c:v>
                </c:pt>
                <c:pt idx="15">
                  <c:v>1165842.6599999999</c:v>
                </c:pt>
                <c:pt idx="16">
                  <c:v>1165842.6599999999</c:v>
                </c:pt>
                <c:pt idx="17">
                  <c:v>1221954.22</c:v>
                </c:pt>
                <c:pt idx="18">
                  <c:v>1474456.2399999998</c:v>
                </c:pt>
                <c:pt idx="19">
                  <c:v>2115016.92</c:v>
                </c:pt>
                <c:pt idx="20">
                  <c:v>1057786.24</c:v>
                </c:pt>
                <c:pt idx="21">
                  <c:v>1122231.2</c:v>
                </c:pt>
                <c:pt idx="22">
                  <c:v>1400844.5399999998</c:v>
                </c:pt>
              </c:numCache>
            </c:numRef>
          </c:val>
          <c:smooth val="0"/>
          <c:extLst>
            <c:ext xmlns:c16="http://schemas.microsoft.com/office/drawing/2014/chart" uri="{C3380CC4-5D6E-409C-BE32-E72D297353CC}">
              <c16:uniqueId val="{00000004-B44F-4BB5-819D-357562D04451}"/>
            </c:ext>
          </c:extLst>
        </c:ser>
        <c:ser>
          <c:idx val="6"/>
          <c:order val="5"/>
          <c:tx>
            <c:strRef>
              <c:f>[input_data.xlsx]CHARTS!$H$88</c:f>
              <c:strCache>
                <c:ptCount val="1"/>
                <c:pt idx="0">
                  <c:v>Transport cons. projection - sectoral expansion and tariff impact (rhs)</c:v>
                </c:pt>
              </c:strCache>
            </c:strRef>
          </c:tx>
          <c:spPr>
            <a:ln w="28575" cap="rnd">
              <a:solidFill>
                <a:srgbClr val="CFDBE9"/>
              </a:solidFill>
              <a:prstDash val="sysDash"/>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[input_data.xlsx]CHARTS!$H$89:$H$124</c:f>
              <c:numCache>
                <c:formatCode>General</c:formatCode>
                <c:ptCount val="36"/>
                <c:pt idx="22">
                  <c:v>1400844.5399999998</c:v>
                </c:pt>
                <c:pt idx="23">
                  <c:v>1566886.2497992048</c:v>
                </c:pt>
                <c:pt idx="24">
                  <c:v>1850709.5032078275</c:v>
                </c:pt>
                <c:pt idx="25">
                  <c:v>2233496.4145632661</c:v>
                </c:pt>
                <c:pt idx="26">
                  <c:v>2724907.0963073829</c:v>
                </c:pt>
                <c:pt idx="27">
                  <c:v>3331672.3589055398</c:v>
                </c:pt>
                <c:pt idx="28">
                  <c:v>4096866.3952910989</c:v>
                </c:pt>
                <c:pt idx="29">
                  <c:v>5075257.2842207411</c:v>
                </c:pt>
                <c:pt idx="30">
                  <c:v>5741375.8886753088</c:v>
                </c:pt>
                <c:pt idx="31">
                  <c:v>6948625.9145680973</c:v>
                </c:pt>
                <c:pt idx="32">
                  <c:v>8155489.2059278376</c:v>
                </c:pt>
                <c:pt idx="33">
                  <c:v>9362113.1122559793</c:v>
                </c:pt>
                <c:pt idx="34">
                  <c:v>10568494.020077012</c:v>
                </c:pt>
                <c:pt idx="35">
                  <c:v>11774670.936395826</c:v>
                </c:pt>
              </c:numCache>
            </c:numRef>
          </c:val>
          <c:smooth val="0"/>
          <c:extLst>
            <c:ext xmlns:c16="http://schemas.microsoft.com/office/drawing/2014/chart" uri="{C3380CC4-5D6E-409C-BE32-E72D297353CC}">
              <c16:uniqueId val="{00000005-B44F-4BB5-819D-357562D04451}"/>
            </c:ext>
          </c:extLst>
        </c:ser>
        <c:dLbls>
          <c:showLegendKey val="0"/>
          <c:showVal val="0"/>
          <c:showCatName val="0"/>
          <c:showSerName val="0"/>
          <c:showPercent val="0"/>
          <c:showBubbleSize val="0"/>
        </c:dLbls>
        <c:smooth val="0"/>
        <c:axId val="1728239055"/>
        <c:axId val="1728236175"/>
      </c:lineChart>
      <c:dateAx>
        <c:axId val="1728239055"/>
        <c:scaling>
          <c:orientation val="minMax"/>
        </c:scaling>
        <c:delete val="0"/>
        <c:axPos val="b"/>
        <c:numFmt formatCode="General" sourceLinked="1"/>
        <c:majorTickMark val="out"/>
        <c:minorTickMark val="none"/>
        <c:tickLblPos val="nextTo"/>
        <c:spPr>
          <a:noFill/>
          <a:ln w="9525" cap="flat" cmpd="sng" algn="ctr">
            <a:solidFill>
              <a:srgbClr val="7A7A7A"/>
            </a:solidFill>
            <a:round/>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728236175"/>
        <c:crosses val="autoZero"/>
        <c:auto val="0"/>
        <c:lblOffset val="100"/>
        <c:baseTimeUnit val="days"/>
        <c:majorUnit val="5"/>
        <c:majorTimeUnit val="days"/>
      </c:dateAx>
      <c:valAx>
        <c:axId val="1728236175"/>
        <c:scaling>
          <c:orientation val="minMax"/>
        </c:scaling>
        <c:delete val="0"/>
        <c:axPos val="l"/>
        <c:title>
          <c:tx>
            <c:rich>
              <a:bodyPr rot="0" spcFirstLastPara="1" vertOverflow="ellipsis" wrap="square" anchor="ctr" anchorCtr="1"/>
              <a:lstStyle/>
              <a:p>
                <a:pPr>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r>
                  <a:rPr lang="de-DE" sz="1000"/>
                  <a:t>TWh</a:t>
                </a:r>
              </a:p>
            </c:rich>
          </c:tx>
          <c:layout>
            <c:manualLayout>
              <c:xMode val="edge"/>
              <c:yMode val="edge"/>
              <c:x val="8.5653019973141689E-2"/>
              <c:y val="5.9137007458218017E-2"/>
            </c:manualLayout>
          </c:layout>
          <c:overlay val="0"/>
          <c:spPr>
            <a:noFill/>
            <a:ln>
              <a:noFill/>
            </a:ln>
            <a:effectLst/>
          </c:spPr>
          <c:txPr>
            <a:bodyPr rot="0" spcFirstLastPara="1" vertOverflow="ellipsis" wrap="square" anchor="ctr" anchorCtr="1"/>
            <a:lstStyle/>
            <a:p>
              <a:pPr>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title>
        <c:numFmt formatCode="General" sourceLinked="1"/>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728239055"/>
        <c:crosses val="autoZero"/>
        <c:crossBetween val="between"/>
        <c:dispUnits>
          <c:builtInUnit val="millions"/>
        </c:dispUnits>
      </c:valAx>
      <c:spPr>
        <a:noFill/>
        <a:ln>
          <a:noFill/>
        </a:ln>
        <a:effectLst/>
      </c:spPr>
    </c:plotArea>
    <c:legend>
      <c:legendPos val="b"/>
      <c:legendEntry>
        <c:idx val="1"/>
        <c:delete val="1"/>
      </c:legendEntry>
      <c:legendEntry>
        <c:idx val="3"/>
        <c:delete val="1"/>
      </c:legendEntry>
      <c:legendEntry>
        <c:idx val="5"/>
        <c:delete val="1"/>
      </c:legendEntry>
      <c:layout>
        <c:manualLayout>
          <c:xMode val="edge"/>
          <c:yMode val="edge"/>
          <c:x val="0.15912825840901548"/>
          <c:y val="0.85094293577387725"/>
          <c:w val="0.6636516268161573"/>
          <c:h val="0.14905670053037753"/>
        </c:manualLayout>
      </c:layout>
      <c:overlay val="0"/>
      <c:spPr>
        <a:noFill/>
        <a:ln>
          <a:noFill/>
        </a:ln>
        <a:effectLst/>
      </c:spPr>
      <c:txPr>
        <a:bodyPr rot="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966286428541713E-2"/>
          <c:y val="8.0102258345451621E-2"/>
          <c:w val="0.80578817538579084"/>
          <c:h val="0.63014331121170963"/>
        </c:manualLayout>
      </c:layout>
      <c:lineChart>
        <c:grouping val="standard"/>
        <c:varyColors val="0"/>
        <c:ser>
          <c:idx val="2"/>
          <c:order val="0"/>
          <c:tx>
            <c:strRef>
              <c:f>[input_data.xlsx]CHARTS!$D$88</c:f>
              <c:strCache>
                <c:ptCount val="1"/>
                <c:pt idx="0">
                  <c:v>Industry consumption (rhs)</c:v>
                </c:pt>
              </c:strCache>
            </c:strRef>
          </c:tx>
          <c:spPr>
            <a:ln w="28575" cap="rnd">
              <a:solidFill>
                <a:srgbClr val="104C91"/>
              </a:solidFill>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[input_data.xlsx]CHARTS!$D$89:$D$124</c:f>
              <c:numCache>
                <c:formatCode>General</c:formatCode>
                <c:ptCount val="36"/>
                <c:pt idx="0">
                  <c:v>15517901.919999998</c:v>
                </c:pt>
                <c:pt idx="1">
                  <c:v>14697895.359999999</c:v>
                </c:pt>
                <c:pt idx="2">
                  <c:v>14905952.579999998</c:v>
                </c:pt>
                <c:pt idx="3">
                  <c:v>14552060.859999999</c:v>
                </c:pt>
                <c:pt idx="4">
                  <c:v>14195946.899999999</c:v>
                </c:pt>
                <c:pt idx="5">
                  <c:v>13932055.899999999</c:v>
                </c:pt>
                <c:pt idx="6">
                  <c:v>14350948.139999999</c:v>
                </c:pt>
                <c:pt idx="7">
                  <c:v>13840944.059999999</c:v>
                </c:pt>
                <c:pt idx="8">
                  <c:v>13902888.999999998</c:v>
                </c:pt>
                <c:pt idx="9">
                  <c:v>13945111.559999999</c:v>
                </c:pt>
                <c:pt idx="10">
                  <c:v>13888999.999999998</c:v>
                </c:pt>
                <c:pt idx="11">
                  <c:v>14669006.239999998</c:v>
                </c:pt>
                <c:pt idx="12">
                  <c:v>14722895.559999999</c:v>
                </c:pt>
                <c:pt idx="13">
                  <c:v>14982064.299999999</c:v>
                </c:pt>
                <c:pt idx="14">
                  <c:v>15812904.279999999</c:v>
                </c:pt>
                <c:pt idx="15">
                  <c:v>16260963.419999998</c:v>
                </c:pt>
                <c:pt idx="16">
                  <c:v>16409853.499999998</c:v>
                </c:pt>
                <c:pt idx="17">
                  <c:v>17378472.359999999</c:v>
                </c:pt>
                <c:pt idx="18">
                  <c:v>15421790.039999999</c:v>
                </c:pt>
                <c:pt idx="19">
                  <c:v>17382083.5</c:v>
                </c:pt>
                <c:pt idx="20">
                  <c:v>19732380.079999998</c:v>
                </c:pt>
                <c:pt idx="21">
                  <c:v>20249328.659999996</c:v>
                </c:pt>
                <c:pt idx="22">
                  <c:v>22396568.059999999</c:v>
                </c:pt>
              </c:numCache>
            </c:numRef>
          </c:val>
          <c:smooth val="0"/>
          <c:extLst>
            <c:ext xmlns:c16="http://schemas.microsoft.com/office/drawing/2014/chart" uri="{C3380CC4-5D6E-409C-BE32-E72D297353CC}">
              <c16:uniqueId val="{00000000-D054-4BD1-9623-249D7FE6AF7E}"/>
            </c:ext>
          </c:extLst>
        </c:ser>
        <c:ser>
          <c:idx val="4"/>
          <c:order val="1"/>
          <c:tx>
            <c:strRef>
              <c:f>[input_data.xlsx]CHARTS!$F$88</c:f>
              <c:strCache>
                <c:ptCount val="1"/>
                <c:pt idx="0">
                  <c:v>Industry cons. projection - tariff impact (rhs)</c:v>
                </c:pt>
              </c:strCache>
            </c:strRef>
          </c:tx>
          <c:spPr>
            <a:ln w="28575" cap="rnd">
              <a:solidFill>
                <a:srgbClr val="104C91"/>
              </a:solidFill>
              <a:prstDash val="sysDot"/>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[input_data.xlsx]CHARTS!$F$89:$F$124</c:f>
              <c:numCache>
                <c:formatCode>General</c:formatCode>
                <c:ptCount val="36"/>
                <c:pt idx="22">
                  <c:v>22396568.059999999</c:v>
                </c:pt>
                <c:pt idx="23">
                  <c:v>20525659.244898688</c:v>
                </c:pt>
                <c:pt idx="24">
                  <c:v>21725646.752144441</c:v>
                </c:pt>
                <c:pt idx="25">
                  <c:v>22563939.210219372</c:v>
                </c:pt>
                <c:pt idx="26">
                  <c:v>23444422.229528308</c:v>
                </c:pt>
                <c:pt idx="27">
                  <c:v>24528458.735260475</c:v>
                </c:pt>
                <c:pt idx="28">
                  <c:v>25706214.415026851</c:v>
                </c:pt>
                <c:pt idx="29">
                  <c:v>26951868.783424743</c:v>
                </c:pt>
                <c:pt idx="30">
                  <c:v>28286392.648341034</c:v>
                </c:pt>
                <c:pt idx="31">
                  <c:v>29736645.840588693</c:v>
                </c:pt>
                <c:pt idx="32">
                  <c:v>31337508.247541752</c:v>
                </c:pt>
                <c:pt idx="33">
                  <c:v>33068080.330590457</c:v>
                </c:pt>
                <c:pt idx="34">
                  <c:v>34936962.321970373</c:v>
                </c:pt>
                <c:pt idx="35">
                  <c:v>36963797.314408563</c:v>
                </c:pt>
              </c:numCache>
            </c:numRef>
          </c:val>
          <c:smooth val="0"/>
          <c:extLst>
            <c:ext xmlns:c16="http://schemas.microsoft.com/office/drawing/2014/chart" uri="{C3380CC4-5D6E-409C-BE32-E72D297353CC}">
              <c16:uniqueId val="{00000001-D054-4BD1-9623-249D7FE6AF7E}"/>
            </c:ext>
          </c:extLst>
        </c:ser>
        <c:ser>
          <c:idx val="7"/>
          <c:order val="2"/>
          <c:tx>
            <c:strRef>
              <c:f>[input_data.xlsx]CHARTS!$I$88</c:f>
              <c:strCache>
                <c:ptCount val="1"/>
                <c:pt idx="0">
                  <c:v>Residential consumption (rhs)</c:v>
                </c:pt>
              </c:strCache>
            </c:strRef>
          </c:tx>
          <c:spPr>
            <a:ln w="28575" cap="rnd">
              <a:solidFill>
                <a:srgbClr val="86B3E1"/>
              </a:solidFill>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[input_data.xlsx]CHARTS!$I$89:$I$124</c:f>
              <c:numCache>
                <c:formatCode>General</c:formatCode>
                <c:ptCount val="36"/>
                <c:pt idx="0">
                  <c:v>7355058.8399999989</c:v>
                </c:pt>
                <c:pt idx="1">
                  <c:v>4410868.6199999992</c:v>
                </c:pt>
                <c:pt idx="2">
                  <c:v>4033921.1599999997</c:v>
                </c:pt>
                <c:pt idx="3">
                  <c:v>4171977.8199999994</c:v>
                </c:pt>
                <c:pt idx="4">
                  <c:v>4315867.8599999994</c:v>
                </c:pt>
                <c:pt idx="5">
                  <c:v>4652815</c:v>
                </c:pt>
                <c:pt idx="6">
                  <c:v>5057818.2399999993</c:v>
                </c:pt>
                <c:pt idx="7">
                  <c:v>6441995.9799999995</c:v>
                </c:pt>
                <c:pt idx="8">
                  <c:v>6060048.4799999995</c:v>
                </c:pt>
                <c:pt idx="9">
                  <c:v>10892031.579999998</c:v>
                </c:pt>
                <c:pt idx="10">
                  <c:v>11448980.479999999</c:v>
                </c:pt>
                <c:pt idx="11">
                  <c:v>11667037.779999999</c:v>
                </c:pt>
                <c:pt idx="12">
                  <c:v>12193986.439999999</c:v>
                </c:pt>
                <c:pt idx="13">
                  <c:v>12045929.699999999</c:v>
                </c:pt>
                <c:pt idx="14">
                  <c:v>12222042.219999999</c:v>
                </c:pt>
                <c:pt idx="15">
                  <c:v>12548989.279999999</c:v>
                </c:pt>
                <c:pt idx="16">
                  <c:v>11195922.899999999</c:v>
                </c:pt>
                <c:pt idx="17">
                  <c:v>12779824.459999999</c:v>
                </c:pt>
                <c:pt idx="18">
                  <c:v>13593719.859999999</c:v>
                </c:pt>
                <c:pt idx="19">
                  <c:v>13478718.939999999</c:v>
                </c:pt>
                <c:pt idx="20">
                  <c:v>15549568.839999998</c:v>
                </c:pt>
                <c:pt idx="21">
                  <c:v>15461790.359999999</c:v>
                </c:pt>
                <c:pt idx="22">
                  <c:v>17470695.319999997</c:v>
                </c:pt>
              </c:numCache>
            </c:numRef>
          </c:val>
          <c:smooth val="0"/>
          <c:extLst>
            <c:ext xmlns:c16="http://schemas.microsoft.com/office/drawing/2014/chart" uri="{C3380CC4-5D6E-409C-BE32-E72D297353CC}">
              <c16:uniqueId val="{00000002-D054-4BD1-9623-249D7FE6AF7E}"/>
            </c:ext>
          </c:extLst>
        </c:ser>
        <c:ser>
          <c:idx val="9"/>
          <c:order val="3"/>
          <c:tx>
            <c:strRef>
              <c:f>[input_data.xlsx]CHARTS!$K$88</c:f>
              <c:strCache>
                <c:ptCount val="1"/>
                <c:pt idx="0">
                  <c:v>Residential cons. projection - tariff impact (rhs)</c:v>
                </c:pt>
              </c:strCache>
            </c:strRef>
          </c:tx>
          <c:spPr>
            <a:ln w="28575" cap="rnd">
              <a:solidFill>
                <a:srgbClr val="86B3E1"/>
              </a:solidFill>
              <a:prstDash val="sysDot"/>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[input_data.xlsx]CHARTS!$K$89:$K$124</c:f>
              <c:numCache>
                <c:formatCode>General</c:formatCode>
                <c:ptCount val="36"/>
                <c:pt idx="22">
                  <c:v>17470695.319999997</c:v>
                </c:pt>
                <c:pt idx="23">
                  <c:v>18677875.20848405</c:v>
                </c:pt>
                <c:pt idx="24">
                  <c:v>17580528.111438099</c:v>
                </c:pt>
                <c:pt idx="25">
                  <c:v>18375695.555135239</c:v>
                </c:pt>
                <c:pt idx="26">
                  <c:v>19379545.944571819</c:v>
                </c:pt>
                <c:pt idx="27">
                  <c:v>20440655.786727656</c:v>
                </c:pt>
                <c:pt idx="28">
                  <c:v>21558643.324292924</c:v>
                </c:pt>
                <c:pt idx="29">
                  <c:v>22738236.61480628</c:v>
                </c:pt>
                <c:pt idx="30">
                  <c:v>23982387.361943677</c:v>
                </c:pt>
                <c:pt idx="31">
                  <c:v>25294651.820463967</c:v>
                </c:pt>
                <c:pt idx="32">
                  <c:v>26678776.774151012</c:v>
                </c:pt>
                <c:pt idx="33">
                  <c:v>28138695.540190253</c:v>
                </c:pt>
                <c:pt idx="34">
                  <c:v>29678568.682245582</c:v>
                </c:pt>
                <c:pt idx="35">
                  <c:v>31302778.664584212</c:v>
                </c:pt>
              </c:numCache>
            </c:numRef>
          </c:val>
          <c:smooth val="0"/>
          <c:extLst>
            <c:ext xmlns:c16="http://schemas.microsoft.com/office/drawing/2014/chart" uri="{C3380CC4-5D6E-409C-BE32-E72D297353CC}">
              <c16:uniqueId val="{00000003-D054-4BD1-9623-249D7FE6AF7E}"/>
            </c:ext>
          </c:extLst>
        </c:ser>
        <c:ser>
          <c:idx val="5"/>
          <c:order val="4"/>
          <c:tx>
            <c:strRef>
              <c:f>[input_data.xlsx]CHARTS!$G$88</c:f>
              <c:strCache>
                <c:ptCount val="1"/>
                <c:pt idx="0">
                  <c:v>Transport consumption (rhs)</c:v>
                </c:pt>
              </c:strCache>
            </c:strRef>
          </c:tx>
          <c:spPr>
            <a:ln w="28575" cap="rnd">
              <a:solidFill>
                <a:srgbClr val="CFDBE9"/>
              </a:solidFill>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[input_data.xlsx]CHARTS!$G$89:$G$124</c:f>
              <c:numCache>
                <c:formatCode>General</c:formatCode>
                <c:ptCount val="36"/>
                <c:pt idx="0">
                  <c:v>1332788.44</c:v>
                </c:pt>
                <c:pt idx="1">
                  <c:v>1225843.1399999999</c:v>
                </c:pt>
                <c:pt idx="2">
                  <c:v>1210843.0199999998</c:v>
                </c:pt>
                <c:pt idx="3">
                  <c:v>1180842.7799999998</c:v>
                </c:pt>
                <c:pt idx="4">
                  <c:v>1302788.2</c:v>
                </c:pt>
                <c:pt idx="5">
                  <c:v>1372788.7599999998</c:v>
                </c:pt>
                <c:pt idx="6">
                  <c:v>1292788.1199999999</c:v>
                </c:pt>
                <c:pt idx="7">
                  <c:v>1271954.6199999999</c:v>
                </c:pt>
                <c:pt idx="8">
                  <c:v>1235843.22</c:v>
                </c:pt>
                <c:pt idx="9">
                  <c:v>1190842.8599999999</c:v>
                </c:pt>
                <c:pt idx="10">
                  <c:v>1207787.44</c:v>
                </c:pt>
                <c:pt idx="11">
                  <c:v>1190842.8599999999</c:v>
                </c:pt>
                <c:pt idx="12">
                  <c:v>1213898.5999999999</c:v>
                </c:pt>
                <c:pt idx="13">
                  <c:v>1224732.0199999998</c:v>
                </c:pt>
                <c:pt idx="14">
                  <c:v>1193898.44</c:v>
                </c:pt>
                <c:pt idx="15">
                  <c:v>1165842.6599999999</c:v>
                </c:pt>
                <c:pt idx="16">
                  <c:v>1165842.6599999999</c:v>
                </c:pt>
                <c:pt idx="17">
                  <c:v>1221954.22</c:v>
                </c:pt>
                <c:pt idx="18">
                  <c:v>1474456.2399999998</c:v>
                </c:pt>
                <c:pt idx="19">
                  <c:v>2115016.92</c:v>
                </c:pt>
                <c:pt idx="20">
                  <c:v>1057786.24</c:v>
                </c:pt>
                <c:pt idx="21">
                  <c:v>1122231.2</c:v>
                </c:pt>
                <c:pt idx="22">
                  <c:v>1400844.5399999998</c:v>
                </c:pt>
              </c:numCache>
            </c:numRef>
          </c:val>
          <c:smooth val="0"/>
          <c:extLst>
            <c:ext xmlns:c16="http://schemas.microsoft.com/office/drawing/2014/chart" uri="{C3380CC4-5D6E-409C-BE32-E72D297353CC}">
              <c16:uniqueId val="{00000004-D054-4BD1-9623-249D7FE6AF7E}"/>
            </c:ext>
          </c:extLst>
        </c:ser>
        <c:ser>
          <c:idx val="6"/>
          <c:order val="5"/>
          <c:tx>
            <c:strRef>
              <c:f>[input_data.xlsx]CHARTS!$H$88</c:f>
              <c:strCache>
                <c:ptCount val="1"/>
                <c:pt idx="0">
                  <c:v>Transport cons. projection - sectoral expansion and tariff impact (rhs)</c:v>
                </c:pt>
              </c:strCache>
            </c:strRef>
          </c:tx>
          <c:spPr>
            <a:ln w="28575" cap="rnd">
              <a:solidFill>
                <a:srgbClr val="CFDBE9"/>
              </a:solidFill>
              <a:prstDash val="sysDash"/>
              <a:round/>
            </a:ln>
            <a:effectLst/>
          </c:spPr>
          <c:marker>
            <c:symbol val="none"/>
          </c:marker>
          <c:cat>
            <c:numRef>
              <c:f>[input_data.xlsx]CHARTS!$A$89:$A$124</c:f>
              <c:numCache>
                <c:formatCode>General</c:formatCode>
                <c:ptCount val="3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pt idx="24">
                  <c:v>2024</c:v>
                </c:pt>
                <c:pt idx="25">
                  <c:v>2025</c:v>
                </c:pt>
                <c:pt idx="26">
                  <c:v>2026</c:v>
                </c:pt>
                <c:pt idx="27">
                  <c:v>2027</c:v>
                </c:pt>
                <c:pt idx="28">
                  <c:v>2028</c:v>
                </c:pt>
                <c:pt idx="29">
                  <c:v>2029</c:v>
                </c:pt>
                <c:pt idx="30">
                  <c:v>2030</c:v>
                </c:pt>
                <c:pt idx="31">
                  <c:v>2031</c:v>
                </c:pt>
                <c:pt idx="32">
                  <c:v>2032</c:v>
                </c:pt>
                <c:pt idx="33">
                  <c:v>2033</c:v>
                </c:pt>
                <c:pt idx="34">
                  <c:v>2034</c:v>
                </c:pt>
                <c:pt idx="35">
                  <c:v>2035</c:v>
                </c:pt>
              </c:numCache>
            </c:numRef>
          </c:cat>
          <c:val>
            <c:numRef>
              <c:f>[input_data.xlsx]CHARTS!$H$89:$H$124</c:f>
              <c:numCache>
                <c:formatCode>General</c:formatCode>
                <c:ptCount val="36"/>
                <c:pt idx="22">
                  <c:v>1400844.5399999998</c:v>
                </c:pt>
                <c:pt idx="23">
                  <c:v>1566886.2497992048</c:v>
                </c:pt>
                <c:pt idx="24">
                  <c:v>1850709.5032078275</c:v>
                </c:pt>
                <c:pt idx="25">
                  <c:v>2233496.4145632661</c:v>
                </c:pt>
                <c:pt idx="26">
                  <c:v>2724907.0963073829</c:v>
                </c:pt>
                <c:pt idx="27">
                  <c:v>3331672.3589055398</c:v>
                </c:pt>
                <c:pt idx="28">
                  <c:v>4096866.3952910989</c:v>
                </c:pt>
                <c:pt idx="29">
                  <c:v>5075257.2842207411</c:v>
                </c:pt>
                <c:pt idx="30">
                  <c:v>5741375.8886753088</c:v>
                </c:pt>
                <c:pt idx="31">
                  <c:v>6948625.9145680973</c:v>
                </c:pt>
                <c:pt idx="32">
                  <c:v>8155489.2059278376</c:v>
                </c:pt>
                <c:pt idx="33">
                  <c:v>9362113.1122559793</c:v>
                </c:pt>
                <c:pt idx="34">
                  <c:v>10568494.020077012</c:v>
                </c:pt>
                <c:pt idx="35">
                  <c:v>11774670.936395826</c:v>
                </c:pt>
              </c:numCache>
            </c:numRef>
          </c:val>
          <c:smooth val="0"/>
          <c:extLst>
            <c:ext xmlns:c16="http://schemas.microsoft.com/office/drawing/2014/chart" uri="{C3380CC4-5D6E-409C-BE32-E72D297353CC}">
              <c16:uniqueId val="{00000005-D054-4BD1-9623-249D7FE6AF7E}"/>
            </c:ext>
          </c:extLst>
        </c:ser>
        <c:dLbls>
          <c:showLegendKey val="0"/>
          <c:showVal val="0"/>
          <c:showCatName val="0"/>
          <c:showSerName val="0"/>
          <c:showPercent val="0"/>
          <c:showBubbleSize val="0"/>
        </c:dLbls>
        <c:smooth val="0"/>
        <c:axId val="1728239055"/>
        <c:axId val="1728236175"/>
      </c:lineChart>
      <c:dateAx>
        <c:axId val="1728239055"/>
        <c:scaling>
          <c:orientation val="minMax"/>
        </c:scaling>
        <c:delete val="0"/>
        <c:axPos val="b"/>
        <c:numFmt formatCode="General" sourceLinked="1"/>
        <c:majorTickMark val="out"/>
        <c:minorTickMark val="none"/>
        <c:tickLblPos val="nextTo"/>
        <c:spPr>
          <a:noFill/>
          <a:ln w="9525" cap="flat" cmpd="sng" algn="ctr">
            <a:solidFill>
              <a:srgbClr val="7A7A7A"/>
            </a:solidFill>
            <a:round/>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728236175"/>
        <c:crosses val="autoZero"/>
        <c:auto val="0"/>
        <c:lblOffset val="100"/>
        <c:baseTimeUnit val="days"/>
        <c:majorUnit val="5"/>
        <c:majorTimeUnit val="days"/>
      </c:dateAx>
      <c:valAx>
        <c:axId val="1728236175"/>
        <c:scaling>
          <c:orientation val="minMax"/>
          <c:max val="45000000"/>
        </c:scaling>
        <c:delete val="0"/>
        <c:axPos val="l"/>
        <c:title>
          <c:tx>
            <c:rich>
              <a:bodyPr rot="0" spcFirstLastPara="1" vertOverflow="ellipsis" wrap="square" anchor="ctr" anchorCtr="1"/>
              <a:lstStyle/>
              <a:p>
                <a:pPr>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r>
                  <a:rPr lang="de-DE" sz="1000"/>
                  <a:t>TWh</a:t>
                </a:r>
              </a:p>
            </c:rich>
          </c:tx>
          <c:layout>
            <c:manualLayout>
              <c:xMode val="edge"/>
              <c:yMode val="edge"/>
              <c:x val="0.11884259276211587"/>
              <c:y val="5.4710437531277974E-2"/>
            </c:manualLayout>
          </c:layout>
          <c:overlay val="0"/>
          <c:spPr>
            <a:noFill/>
            <a:ln>
              <a:noFill/>
            </a:ln>
            <a:effectLst/>
          </c:spPr>
          <c:txPr>
            <a:bodyPr rot="0" spcFirstLastPara="1" vertOverflow="ellipsis" wrap="square" anchor="ctr" anchorCtr="1"/>
            <a:lstStyle/>
            <a:p>
              <a:pPr>
                <a:defRPr sz="9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title>
        <c:numFmt formatCode="General" sourceLinked="1"/>
        <c:majorTickMark val="out"/>
        <c:minorTickMark val="none"/>
        <c:tickLblPos val="nextTo"/>
        <c:spPr>
          <a:noFill/>
          <a:ln>
            <a:solidFill>
              <a:srgbClr val="7A7A7A"/>
            </a:solidFill>
          </a:ln>
          <a:effectLst/>
        </c:spPr>
        <c:txPr>
          <a:bodyPr rot="-60000000" spcFirstLastPara="1" vertOverflow="ellipsis" vert="horz" wrap="square" anchor="ctr" anchorCtr="1"/>
          <a:lstStyle/>
          <a:p>
            <a:pPr>
              <a:defRPr sz="1000" b="0" i="0" u="none" strike="noStrike" kern="1200" baseline="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crossAx val="1728239055"/>
        <c:crosses val="autoZero"/>
        <c:crossBetween val="between"/>
        <c:dispUnits>
          <c:builtInUnit val="million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rgbClr val="7A7A7A"/>
          </a:solidFill>
          <a:latin typeface="Calibri" panose="020F0502020204030204" pitchFamily="34" charset="0"/>
          <a:ea typeface="Calibri" panose="020F0502020204030204" pitchFamily="34" charset="0"/>
          <a:cs typeface="Calibri" panose="020F050202020403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00088C-6CFB-4DB7-8446-CB728AFAA8DA}"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e-DE"/>
        </a:p>
      </dgm:t>
    </dgm:pt>
    <dgm:pt modelId="{C159A23F-D24D-4D6C-A311-81E47B509861}">
      <dgm:prSet phldrT="[Text]" custT="1"/>
      <dgm:spPr>
        <a:solidFill>
          <a:srgbClr val="104C91"/>
        </a:solidFill>
      </dgm:spPr>
      <dgm:t>
        <a:bodyPr/>
        <a:lstStyle/>
        <a:p>
          <a:r>
            <a:rPr lang="de-DE" sz="1400"/>
            <a:t>Steady growth</a:t>
          </a:r>
        </a:p>
      </dgm:t>
    </dgm:pt>
    <dgm:pt modelId="{808D8165-A073-4F98-8913-59E6DC658E44}" type="parTrans" cxnId="{24A3B188-E19B-4227-B208-F089F968E63F}">
      <dgm:prSet/>
      <dgm:spPr/>
      <dgm:t>
        <a:bodyPr/>
        <a:lstStyle/>
        <a:p>
          <a:endParaRPr lang="de-DE"/>
        </a:p>
      </dgm:t>
    </dgm:pt>
    <dgm:pt modelId="{7D122BFE-50D5-497E-86A2-70DF93AE88A7}" type="sibTrans" cxnId="{24A3B188-E19B-4227-B208-F089F968E63F}">
      <dgm:prSet/>
      <dgm:spPr/>
      <dgm:t>
        <a:bodyPr/>
        <a:lstStyle/>
        <a:p>
          <a:endParaRPr lang="de-DE"/>
        </a:p>
      </dgm:t>
    </dgm:pt>
    <dgm:pt modelId="{4709CDAF-0791-4A07-A5E5-2AD2FC5C7C6A}">
      <dgm:prSet phldrT="[Text]" custT="1"/>
      <dgm:spPr>
        <a:solidFill>
          <a:srgbClr val="86B3E1">
            <a:alpha val="90000"/>
          </a:srgbClr>
        </a:solidFill>
        <a:ln>
          <a:solidFill>
            <a:srgbClr val="86B3E1"/>
          </a:solidFill>
        </a:ln>
      </dgm:spPr>
      <dgm:t>
        <a:bodyPr/>
        <a:lstStyle/>
        <a:p>
          <a:r>
            <a:rPr lang="de-DE" sz="1200">
              <a:solidFill>
                <a:srgbClr val="104C91"/>
              </a:solidFill>
            </a:rPr>
            <a:t>GDP</a:t>
          </a:r>
        </a:p>
      </dgm:t>
    </dgm:pt>
    <dgm:pt modelId="{F96998A5-E278-4C19-9295-7EAE6862633A}" type="parTrans" cxnId="{CE2F21F2-6E69-4F65-812F-4F891C5ED3B3}">
      <dgm:prSet/>
      <dgm:spPr/>
      <dgm:t>
        <a:bodyPr/>
        <a:lstStyle/>
        <a:p>
          <a:endParaRPr lang="de-DE"/>
        </a:p>
      </dgm:t>
    </dgm:pt>
    <dgm:pt modelId="{7850E088-C778-4C3C-A10A-CE579524224D}" type="sibTrans" cxnId="{CE2F21F2-6E69-4F65-812F-4F891C5ED3B3}">
      <dgm:prSet/>
      <dgm:spPr/>
      <dgm:t>
        <a:bodyPr/>
        <a:lstStyle/>
        <a:p>
          <a:endParaRPr lang="de-DE"/>
        </a:p>
      </dgm:t>
    </dgm:pt>
    <dgm:pt modelId="{7BE0E650-79BA-47C3-8B49-75D79BF542D6}">
      <dgm:prSet phldrT="[Text]" custT="1"/>
      <dgm:spPr>
        <a:solidFill>
          <a:srgbClr val="104C91"/>
        </a:solidFill>
      </dgm:spPr>
      <dgm:t>
        <a:bodyPr/>
        <a:lstStyle/>
        <a:p>
          <a:r>
            <a:rPr lang="de-DE" sz="1400"/>
            <a:t>Sectoral expansion</a:t>
          </a:r>
        </a:p>
      </dgm:t>
    </dgm:pt>
    <dgm:pt modelId="{1914277A-4DDB-46CF-935C-A819B825B42D}" type="parTrans" cxnId="{6E62BC8C-675F-4943-9124-651A2B0967F1}">
      <dgm:prSet/>
      <dgm:spPr/>
      <dgm:t>
        <a:bodyPr/>
        <a:lstStyle/>
        <a:p>
          <a:endParaRPr lang="de-DE"/>
        </a:p>
      </dgm:t>
    </dgm:pt>
    <dgm:pt modelId="{5F7CF95C-EF9E-43B5-8467-304D4299BCED}" type="sibTrans" cxnId="{6E62BC8C-675F-4943-9124-651A2B0967F1}">
      <dgm:prSet/>
      <dgm:spPr/>
      <dgm:t>
        <a:bodyPr/>
        <a:lstStyle/>
        <a:p>
          <a:endParaRPr lang="de-DE"/>
        </a:p>
      </dgm:t>
    </dgm:pt>
    <dgm:pt modelId="{9407B763-CEAB-4712-B53C-E5F5EEF6C649}">
      <dgm:prSet phldrT="[Text]" custT="1"/>
      <dgm:spPr>
        <a:solidFill>
          <a:srgbClr val="86B3E1">
            <a:alpha val="90000"/>
          </a:srgbClr>
        </a:solidFill>
        <a:ln>
          <a:solidFill>
            <a:srgbClr val="86B3E1"/>
          </a:solidFill>
        </a:ln>
      </dgm:spPr>
      <dgm:t>
        <a:bodyPr/>
        <a:lstStyle/>
        <a:p>
          <a:r>
            <a:rPr lang="de-DE" sz="1200">
              <a:solidFill>
                <a:srgbClr val="104C91"/>
              </a:solidFill>
            </a:rPr>
            <a:t>GDP</a:t>
          </a:r>
        </a:p>
      </dgm:t>
    </dgm:pt>
    <dgm:pt modelId="{EACC591B-287D-4FC5-ADC0-F04DBBB4D37E}" type="parTrans" cxnId="{1DFC93DF-3DC8-4E99-9430-293C851D373B}">
      <dgm:prSet/>
      <dgm:spPr/>
      <dgm:t>
        <a:bodyPr/>
        <a:lstStyle/>
        <a:p>
          <a:endParaRPr lang="de-DE"/>
        </a:p>
      </dgm:t>
    </dgm:pt>
    <dgm:pt modelId="{EB2BBE0B-AC3D-4D20-94E7-E61F0C7382D9}" type="sibTrans" cxnId="{1DFC93DF-3DC8-4E99-9430-293C851D373B}">
      <dgm:prSet/>
      <dgm:spPr/>
      <dgm:t>
        <a:bodyPr/>
        <a:lstStyle/>
        <a:p>
          <a:endParaRPr lang="de-DE"/>
        </a:p>
      </dgm:t>
    </dgm:pt>
    <dgm:pt modelId="{B59AED5E-CBCB-44B6-96A8-38B9AC54AFFC}">
      <dgm:prSet phldrT="[Text]" custT="1"/>
      <dgm:spPr>
        <a:solidFill>
          <a:srgbClr val="86B3E1">
            <a:alpha val="90000"/>
          </a:srgbClr>
        </a:solidFill>
        <a:ln>
          <a:solidFill>
            <a:srgbClr val="86B3E1"/>
          </a:solidFill>
        </a:ln>
      </dgm:spPr>
      <dgm:t>
        <a:bodyPr/>
        <a:lstStyle/>
        <a:p>
          <a:r>
            <a:rPr lang="de-DE" sz="1200">
              <a:solidFill>
                <a:srgbClr val="104C91"/>
              </a:solidFill>
            </a:rPr>
            <a:t>Sector-specific consumption</a:t>
          </a:r>
        </a:p>
      </dgm:t>
    </dgm:pt>
    <dgm:pt modelId="{3AA567C8-371F-4BF7-BAF9-3A55B2E92965}" type="parTrans" cxnId="{5A86A51F-44DB-4AEF-B397-5D69499DC64C}">
      <dgm:prSet/>
      <dgm:spPr/>
      <dgm:t>
        <a:bodyPr/>
        <a:lstStyle/>
        <a:p>
          <a:endParaRPr lang="de-DE"/>
        </a:p>
      </dgm:t>
    </dgm:pt>
    <dgm:pt modelId="{FF2668AC-5978-4730-8A27-2D2637B719E9}" type="sibTrans" cxnId="{5A86A51F-44DB-4AEF-B397-5D69499DC64C}">
      <dgm:prSet/>
      <dgm:spPr/>
      <dgm:t>
        <a:bodyPr/>
        <a:lstStyle/>
        <a:p>
          <a:endParaRPr lang="de-DE"/>
        </a:p>
      </dgm:t>
    </dgm:pt>
    <dgm:pt modelId="{9CBA1121-E381-4C9B-8393-6CAFD7AE9E42}">
      <dgm:prSet phldrT="[Text]" custT="1"/>
      <dgm:spPr>
        <a:solidFill>
          <a:srgbClr val="104C91"/>
        </a:solidFill>
      </dgm:spPr>
      <dgm:t>
        <a:bodyPr/>
        <a:lstStyle/>
        <a:p>
          <a:r>
            <a:rPr lang="de-DE" sz="1400"/>
            <a:t>Tariff impact</a:t>
          </a:r>
        </a:p>
      </dgm:t>
    </dgm:pt>
    <dgm:pt modelId="{3D8C7FE9-C837-4959-83C6-EB209A454C60}" type="parTrans" cxnId="{75326646-7738-4EB8-A2B6-8EC59649DBB2}">
      <dgm:prSet/>
      <dgm:spPr/>
      <dgm:t>
        <a:bodyPr/>
        <a:lstStyle/>
        <a:p>
          <a:endParaRPr lang="de-DE"/>
        </a:p>
      </dgm:t>
    </dgm:pt>
    <dgm:pt modelId="{45A7FF2B-EB84-491E-8A85-FE37E89A54A3}" type="sibTrans" cxnId="{75326646-7738-4EB8-A2B6-8EC59649DBB2}">
      <dgm:prSet/>
      <dgm:spPr/>
      <dgm:t>
        <a:bodyPr/>
        <a:lstStyle/>
        <a:p>
          <a:endParaRPr lang="de-DE"/>
        </a:p>
      </dgm:t>
    </dgm:pt>
    <dgm:pt modelId="{3803D350-93E3-4F18-83A1-4E935B0A012C}">
      <dgm:prSet phldrT="[Text]" custT="1"/>
      <dgm:spPr>
        <a:solidFill>
          <a:srgbClr val="86B3E1">
            <a:alpha val="90000"/>
          </a:srgbClr>
        </a:solidFill>
        <a:ln>
          <a:solidFill>
            <a:srgbClr val="86B3E1"/>
          </a:solidFill>
        </a:ln>
      </dgm:spPr>
      <dgm:t>
        <a:bodyPr/>
        <a:lstStyle/>
        <a:p>
          <a:r>
            <a:rPr lang="de-DE" sz="1200">
              <a:solidFill>
                <a:srgbClr val="104C91"/>
              </a:solidFill>
            </a:rPr>
            <a:t>GDP</a:t>
          </a:r>
        </a:p>
      </dgm:t>
    </dgm:pt>
    <dgm:pt modelId="{287E8C36-D0D2-4FF2-9F90-C0C6C3C50EAC}" type="parTrans" cxnId="{F8DD5CBE-3D34-476A-BEB1-4B9B9031BD55}">
      <dgm:prSet/>
      <dgm:spPr/>
      <dgm:t>
        <a:bodyPr/>
        <a:lstStyle/>
        <a:p>
          <a:endParaRPr lang="de-DE"/>
        </a:p>
      </dgm:t>
    </dgm:pt>
    <dgm:pt modelId="{C03DCA7B-D59E-4ED9-AB53-8A83910026F7}" type="sibTrans" cxnId="{F8DD5CBE-3D34-476A-BEB1-4B9B9031BD55}">
      <dgm:prSet/>
      <dgm:spPr/>
      <dgm:t>
        <a:bodyPr/>
        <a:lstStyle/>
        <a:p>
          <a:endParaRPr lang="de-DE"/>
        </a:p>
      </dgm:t>
    </dgm:pt>
    <dgm:pt modelId="{79278656-2212-4415-8736-D69EE8BC1257}">
      <dgm:prSet phldrT="[Text]" custT="1"/>
      <dgm:spPr>
        <a:solidFill>
          <a:srgbClr val="86B3E1">
            <a:alpha val="90000"/>
          </a:srgbClr>
        </a:solidFill>
        <a:ln>
          <a:solidFill>
            <a:srgbClr val="86B3E1"/>
          </a:solidFill>
        </a:ln>
      </dgm:spPr>
      <dgm:t>
        <a:bodyPr/>
        <a:lstStyle/>
        <a:p>
          <a:r>
            <a:rPr lang="de-DE" sz="1200">
              <a:solidFill>
                <a:srgbClr val="104C91"/>
              </a:solidFill>
            </a:rPr>
            <a:t>Sector-specific consumption</a:t>
          </a:r>
        </a:p>
      </dgm:t>
    </dgm:pt>
    <dgm:pt modelId="{25F9861C-944B-4301-B823-AFA51DF37EBB}" type="parTrans" cxnId="{BB82EA18-06C8-4BC2-ADB6-08F0D75C7119}">
      <dgm:prSet/>
      <dgm:spPr/>
      <dgm:t>
        <a:bodyPr/>
        <a:lstStyle/>
        <a:p>
          <a:endParaRPr lang="de-DE"/>
        </a:p>
      </dgm:t>
    </dgm:pt>
    <dgm:pt modelId="{BB4E1E42-A278-47BB-AFA1-3AC422E47158}" type="sibTrans" cxnId="{BB82EA18-06C8-4BC2-ADB6-08F0D75C7119}">
      <dgm:prSet/>
      <dgm:spPr/>
      <dgm:t>
        <a:bodyPr/>
        <a:lstStyle/>
        <a:p>
          <a:endParaRPr lang="de-DE"/>
        </a:p>
      </dgm:t>
    </dgm:pt>
    <dgm:pt modelId="{33AA0C32-BB43-478D-87E1-07F90175832B}">
      <dgm:prSet phldrT="[Text]" custT="1"/>
      <dgm:spPr>
        <a:solidFill>
          <a:srgbClr val="86B3E1">
            <a:alpha val="30000"/>
          </a:srgbClr>
        </a:solidFill>
        <a:ln>
          <a:solidFill>
            <a:srgbClr val="86B3E1"/>
          </a:solidFill>
        </a:ln>
      </dgm:spPr>
      <dgm:t>
        <a:bodyPr/>
        <a:lstStyle/>
        <a:p>
          <a:r>
            <a:rPr lang="de-DE" sz="1200">
              <a:solidFill>
                <a:srgbClr val="104C91"/>
              </a:solidFill>
            </a:rPr>
            <a:t>Response of industry and households to higher prices </a:t>
          </a:r>
        </a:p>
      </dgm:t>
    </dgm:pt>
    <dgm:pt modelId="{621FC0D4-AA30-45F2-B43A-66E901EF4ED1}" type="parTrans" cxnId="{F48B8F21-E2BC-4411-8B1F-BCBC8C3E8C8F}">
      <dgm:prSet/>
      <dgm:spPr/>
      <dgm:t>
        <a:bodyPr/>
        <a:lstStyle/>
        <a:p>
          <a:endParaRPr lang="de-DE"/>
        </a:p>
      </dgm:t>
    </dgm:pt>
    <dgm:pt modelId="{54372561-000A-465F-BE6F-2140461D5AE9}" type="sibTrans" cxnId="{F48B8F21-E2BC-4411-8B1F-BCBC8C3E8C8F}">
      <dgm:prSet/>
      <dgm:spPr/>
      <dgm:t>
        <a:bodyPr/>
        <a:lstStyle/>
        <a:p>
          <a:endParaRPr lang="de-DE"/>
        </a:p>
      </dgm:t>
    </dgm:pt>
    <dgm:pt modelId="{89E7999A-A41F-40D3-B50D-7E2A0FC207F8}">
      <dgm:prSet phldrT="[Text]" custT="1"/>
      <dgm:spPr>
        <a:noFill/>
        <a:ln>
          <a:solidFill>
            <a:srgbClr val="104C91"/>
          </a:solidFill>
        </a:ln>
      </dgm:spPr>
      <dgm:t>
        <a:bodyPr/>
        <a:lstStyle/>
        <a:p>
          <a:r>
            <a:rPr lang="de-DE" sz="1600">
              <a:solidFill>
                <a:srgbClr val="104C91"/>
              </a:solidFill>
            </a:rPr>
            <a:t>Model</a:t>
          </a:r>
          <a:r>
            <a:rPr lang="de-DE" sz="1400">
              <a:solidFill>
                <a:srgbClr val="104C91"/>
              </a:solidFill>
            </a:rPr>
            <a:t> </a:t>
          </a:r>
          <a:r>
            <a:rPr lang="de-DE" sz="1600">
              <a:solidFill>
                <a:srgbClr val="104C91"/>
              </a:solidFill>
            </a:rPr>
            <a:t>variant</a:t>
          </a:r>
          <a:endParaRPr lang="de-DE" sz="1400">
            <a:solidFill>
              <a:srgbClr val="104C91"/>
            </a:solidFill>
          </a:endParaRPr>
        </a:p>
      </dgm:t>
    </dgm:pt>
    <dgm:pt modelId="{1A2C15AD-178E-4956-9E52-087BC1C396A7}" type="parTrans" cxnId="{19385D77-6200-45C3-8E8B-B262FB5E1160}">
      <dgm:prSet/>
      <dgm:spPr/>
      <dgm:t>
        <a:bodyPr/>
        <a:lstStyle/>
        <a:p>
          <a:endParaRPr lang="de-DE"/>
        </a:p>
      </dgm:t>
    </dgm:pt>
    <dgm:pt modelId="{46719F7E-969C-4465-A8C1-63654D09F14B}" type="sibTrans" cxnId="{19385D77-6200-45C3-8E8B-B262FB5E1160}">
      <dgm:prSet/>
      <dgm:spPr/>
      <dgm:t>
        <a:bodyPr/>
        <a:lstStyle/>
        <a:p>
          <a:endParaRPr lang="de-DE"/>
        </a:p>
      </dgm:t>
    </dgm:pt>
    <dgm:pt modelId="{CAD89319-CA66-4C16-AB63-5DBF9F79E89B}">
      <dgm:prSet phldrT="[Text]" custT="1"/>
      <dgm:spPr>
        <a:noFill/>
        <a:ln>
          <a:solidFill>
            <a:srgbClr val="86B3E1"/>
          </a:solidFill>
        </a:ln>
      </dgm:spPr>
      <dgm:t>
        <a:bodyPr/>
        <a:lstStyle/>
        <a:p>
          <a:r>
            <a:rPr lang="de-DE" sz="1600">
              <a:solidFill>
                <a:srgbClr val="104C91"/>
              </a:solidFill>
            </a:rPr>
            <a:t>External regressors</a:t>
          </a:r>
        </a:p>
      </dgm:t>
    </dgm:pt>
    <dgm:pt modelId="{C4CB1B57-3579-4CB2-A929-419B4A2C74FE}" type="parTrans" cxnId="{AB70E87A-0E81-4D0A-B147-D07553CE4A91}">
      <dgm:prSet/>
      <dgm:spPr/>
      <dgm:t>
        <a:bodyPr/>
        <a:lstStyle/>
        <a:p>
          <a:endParaRPr lang="de-DE"/>
        </a:p>
      </dgm:t>
    </dgm:pt>
    <dgm:pt modelId="{26E0CAC2-4098-4318-836D-0653B37D293A}" type="sibTrans" cxnId="{AB70E87A-0E81-4D0A-B147-D07553CE4A91}">
      <dgm:prSet/>
      <dgm:spPr/>
      <dgm:t>
        <a:bodyPr/>
        <a:lstStyle/>
        <a:p>
          <a:endParaRPr lang="de-DE"/>
        </a:p>
      </dgm:t>
    </dgm:pt>
    <dgm:pt modelId="{F1E2A372-8CE3-4E44-AD88-D7497146BA19}" type="pres">
      <dgm:prSet presAssocID="{BC00088C-6CFB-4DB7-8446-CB728AFAA8DA}" presName="Name0" presStyleCnt="0">
        <dgm:presLayoutVars>
          <dgm:chPref val="3"/>
          <dgm:dir/>
          <dgm:animLvl val="lvl"/>
          <dgm:resizeHandles/>
        </dgm:presLayoutVars>
      </dgm:prSet>
      <dgm:spPr/>
    </dgm:pt>
    <dgm:pt modelId="{05FBF6DB-91B8-45B1-8ADA-F78353833E14}" type="pres">
      <dgm:prSet presAssocID="{89E7999A-A41F-40D3-B50D-7E2A0FC207F8}" presName="horFlow" presStyleCnt="0"/>
      <dgm:spPr/>
    </dgm:pt>
    <dgm:pt modelId="{F9C5A9FC-3F32-4512-9479-56055AD32072}" type="pres">
      <dgm:prSet presAssocID="{89E7999A-A41F-40D3-B50D-7E2A0FC207F8}" presName="bigChev" presStyleLbl="node1" presStyleIdx="0" presStyleCnt="4" custScaleX="54614" custScaleY="66005" custLinFactX="-4793" custLinFactNeighborX="-100000" custLinFactNeighborY="3245"/>
      <dgm:spPr>
        <a:prstGeom prst="roundRect">
          <a:avLst/>
        </a:prstGeom>
      </dgm:spPr>
    </dgm:pt>
    <dgm:pt modelId="{A98F89A6-5F0D-49A5-B1FE-22F94E903EB2}" type="pres">
      <dgm:prSet presAssocID="{C4CB1B57-3579-4CB2-A929-419B4A2C74FE}" presName="parTrans" presStyleCnt="0"/>
      <dgm:spPr/>
    </dgm:pt>
    <dgm:pt modelId="{A7BAF4BF-5174-4412-AA3A-5F9C031535B9}" type="pres">
      <dgm:prSet presAssocID="{CAD89319-CA66-4C16-AB63-5DBF9F79E89B}" presName="node" presStyleLbl="alignAccFollowNode1" presStyleIdx="0" presStyleCnt="7" custScaleX="280239" custScaleY="55822" custLinFactNeighborX="51098" custLinFactNeighborY="1250">
        <dgm:presLayoutVars>
          <dgm:bulletEnabled val="1"/>
        </dgm:presLayoutVars>
      </dgm:prSet>
      <dgm:spPr/>
    </dgm:pt>
    <dgm:pt modelId="{590DA569-A3CC-4941-A9FA-EB7046CCFEE5}" type="pres">
      <dgm:prSet presAssocID="{89E7999A-A41F-40D3-B50D-7E2A0FC207F8}" presName="vSp" presStyleCnt="0"/>
      <dgm:spPr/>
    </dgm:pt>
    <dgm:pt modelId="{5C27837B-F17A-476B-B729-EABB4C73EE43}" type="pres">
      <dgm:prSet presAssocID="{C159A23F-D24D-4D6C-A311-81E47B509861}" presName="horFlow" presStyleCnt="0"/>
      <dgm:spPr/>
    </dgm:pt>
    <dgm:pt modelId="{9A8C4DFC-EF36-42C8-BE43-867E087FFED1}" type="pres">
      <dgm:prSet presAssocID="{C159A23F-D24D-4D6C-A311-81E47B509861}" presName="bigChev" presStyleLbl="node1" presStyleIdx="1" presStyleCnt="4" custScaleX="55575" custLinFactX="-1687" custLinFactNeighborX="-100000" custLinFactNeighborY="-111"/>
      <dgm:spPr>
        <a:prstGeom prst="roundRect">
          <a:avLst/>
        </a:prstGeom>
      </dgm:spPr>
    </dgm:pt>
    <dgm:pt modelId="{4761E9CC-718B-4158-8939-A6F9596DC164}" type="pres">
      <dgm:prSet presAssocID="{F96998A5-E278-4C19-9295-7EAE6862633A}" presName="parTrans" presStyleCnt="0"/>
      <dgm:spPr/>
    </dgm:pt>
    <dgm:pt modelId="{3134C137-3E10-4B95-BD25-B9CF5983B48E}" type="pres">
      <dgm:prSet presAssocID="{4709CDAF-0791-4A07-A5E5-2AD2FC5C7C6A}" presName="node" presStyleLbl="alignAccFollowNode1" presStyleIdx="1" presStyleCnt="7" custScaleX="65298" custLinFactNeighborX="52984" custLinFactNeighborY="-1145">
        <dgm:presLayoutVars>
          <dgm:bulletEnabled val="1"/>
        </dgm:presLayoutVars>
      </dgm:prSet>
      <dgm:spPr/>
    </dgm:pt>
    <dgm:pt modelId="{613D5E1C-66F6-4AFA-99FC-DE699957514A}" type="pres">
      <dgm:prSet presAssocID="{C159A23F-D24D-4D6C-A311-81E47B509861}" presName="vSp" presStyleCnt="0"/>
      <dgm:spPr/>
    </dgm:pt>
    <dgm:pt modelId="{D0279892-F695-4695-B627-9488E91D2D1C}" type="pres">
      <dgm:prSet presAssocID="{7BE0E650-79BA-47C3-8B49-75D79BF542D6}" presName="horFlow" presStyleCnt="0"/>
      <dgm:spPr/>
    </dgm:pt>
    <dgm:pt modelId="{C210F064-9394-4446-AB4C-939C432EAAF0}" type="pres">
      <dgm:prSet presAssocID="{7BE0E650-79BA-47C3-8B49-75D79BF542D6}" presName="bigChev" presStyleLbl="node1" presStyleIdx="2" presStyleCnt="4" custScaleX="55575" custLinFactX="-1687" custLinFactNeighborX="-100000" custLinFactNeighborY="-111"/>
      <dgm:spPr>
        <a:prstGeom prst="roundRect">
          <a:avLst/>
        </a:prstGeom>
      </dgm:spPr>
    </dgm:pt>
    <dgm:pt modelId="{1F17C4F0-3895-4F27-8611-5BAADF2F7EFF}" type="pres">
      <dgm:prSet presAssocID="{EACC591B-287D-4FC5-ADC0-F04DBBB4D37E}" presName="parTrans" presStyleCnt="0"/>
      <dgm:spPr/>
    </dgm:pt>
    <dgm:pt modelId="{D367CE51-A04A-4293-A221-1156C3DF508D}" type="pres">
      <dgm:prSet presAssocID="{9407B763-CEAB-4712-B53C-E5F5EEF6C649}" presName="node" presStyleLbl="alignAccFollowNode1" presStyleIdx="2" presStyleCnt="7" custScaleX="65298" custLinFactNeighborX="59270" custLinFactNeighborY="-1145">
        <dgm:presLayoutVars>
          <dgm:bulletEnabled val="1"/>
        </dgm:presLayoutVars>
      </dgm:prSet>
      <dgm:spPr/>
    </dgm:pt>
    <dgm:pt modelId="{8FF01F64-B5F8-469D-AA00-4CBF105F0147}" type="pres">
      <dgm:prSet presAssocID="{EB2BBE0B-AC3D-4D20-94E7-E61F0C7382D9}" presName="sibTrans" presStyleCnt="0"/>
      <dgm:spPr/>
    </dgm:pt>
    <dgm:pt modelId="{944164F7-E4DD-4D7A-9540-49A13486804F}" type="pres">
      <dgm:prSet presAssocID="{B59AED5E-CBCB-44B6-96A8-38B9AC54AFFC}" presName="node" presStyleLbl="alignAccFollowNode1" presStyleIdx="3" presStyleCnt="7" custScaleX="99963" custLinFactNeighborX="59270" custLinFactNeighborY="-1145">
        <dgm:presLayoutVars>
          <dgm:bulletEnabled val="1"/>
        </dgm:presLayoutVars>
      </dgm:prSet>
      <dgm:spPr/>
    </dgm:pt>
    <dgm:pt modelId="{7B45F47F-8FBE-4F2C-B4AA-55217B5F76C8}" type="pres">
      <dgm:prSet presAssocID="{7BE0E650-79BA-47C3-8B49-75D79BF542D6}" presName="vSp" presStyleCnt="0"/>
      <dgm:spPr/>
    </dgm:pt>
    <dgm:pt modelId="{C813C1F4-51D3-4B57-AF3D-67977AC755E1}" type="pres">
      <dgm:prSet presAssocID="{9CBA1121-E381-4C9B-8393-6CAFD7AE9E42}" presName="horFlow" presStyleCnt="0"/>
      <dgm:spPr/>
    </dgm:pt>
    <dgm:pt modelId="{368837E6-B9B6-45FD-BBAE-10DB249250A0}" type="pres">
      <dgm:prSet presAssocID="{9CBA1121-E381-4C9B-8393-6CAFD7AE9E42}" presName="bigChev" presStyleLbl="node1" presStyleIdx="3" presStyleCnt="4" custScaleX="55575" custLinFactX="-1687" custLinFactNeighborX="-100000" custLinFactNeighborY="-111"/>
      <dgm:spPr>
        <a:prstGeom prst="roundRect">
          <a:avLst/>
        </a:prstGeom>
      </dgm:spPr>
    </dgm:pt>
    <dgm:pt modelId="{9E3DD408-84DB-4430-AA47-B28082F2DBF1}" type="pres">
      <dgm:prSet presAssocID="{287E8C36-D0D2-4FF2-9F90-C0C6C3C50EAC}" presName="parTrans" presStyleCnt="0"/>
      <dgm:spPr/>
    </dgm:pt>
    <dgm:pt modelId="{0B9B28B1-A9A9-4874-BC8E-2A610783B53A}" type="pres">
      <dgm:prSet presAssocID="{3803D350-93E3-4F18-83A1-4E935B0A012C}" presName="node" presStyleLbl="alignAccFollowNode1" presStyleIdx="4" presStyleCnt="7" custScaleX="65526" custLinFactNeighborX="59270" custLinFactNeighborY="-1145">
        <dgm:presLayoutVars>
          <dgm:bulletEnabled val="1"/>
        </dgm:presLayoutVars>
      </dgm:prSet>
      <dgm:spPr/>
    </dgm:pt>
    <dgm:pt modelId="{CCE28543-D6E1-4F96-A0C7-871FB836CBF9}" type="pres">
      <dgm:prSet presAssocID="{C03DCA7B-D59E-4ED9-AB53-8A83910026F7}" presName="sibTrans" presStyleCnt="0"/>
      <dgm:spPr/>
    </dgm:pt>
    <dgm:pt modelId="{99E2F496-9662-44BE-A6B4-0E06B9D3ADAD}" type="pres">
      <dgm:prSet presAssocID="{79278656-2212-4415-8736-D69EE8BC1257}" presName="node" presStyleLbl="alignAccFollowNode1" presStyleIdx="5" presStyleCnt="7" custScaleX="100516" custLinFactNeighborX="59270" custLinFactNeighborY="-1145">
        <dgm:presLayoutVars>
          <dgm:bulletEnabled val="1"/>
        </dgm:presLayoutVars>
      </dgm:prSet>
      <dgm:spPr/>
    </dgm:pt>
    <dgm:pt modelId="{E2484075-923B-4740-A43C-902F0A600DCE}" type="pres">
      <dgm:prSet presAssocID="{BB4E1E42-A278-47BB-AFA1-3AC422E47158}" presName="sibTrans" presStyleCnt="0"/>
      <dgm:spPr/>
    </dgm:pt>
    <dgm:pt modelId="{7C37901E-A78A-4744-86D1-096883B2D4B2}" type="pres">
      <dgm:prSet presAssocID="{33AA0C32-BB43-478D-87E1-07F90175832B}" presName="node" presStyleLbl="alignAccFollowNode1" presStyleIdx="6" presStyleCnt="7" custScaleX="142000" custLinFactNeighborX="63156" custLinFactNeighborY="350">
        <dgm:presLayoutVars>
          <dgm:bulletEnabled val="1"/>
        </dgm:presLayoutVars>
      </dgm:prSet>
      <dgm:spPr/>
    </dgm:pt>
  </dgm:ptLst>
  <dgm:cxnLst>
    <dgm:cxn modelId="{C579530E-5F68-400B-9BD7-0EC80378E53F}" type="presOf" srcId="{9407B763-CEAB-4712-B53C-E5F5EEF6C649}" destId="{D367CE51-A04A-4293-A221-1156C3DF508D}" srcOrd="0" destOrd="0" presId="urn:microsoft.com/office/officeart/2005/8/layout/lProcess3"/>
    <dgm:cxn modelId="{BB82EA18-06C8-4BC2-ADB6-08F0D75C7119}" srcId="{9CBA1121-E381-4C9B-8393-6CAFD7AE9E42}" destId="{79278656-2212-4415-8736-D69EE8BC1257}" srcOrd="1" destOrd="0" parTransId="{25F9861C-944B-4301-B823-AFA51DF37EBB}" sibTransId="{BB4E1E42-A278-47BB-AFA1-3AC422E47158}"/>
    <dgm:cxn modelId="{5A86A51F-44DB-4AEF-B397-5D69499DC64C}" srcId="{7BE0E650-79BA-47C3-8B49-75D79BF542D6}" destId="{B59AED5E-CBCB-44B6-96A8-38B9AC54AFFC}" srcOrd="1" destOrd="0" parTransId="{3AA567C8-371F-4BF7-BAF9-3A55B2E92965}" sibTransId="{FF2668AC-5978-4730-8A27-2D2637B719E9}"/>
    <dgm:cxn modelId="{C2260F21-A04B-4CD7-9B76-335C56D9E4BA}" type="presOf" srcId="{BC00088C-6CFB-4DB7-8446-CB728AFAA8DA}" destId="{F1E2A372-8CE3-4E44-AD88-D7497146BA19}" srcOrd="0" destOrd="0" presId="urn:microsoft.com/office/officeart/2005/8/layout/lProcess3"/>
    <dgm:cxn modelId="{F48B8F21-E2BC-4411-8B1F-BCBC8C3E8C8F}" srcId="{9CBA1121-E381-4C9B-8393-6CAFD7AE9E42}" destId="{33AA0C32-BB43-478D-87E1-07F90175832B}" srcOrd="2" destOrd="0" parTransId="{621FC0D4-AA30-45F2-B43A-66E901EF4ED1}" sibTransId="{54372561-000A-465F-BE6F-2140461D5AE9}"/>
    <dgm:cxn modelId="{A68A5527-D37D-4A99-BC4D-96E273B57834}" type="presOf" srcId="{B59AED5E-CBCB-44B6-96A8-38B9AC54AFFC}" destId="{944164F7-E4DD-4D7A-9540-49A13486804F}" srcOrd="0" destOrd="0" presId="urn:microsoft.com/office/officeart/2005/8/layout/lProcess3"/>
    <dgm:cxn modelId="{25FEB238-C162-4399-980F-9FE337DAAF7A}" type="presOf" srcId="{9CBA1121-E381-4C9B-8393-6CAFD7AE9E42}" destId="{368837E6-B9B6-45FD-BBAE-10DB249250A0}" srcOrd="0" destOrd="0" presId="urn:microsoft.com/office/officeart/2005/8/layout/lProcess3"/>
    <dgm:cxn modelId="{4624BF3A-7D35-40EB-BA05-052FC6FB2A04}" type="presOf" srcId="{3803D350-93E3-4F18-83A1-4E935B0A012C}" destId="{0B9B28B1-A9A9-4874-BC8E-2A610783B53A}" srcOrd="0" destOrd="0" presId="urn:microsoft.com/office/officeart/2005/8/layout/lProcess3"/>
    <dgm:cxn modelId="{04897F45-1A69-418F-9301-107ACA79F505}" type="presOf" srcId="{79278656-2212-4415-8736-D69EE8BC1257}" destId="{99E2F496-9662-44BE-A6B4-0E06B9D3ADAD}" srcOrd="0" destOrd="0" presId="urn:microsoft.com/office/officeart/2005/8/layout/lProcess3"/>
    <dgm:cxn modelId="{75326646-7738-4EB8-A2B6-8EC59649DBB2}" srcId="{BC00088C-6CFB-4DB7-8446-CB728AFAA8DA}" destId="{9CBA1121-E381-4C9B-8393-6CAFD7AE9E42}" srcOrd="3" destOrd="0" parTransId="{3D8C7FE9-C837-4959-83C6-EB209A454C60}" sibTransId="{45A7FF2B-EB84-491E-8A85-FE37E89A54A3}"/>
    <dgm:cxn modelId="{19385D77-6200-45C3-8E8B-B262FB5E1160}" srcId="{BC00088C-6CFB-4DB7-8446-CB728AFAA8DA}" destId="{89E7999A-A41F-40D3-B50D-7E2A0FC207F8}" srcOrd="0" destOrd="0" parTransId="{1A2C15AD-178E-4956-9E52-087BC1C396A7}" sibTransId="{46719F7E-969C-4465-A8C1-63654D09F14B}"/>
    <dgm:cxn modelId="{AB70E87A-0E81-4D0A-B147-D07553CE4A91}" srcId="{89E7999A-A41F-40D3-B50D-7E2A0FC207F8}" destId="{CAD89319-CA66-4C16-AB63-5DBF9F79E89B}" srcOrd="0" destOrd="0" parTransId="{C4CB1B57-3579-4CB2-A929-419B4A2C74FE}" sibTransId="{26E0CAC2-4098-4318-836D-0653B37D293A}"/>
    <dgm:cxn modelId="{24A3B188-E19B-4227-B208-F089F968E63F}" srcId="{BC00088C-6CFB-4DB7-8446-CB728AFAA8DA}" destId="{C159A23F-D24D-4D6C-A311-81E47B509861}" srcOrd="1" destOrd="0" parTransId="{808D8165-A073-4F98-8913-59E6DC658E44}" sibTransId="{7D122BFE-50D5-497E-86A2-70DF93AE88A7}"/>
    <dgm:cxn modelId="{6E62BC8C-675F-4943-9124-651A2B0967F1}" srcId="{BC00088C-6CFB-4DB7-8446-CB728AFAA8DA}" destId="{7BE0E650-79BA-47C3-8B49-75D79BF542D6}" srcOrd="2" destOrd="0" parTransId="{1914277A-4DDB-46CF-935C-A819B825B42D}" sibTransId="{5F7CF95C-EF9E-43B5-8467-304D4299BCED}"/>
    <dgm:cxn modelId="{1EB82098-56A5-44BB-B01C-7142B69E434E}" type="presOf" srcId="{CAD89319-CA66-4C16-AB63-5DBF9F79E89B}" destId="{A7BAF4BF-5174-4412-AA3A-5F9C031535B9}" srcOrd="0" destOrd="0" presId="urn:microsoft.com/office/officeart/2005/8/layout/lProcess3"/>
    <dgm:cxn modelId="{2D6137B4-971D-436A-9547-F8080151BAA8}" type="presOf" srcId="{89E7999A-A41F-40D3-B50D-7E2A0FC207F8}" destId="{F9C5A9FC-3F32-4512-9479-56055AD32072}" srcOrd="0" destOrd="0" presId="urn:microsoft.com/office/officeart/2005/8/layout/lProcess3"/>
    <dgm:cxn modelId="{F8DD5CBE-3D34-476A-BEB1-4B9B9031BD55}" srcId="{9CBA1121-E381-4C9B-8393-6CAFD7AE9E42}" destId="{3803D350-93E3-4F18-83A1-4E935B0A012C}" srcOrd="0" destOrd="0" parTransId="{287E8C36-D0D2-4FF2-9F90-C0C6C3C50EAC}" sibTransId="{C03DCA7B-D59E-4ED9-AB53-8A83910026F7}"/>
    <dgm:cxn modelId="{D620C9C3-8B96-4F68-968B-3C7B59BB231F}" type="presOf" srcId="{C159A23F-D24D-4D6C-A311-81E47B509861}" destId="{9A8C4DFC-EF36-42C8-BE43-867E087FFED1}" srcOrd="0" destOrd="0" presId="urn:microsoft.com/office/officeart/2005/8/layout/lProcess3"/>
    <dgm:cxn modelId="{5BD82EC4-3A98-4467-995F-C61725978C78}" type="presOf" srcId="{4709CDAF-0791-4A07-A5E5-2AD2FC5C7C6A}" destId="{3134C137-3E10-4B95-BD25-B9CF5983B48E}" srcOrd="0" destOrd="0" presId="urn:microsoft.com/office/officeart/2005/8/layout/lProcess3"/>
    <dgm:cxn modelId="{1DFC93DF-3DC8-4E99-9430-293C851D373B}" srcId="{7BE0E650-79BA-47C3-8B49-75D79BF542D6}" destId="{9407B763-CEAB-4712-B53C-E5F5EEF6C649}" srcOrd="0" destOrd="0" parTransId="{EACC591B-287D-4FC5-ADC0-F04DBBB4D37E}" sibTransId="{EB2BBE0B-AC3D-4D20-94E7-E61F0C7382D9}"/>
    <dgm:cxn modelId="{174752E4-A712-40E7-98AB-AA4A33E668AB}" type="presOf" srcId="{7BE0E650-79BA-47C3-8B49-75D79BF542D6}" destId="{C210F064-9394-4446-AB4C-939C432EAAF0}" srcOrd="0" destOrd="0" presId="urn:microsoft.com/office/officeart/2005/8/layout/lProcess3"/>
    <dgm:cxn modelId="{CE2F21F2-6E69-4F65-812F-4F891C5ED3B3}" srcId="{C159A23F-D24D-4D6C-A311-81E47B509861}" destId="{4709CDAF-0791-4A07-A5E5-2AD2FC5C7C6A}" srcOrd="0" destOrd="0" parTransId="{F96998A5-E278-4C19-9295-7EAE6862633A}" sibTransId="{7850E088-C778-4C3C-A10A-CE579524224D}"/>
    <dgm:cxn modelId="{111CF4F6-98DB-470F-AAF6-6274E8E15047}" type="presOf" srcId="{33AA0C32-BB43-478D-87E1-07F90175832B}" destId="{7C37901E-A78A-4744-86D1-096883B2D4B2}" srcOrd="0" destOrd="0" presId="urn:microsoft.com/office/officeart/2005/8/layout/lProcess3"/>
    <dgm:cxn modelId="{1DC81132-7B29-4C57-9A2B-884D1CACAACD}" type="presParOf" srcId="{F1E2A372-8CE3-4E44-AD88-D7497146BA19}" destId="{05FBF6DB-91B8-45B1-8ADA-F78353833E14}" srcOrd="0" destOrd="0" presId="urn:microsoft.com/office/officeart/2005/8/layout/lProcess3"/>
    <dgm:cxn modelId="{DF6AC129-4E4C-4184-9397-1947530C8528}" type="presParOf" srcId="{05FBF6DB-91B8-45B1-8ADA-F78353833E14}" destId="{F9C5A9FC-3F32-4512-9479-56055AD32072}" srcOrd="0" destOrd="0" presId="urn:microsoft.com/office/officeart/2005/8/layout/lProcess3"/>
    <dgm:cxn modelId="{2D58FCB1-8584-4E0D-B6A1-6221731CCB70}" type="presParOf" srcId="{05FBF6DB-91B8-45B1-8ADA-F78353833E14}" destId="{A98F89A6-5F0D-49A5-B1FE-22F94E903EB2}" srcOrd="1" destOrd="0" presId="urn:microsoft.com/office/officeart/2005/8/layout/lProcess3"/>
    <dgm:cxn modelId="{11EAD224-CAAC-462D-B16C-D307610CC9CA}" type="presParOf" srcId="{05FBF6DB-91B8-45B1-8ADA-F78353833E14}" destId="{A7BAF4BF-5174-4412-AA3A-5F9C031535B9}" srcOrd="2" destOrd="0" presId="urn:microsoft.com/office/officeart/2005/8/layout/lProcess3"/>
    <dgm:cxn modelId="{DC78CF8B-1B7C-4A50-BED3-0A2DC6E02A06}" type="presParOf" srcId="{F1E2A372-8CE3-4E44-AD88-D7497146BA19}" destId="{590DA569-A3CC-4941-A9FA-EB7046CCFEE5}" srcOrd="1" destOrd="0" presId="urn:microsoft.com/office/officeart/2005/8/layout/lProcess3"/>
    <dgm:cxn modelId="{B676FBCE-8095-4397-BCC3-B51148E2677C}" type="presParOf" srcId="{F1E2A372-8CE3-4E44-AD88-D7497146BA19}" destId="{5C27837B-F17A-476B-B729-EABB4C73EE43}" srcOrd="2" destOrd="0" presId="urn:microsoft.com/office/officeart/2005/8/layout/lProcess3"/>
    <dgm:cxn modelId="{1E685DD7-E397-4837-BF43-38F0D48F01C9}" type="presParOf" srcId="{5C27837B-F17A-476B-B729-EABB4C73EE43}" destId="{9A8C4DFC-EF36-42C8-BE43-867E087FFED1}" srcOrd="0" destOrd="0" presId="urn:microsoft.com/office/officeart/2005/8/layout/lProcess3"/>
    <dgm:cxn modelId="{DAEB440D-305A-4CB6-BE94-7608F24415B7}" type="presParOf" srcId="{5C27837B-F17A-476B-B729-EABB4C73EE43}" destId="{4761E9CC-718B-4158-8939-A6F9596DC164}" srcOrd="1" destOrd="0" presId="urn:microsoft.com/office/officeart/2005/8/layout/lProcess3"/>
    <dgm:cxn modelId="{E57B6B80-7A08-462D-98EA-FC2FBBE4B54F}" type="presParOf" srcId="{5C27837B-F17A-476B-B729-EABB4C73EE43}" destId="{3134C137-3E10-4B95-BD25-B9CF5983B48E}" srcOrd="2" destOrd="0" presId="urn:microsoft.com/office/officeart/2005/8/layout/lProcess3"/>
    <dgm:cxn modelId="{D91BA856-4389-4D80-9642-C2F5736506C5}" type="presParOf" srcId="{F1E2A372-8CE3-4E44-AD88-D7497146BA19}" destId="{613D5E1C-66F6-4AFA-99FC-DE699957514A}" srcOrd="3" destOrd="0" presId="urn:microsoft.com/office/officeart/2005/8/layout/lProcess3"/>
    <dgm:cxn modelId="{F46F2EB1-ADE7-4075-A81A-5A7BE27D4DBE}" type="presParOf" srcId="{F1E2A372-8CE3-4E44-AD88-D7497146BA19}" destId="{D0279892-F695-4695-B627-9488E91D2D1C}" srcOrd="4" destOrd="0" presId="urn:microsoft.com/office/officeart/2005/8/layout/lProcess3"/>
    <dgm:cxn modelId="{529034B0-8367-4771-ABD8-5231D43348BD}" type="presParOf" srcId="{D0279892-F695-4695-B627-9488E91D2D1C}" destId="{C210F064-9394-4446-AB4C-939C432EAAF0}" srcOrd="0" destOrd="0" presId="urn:microsoft.com/office/officeart/2005/8/layout/lProcess3"/>
    <dgm:cxn modelId="{B53B5C9A-496B-464C-9A6A-C6BA31B51AE1}" type="presParOf" srcId="{D0279892-F695-4695-B627-9488E91D2D1C}" destId="{1F17C4F0-3895-4F27-8611-5BAADF2F7EFF}" srcOrd="1" destOrd="0" presId="urn:microsoft.com/office/officeart/2005/8/layout/lProcess3"/>
    <dgm:cxn modelId="{897CF8B4-E3DF-4819-B569-17E39FB429A2}" type="presParOf" srcId="{D0279892-F695-4695-B627-9488E91D2D1C}" destId="{D367CE51-A04A-4293-A221-1156C3DF508D}" srcOrd="2" destOrd="0" presId="urn:microsoft.com/office/officeart/2005/8/layout/lProcess3"/>
    <dgm:cxn modelId="{197E5C2A-6AE1-44F1-9587-1D17D8438FBD}" type="presParOf" srcId="{D0279892-F695-4695-B627-9488E91D2D1C}" destId="{8FF01F64-B5F8-469D-AA00-4CBF105F0147}" srcOrd="3" destOrd="0" presId="urn:microsoft.com/office/officeart/2005/8/layout/lProcess3"/>
    <dgm:cxn modelId="{5D48C86B-DD76-4904-9AC1-17EC503F24FF}" type="presParOf" srcId="{D0279892-F695-4695-B627-9488E91D2D1C}" destId="{944164F7-E4DD-4D7A-9540-49A13486804F}" srcOrd="4" destOrd="0" presId="urn:microsoft.com/office/officeart/2005/8/layout/lProcess3"/>
    <dgm:cxn modelId="{274486E4-AF12-48F3-BF1C-64345040CB86}" type="presParOf" srcId="{F1E2A372-8CE3-4E44-AD88-D7497146BA19}" destId="{7B45F47F-8FBE-4F2C-B4AA-55217B5F76C8}" srcOrd="5" destOrd="0" presId="urn:microsoft.com/office/officeart/2005/8/layout/lProcess3"/>
    <dgm:cxn modelId="{A6D868A3-6495-4D78-948C-FAEA355617FD}" type="presParOf" srcId="{F1E2A372-8CE3-4E44-AD88-D7497146BA19}" destId="{C813C1F4-51D3-4B57-AF3D-67977AC755E1}" srcOrd="6" destOrd="0" presId="urn:microsoft.com/office/officeart/2005/8/layout/lProcess3"/>
    <dgm:cxn modelId="{9D0DEA49-F9EC-404D-BCFD-FF98F600D78A}" type="presParOf" srcId="{C813C1F4-51D3-4B57-AF3D-67977AC755E1}" destId="{368837E6-B9B6-45FD-BBAE-10DB249250A0}" srcOrd="0" destOrd="0" presId="urn:microsoft.com/office/officeart/2005/8/layout/lProcess3"/>
    <dgm:cxn modelId="{BE9DA51F-648B-407D-A014-4A8AF8A92158}" type="presParOf" srcId="{C813C1F4-51D3-4B57-AF3D-67977AC755E1}" destId="{9E3DD408-84DB-4430-AA47-B28082F2DBF1}" srcOrd="1" destOrd="0" presId="urn:microsoft.com/office/officeart/2005/8/layout/lProcess3"/>
    <dgm:cxn modelId="{BABD2E59-BAFC-4E74-9894-D96695615F37}" type="presParOf" srcId="{C813C1F4-51D3-4B57-AF3D-67977AC755E1}" destId="{0B9B28B1-A9A9-4874-BC8E-2A610783B53A}" srcOrd="2" destOrd="0" presId="urn:microsoft.com/office/officeart/2005/8/layout/lProcess3"/>
    <dgm:cxn modelId="{3D17BA4B-DA8C-4447-8134-C2387FC87AC8}" type="presParOf" srcId="{C813C1F4-51D3-4B57-AF3D-67977AC755E1}" destId="{CCE28543-D6E1-4F96-A0C7-871FB836CBF9}" srcOrd="3" destOrd="0" presId="urn:microsoft.com/office/officeart/2005/8/layout/lProcess3"/>
    <dgm:cxn modelId="{2EE238EF-33A8-4C9C-AF27-F89FD5E0FC7E}" type="presParOf" srcId="{C813C1F4-51D3-4B57-AF3D-67977AC755E1}" destId="{99E2F496-9662-44BE-A6B4-0E06B9D3ADAD}" srcOrd="4" destOrd="0" presId="urn:microsoft.com/office/officeart/2005/8/layout/lProcess3"/>
    <dgm:cxn modelId="{AED7A58D-E89D-4D3D-97C8-2EF35C2299E4}" type="presParOf" srcId="{C813C1F4-51D3-4B57-AF3D-67977AC755E1}" destId="{E2484075-923B-4740-A43C-902F0A600DCE}" srcOrd="5" destOrd="0" presId="urn:microsoft.com/office/officeart/2005/8/layout/lProcess3"/>
    <dgm:cxn modelId="{E4D7E24E-9BD8-43B7-B3D2-700DE7C3EFD8}" type="presParOf" srcId="{C813C1F4-51D3-4B57-AF3D-67977AC755E1}" destId="{7C37901E-A78A-4744-86D1-096883B2D4B2}" srcOrd="6" destOrd="0" presId="urn:microsoft.com/office/officeart/2005/8/layout/l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C5A9FC-3F32-4512-9479-56055AD32072}">
      <dsp:nvSpPr>
        <dsp:cNvPr id="0" name=""/>
        <dsp:cNvSpPr/>
      </dsp:nvSpPr>
      <dsp:spPr>
        <a:xfrm>
          <a:off x="0" y="23290"/>
          <a:ext cx="941253" cy="455029"/>
        </a:xfrm>
        <a:prstGeom prst="roundRect">
          <a:avLst/>
        </a:prstGeom>
        <a:noFill/>
        <a:ln w="12700" cap="flat" cmpd="sng" algn="ctr">
          <a:solidFill>
            <a:srgbClr val="104C9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104C91"/>
              </a:solidFill>
            </a:rPr>
            <a:t>Model</a:t>
          </a:r>
          <a:r>
            <a:rPr lang="de-DE" sz="1400" kern="1200">
              <a:solidFill>
                <a:srgbClr val="104C91"/>
              </a:solidFill>
            </a:rPr>
            <a:t> </a:t>
          </a:r>
          <a:r>
            <a:rPr lang="de-DE" sz="1600" kern="1200">
              <a:solidFill>
                <a:srgbClr val="104C91"/>
              </a:solidFill>
            </a:rPr>
            <a:t>variant</a:t>
          </a:r>
          <a:endParaRPr lang="de-DE" sz="1400" kern="1200">
            <a:solidFill>
              <a:srgbClr val="104C91"/>
            </a:solidFill>
          </a:endParaRPr>
        </a:p>
      </dsp:txBody>
      <dsp:txXfrm>
        <a:off x="22213" y="45503"/>
        <a:ext cx="896827" cy="410603"/>
      </dsp:txXfrm>
    </dsp:sp>
    <dsp:sp modelId="{A7BAF4BF-5174-4412-AA3A-5F9C031535B9}">
      <dsp:nvSpPr>
        <dsp:cNvPr id="0" name=""/>
        <dsp:cNvSpPr/>
      </dsp:nvSpPr>
      <dsp:spPr>
        <a:xfrm>
          <a:off x="1030730" y="75883"/>
          <a:ext cx="4008753" cy="319408"/>
        </a:xfrm>
        <a:prstGeom prst="chevron">
          <a:avLst/>
        </a:prstGeom>
        <a:noFill/>
        <a:ln w="12700" cap="flat" cmpd="sng" algn="ctr">
          <a:solidFill>
            <a:srgbClr val="86B3E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10160" rIns="0" bIns="10160" numCol="1" spcCol="1270" anchor="ctr" anchorCtr="0">
          <a:noAutofit/>
        </a:bodyPr>
        <a:lstStyle/>
        <a:p>
          <a:pPr marL="0" lvl="0" indent="0" algn="ctr" defTabSz="711200">
            <a:lnSpc>
              <a:spcPct val="90000"/>
            </a:lnSpc>
            <a:spcBef>
              <a:spcPct val="0"/>
            </a:spcBef>
            <a:spcAft>
              <a:spcPct val="35000"/>
            </a:spcAft>
            <a:buNone/>
          </a:pPr>
          <a:r>
            <a:rPr lang="de-DE" sz="1600" kern="1200">
              <a:solidFill>
                <a:srgbClr val="104C91"/>
              </a:solidFill>
            </a:rPr>
            <a:t>External regressors</a:t>
          </a:r>
        </a:p>
      </dsp:txBody>
      <dsp:txXfrm>
        <a:off x="1190434" y="75883"/>
        <a:ext cx="3689345" cy="319408"/>
      </dsp:txXfrm>
    </dsp:sp>
    <dsp:sp modelId="{9A8C4DFC-EF36-42C8-BE43-867E087FFED1}">
      <dsp:nvSpPr>
        <dsp:cNvPr id="0" name=""/>
        <dsp:cNvSpPr/>
      </dsp:nvSpPr>
      <dsp:spPr>
        <a:xfrm>
          <a:off x="0" y="551698"/>
          <a:ext cx="957816" cy="689386"/>
        </a:xfrm>
        <a:prstGeom prst="roundRect">
          <a:avLst/>
        </a:prstGeom>
        <a:solidFill>
          <a:srgbClr val="104C9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marL="0" lvl="0" indent="0" algn="ctr" defTabSz="622300">
            <a:lnSpc>
              <a:spcPct val="90000"/>
            </a:lnSpc>
            <a:spcBef>
              <a:spcPct val="0"/>
            </a:spcBef>
            <a:spcAft>
              <a:spcPct val="35000"/>
            </a:spcAft>
            <a:buNone/>
          </a:pPr>
          <a:r>
            <a:rPr lang="de-DE" sz="1400" kern="1200"/>
            <a:t>Steady growth</a:t>
          </a:r>
        </a:p>
      </dsp:txBody>
      <dsp:txXfrm>
        <a:off x="33653" y="585351"/>
        <a:ext cx="890510" cy="622080"/>
      </dsp:txXfrm>
    </dsp:sp>
    <dsp:sp modelId="{3134C137-3E10-4B95-BD25-B9CF5983B48E}">
      <dsp:nvSpPr>
        <dsp:cNvPr id="0" name=""/>
        <dsp:cNvSpPr/>
      </dsp:nvSpPr>
      <dsp:spPr>
        <a:xfrm>
          <a:off x="1051518" y="604509"/>
          <a:ext cx="934072" cy="572190"/>
        </a:xfrm>
        <a:prstGeom prst="chevron">
          <a:avLst/>
        </a:prstGeom>
        <a:solidFill>
          <a:srgbClr val="86B3E1">
            <a:alpha val="90000"/>
          </a:srgbClr>
        </a:solidFill>
        <a:ln w="12700" cap="flat" cmpd="sng" algn="ctr">
          <a:solidFill>
            <a:srgbClr val="86B3E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rgbClr val="104C91"/>
              </a:solidFill>
            </a:rPr>
            <a:t>GDP</a:t>
          </a:r>
        </a:p>
      </dsp:txBody>
      <dsp:txXfrm>
        <a:off x="1337613" y="604509"/>
        <a:ext cx="361882" cy="572190"/>
      </dsp:txXfrm>
    </dsp:sp>
    <dsp:sp modelId="{C210F064-9394-4446-AB4C-939C432EAAF0}">
      <dsp:nvSpPr>
        <dsp:cNvPr id="0" name=""/>
        <dsp:cNvSpPr/>
      </dsp:nvSpPr>
      <dsp:spPr>
        <a:xfrm>
          <a:off x="0" y="1337598"/>
          <a:ext cx="957816" cy="689386"/>
        </a:xfrm>
        <a:prstGeom prst="roundRect">
          <a:avLst/>
        </a:prstGeom>
        <a:solidFill>
          <a:srgbClr val="104C9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marL="0" lvl="0" indent="0" algn="ctr" defTabSz="622300">
            <a:lnSpc>
              <a:spcPct val="90000"/>
            </a:lnSpc>
            <a:spcBef>
              <a:spcPct val="0"/>
            </a:spcBef>
            <a:spcAft>
              <a:spcPct val="35000"/>
            </a:spcAft>
            <a:buNone/>
          </a:pPr>
          <a:r>
            <a:rPr lang="de-DE" sz="1400" kern="1200"/>
            <a:t>Sectoral expansion</a:t>
          </a:r>
        </a:p>
      </dsp:txBody>
      <dsp:txXfrm>
        <a:off x="33653" y="1371251"/>
        <a:ext cx="890510" cy="622080"/>
      </dsp:txXfrm>
    </dsp:sp>
    <dsp:sp modelId="{D367CE51-A04A-4293-A221-1156C3DF508D}">
      <dsp:nvSpPr>
        <dsp:cNvPr id="0" name=""/>
        <dsp:cNvSpPr/>
      </dsp:nvSpPr>
      <dsp:spPr>
        <a:xfrm>
          <a:off x="1051505" y="1390410"/>
          <a:ext cx="934072" cy="572190"/>
        </a:xfrm>
        <a:prstGeom prst="chevron">
          <a:avLst/>
        </a:prstGeom>
        <a:solidFill>
          <a:srgbClr val="86B3E1">
            <a:alpha val="90000"/>
          </a:srgbClr>
        </a:solidFill>
        <a:ln w="12700" cap="flat" cmpd="sng" algn="ctr">
          <a:solidFill>
            <a:srgbClr val="86B3E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rgbClr val="104C91"/>
              </a:solidFill>
            </a:rPr>
            <a:t>GDP</a:t>
          </a:r>
        </a:p>
      </dsp:txBody>
      <dsp:txXfrm>
        <a:off x="1337600" y="1390410"/>
        <a:ext cx="361882" cy="572190"/>
      </dsp:txXfrm>
    </dsp:sp>
    <dsp:sp modelId="{944164F7-E4DD-4D7A-9540-49A13486804F}">
      <dsp:nvSpPr>
        <dsp:cNvPr id="0" name=""/>
        <dsp:cNvSpPr/>
      </dsp:nvSpPr>
      <dsp:spPr>
        <a:xfrm>
          <a:off x="1785311" y="1390410"/>
          <a:ext cx="1429947" cy="572190"/>
        </a:xfrm>
        <a:prstGeom prst="chevron">
          <a:avLst/>
        </a:prstGeom>
        <a:solidFill>
          <a:srgbClr val="86B3E1">
            <a:alpha val="90000"/>
          </a:srgbClr>
        </a:solidFill>
        <a:ln w="12700" cap="flat" cmpd="sng" algn="ctr">
          <a:solidFill>
            <a:srgbClr val="86B3E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rgbClr val="104C91"/>
              </a:solidFill>
            </a:rPr>
            <a:t>Sector-specific consumption</a:t>
          </a:r>
        </a:p>
      </dsp:txBody>
      <dsp:txXfrm>
        <a:off x="2071406" y="1390410"/>
        <a:ext cx="857757" cy="572190"/>
      </dsp:txXfrm>
    </dsp:sp>
    <dsp:sp modelId="{368837E6-B9B6-45FD-BBAE-10DB249250A0}">
      <dsp:nvSpPr>
        <dsp:cNvPr id="0" name=""/>
        <dsp:cNvSpPr/>
      </dsp:nvSpPr>
      <dsp:spPr>
        <a:xfrm>
          <a:off x="0" y="2123499"/>
          <a:ext cx="957816" cy="689386"/>
        </a:xfrm>
        <a:prstGeom prst="roundRect">
          <a:avLst/>
        </a:prstGeom>
        <a:solidFill>
          <a:srgbClr val="104C9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marL="0" lvl="0" indent="0" algn="ctr" defTabSz="622300">
            <a:lnSpc>
              <a:spcPct val="90000"/>
            </a:lnSpc>
            <a:spcBef>
              <a:spcPct val="0"/>
            </a:spcBef>
            <a:spcAft>
              <a:spcPct val="35000"/>
            </a:spcAft>
            <a:buNone/>
          </a:pPr>
          <a:r>
            <a:rPr lang="de-DE" sz="1400" kern="1200"/>
            <a:t>Tariff impact</a:t>
          </a:r>
        </a:p>
      </dsp:txBody>
      <dsp:txXfrm>
        <a:off x="33653" y="2157152"/>
        <a:ext cx="890510" cy="622080"/>
      </dsp:txXfrm>
    </dsp:sp>
    <dsp:sp modelId="{0B9B28B1-A9A9-4874-BC8E-2A610783B53A}">
      <dsp:nvSpPr>
        <dsp:cNvPr id="0" name=""/>
        <dsp:cNvSpPr/>
      </dsp:nvSpPr>
      <dsp:spPr>
        <a:xfrm>
          <a:off x="1051505" y="2176310"/>
          <a:ext cx="937334" cy="572190"/>
        </a:xfrm>
        <a:prstGeom prst="chevron">
          <a:avLst/>
        </a:prstGeom>
        <a:solidFill>
          <a:srgbClr val="86B3E1">
            <a:alpha val="90000"/>
          </a:srgbClr>
        </a:solidFill>
        <a:ln w="12700" cap="flat" cmpd="sng" algn="ctr">
          <a:solidFill>
            <a:srgbClr val="86B3E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rgbClr val="104C91"/>
              </a:solidFill>
            </a:rPr>
            <a:t>GDP</a:t>
          </a:r>
        </a:p>
      </dsp:txBody>
      <dsp:txXfrm>
        <a:off x="1337600" y="2176310"/>
        <a:ext cx="365144" cy="572190"/>
      </dsp:txXfrm>
    </dsp:sp>
    <dsp:sp modelId="{99E2F496-9662-44BE-A6B4-0E06B9D3ADAD}">
      <dsp:nvSpPr>
        <dsp:cNvPr id="0" name=""/>
        <dsp:cNvSpPr/>
      </dsp:nvSpPr>
      <dsp:spPr>
        <a:xfrm>
          <a:off x="1788573" y="2176310"/>
          <a:ext cx="1437858" cy="572190"/>
        </a:xfrm>
        <a:prstGeom prst="chevron">
          <a:avLst/>
        </a:prstGeom>
        <a:solidFill>
          <a:srgbClr val="86B3E1">
            <a:alpha val="90000"/>
          </a:srgbClr>
        </a:solidFill>
        <a:ln w="12700" cap="flat" cmpd="sng" algn="ctr">
          <a:solidFill>
            <a:srgbClr val="86B3E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rgbClr val="104C91"/>
              </a:solidFill>
            </a:rPr>
            <a:t>Sector-specific consumption</a:t>
          </a:r>
        </a:p>
      </dsp:txBody>
      <dsp:txXfrm>
        <a:off x="2074668" y="2176310"/>
        <a:ext cx="865668" cy="572190"/>
      </dsp:txXfrm>
    </dsp:sp>
    <dsp:sp modelId="{7C37901E-A78A-4744-86D1-096883B2D4B2}">
      <dsp:nvSpPr>
        <dsp:cNvPr id="0" name=""/>
        <dsp:cNvSpPr/>
      </dsp:nvSpPr>
      <dsp:spPr>
        <a:xfrm>
          <a:off x="3033946" y="2184865"/>
          <a:ext cx="2031276" cy="572190"/>
        </a:xfrm>
        <a:prstGeom prst="chevron">
          <a:avLst/>
        </a:prstGeom>
        <a:solidFill>
          <a:srgbClr val="86B3E1">
            <a:alpha val="30000"/>
          </a:srgbClr>
        </a:solidFill>
        <a:ln w="12700" cap="flat" cmpd="sng" algn="ctr">
          <a:solidFill>
            <a:srgbClr val="86B3E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7620" rIns="0" bIns="7620" numCol="1" spcCol="1270" anchor="ctr" anchorCtr="0">
          <a:noAutofit/>
        </a:bodyPr>
        <a:lstStyle/>
        <a:p>
          <a:pPr marL="0" lvl="0" indent="0" algn="ctr" defTabSz="533400">
            <a:lnSpc>
              <a:spcPct val="90000"/>
            </a:lnSpc>
            <a:spcBef>
              <a:spcPct val="0"/>
            </a:spcBef>
            <a:spcAft>
              <a:spcPct val="35000"/>
            </a:spcAft>
            <a:buNone/>
          </a:pPr>
          <a:r>
            <a:rPr lang="de-DE" sz="1200" kern="1200">
              <a:solidFill>
                <a:srgbClr val="104C91"/>
              </a:solidFill>
            </a:rPr>
            <a:t>Response of industry and households to higher prices </a:t>
          </a:r>
        </a:p>
      </dsp:txBody>
      <dsp:txXfrm>
        <a:off x="3320041" y="2184865"/>
        <a:ext cx="1459086" cy="57219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0.94334</cdr:x>
      <cdr:y>0.05475</cdr:y>
    </cdr:from>
    <cdr:to>
      <cdr:x>0.94334</cdr:x>
      <cdr:y>0.80313</cdr:y>
    </cdr:to>
    <cdr:cxnSp macro="">
      <cdr:nvCxnSpPr>
        <cdr:cNvPr id="3" name="Straight Connector 2">
          <a:extLst xmlns:a="http://schemas.openxmlformats.org/drawingml/2006/main">
            <a:ext uri="{FF2B5EF4-FFF2-40B4-BE49-F238E27FC236}">
              <a16:creationId xmlns:a16="http://schemas.microsoft.com/office/drawing/2014/main" id="{BC4FCF50-2290-31B9-5052-9F0D920A7C4B}"/>
            </a:ext>
          </a:extLst>
        </cdr:cNvPr>
        <cdr:cNvCxnSpPr/>
      </cdr:nvCxnSpPr>
      <cdr:spPr>
        <a:xfrm xmlns:a="http://schemas.openxmlformats.org/drawingml/2006/main">
          <a:off x="4218477" y="151881"/>
          <a:ext cx="0" cy="2076061"/>
        </a:xfrm>
        <a:prstGeom xmlns:a="http://schemas.openxmlformats.org/drawingml/2006/main" prst="line">
          <a:avLst/>
        </a:prstGeom>
        <a:ln xmlns:a="http://schemas.openxmlformats.org/drawingml/2006/main">
          <a:solidFill>
            <a:srgbClr val="7A7A7A"/>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GET">
    <a:dk1>
      <a:srgbClr val="333333"/>
    </a:dk1>
    <a:lt1>
      <a:srgbClr val="FEFFFF"/>
    </a:lt1>
    <a:dk2>
      <a:srgbClr val="333333"/>
    </a:dk2>
    <a:lt2>
      <a:srgbClr val="FEFFFF"/>
    </a:lt2>
    <a:accent1>
      <a:srgbClr val="104C91"/>
    </a:accent1>
    <a:accent2>
      <a:srgbClr val="86B3E1"/>
    </a:accent2>
    <a:accent3>
      <a:srgbClr val="F49B19"/>
    </a:accent3>
    <a:accent4>
      <a:srgbClr val="F8F8F7"/>
    </a:accent4>
    <a:accent5>
      <a:srgbClr val="333333"/>
    </a:accent5>
    <a:accent6>
      <a:srgbClr val="F4F4F3"/>
    </a:accent6>
    <a:hlink>
      <a:srgbClr val="F49B19"/>
    </a:hlink>
    <a:folHlink>
      <a:srgbClr val="86B3E1"/>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FEC29D3D9A6D648ABED0DBA26CC09E5" ma:contentTypeVersion="18" ma:contentTypeDescription="Ein neues Dokument erstellen." ma:contentTypeScope="" ma:versionID="48f460cea9a22c505de3e7e9bd796f98">
  <xsd:schema xmlns:xsd="http://www.w3.org/2001/XMLSchema" xmlns:xs="http://www.w3.org/2001/XMLSchema" xmlns:p="http://schemas.microsoft.com/office/2006/metadata/properties" xmlns:ns2="818d277c-ed2c-41d7-971f-a599b90385f4" xmlns:ns3="4df30cb3-ad06-42d7-8028-602761e52853" targetNamespace="http://schemas.microsoft.com/office/2006/metadata/properties" ma:root="true" ma:fieldsID="fab3ff1502bd21ce3413254747e16fd8" ns2:_="" ns3:_="">
    <xsd:import namespace="818d277c-ed2c-41d7-971f-a599b90385f4"/>
    <xsd:import namespace="4df30cb3-ad06-42d7-8028-602761e5285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d277c-ed2c-41d7-971f-a599b90385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ccb96317-d7ec-4e3d-b476-72e3aac0d484"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f30cb3-ad06-42d7-8028-602761e52853"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c4524e3-acac-4bce-afde-f120093e0b18}" ma:internalName="TaxCatchAll" ma:showField="CatchAllData" ma:web="4df30cb3-ad06-42d7-8028-602761e528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18d277c-ed2c-41d7-971f-a599b90385f4">
      <Terms xmlns="http://schemas.microsoft.com/office/infopath/2007/PartnerControls"/>
    </lcf76f155ced4ddcb4097134ff3c332f>
    <TaxCatchAll xmlns="4df30cb3-ad06-42d7-8028-602761e52853" xsi:nil="true"/>
  </documentManagement>
</p:properties>
</file>

<file path=customXml/itemProps1.xml><?xml version="1.0" encoding="utf-8"?>
<ds:datastoreItem xmlns:ds="http://schemas.openxmlformats.org/officeDocument/2006/customXml" ds:itemID="{3B22749D-4312-4273-B9E6-515CCA9F995C}">
  <ds:schemaRefs>
    <ds:schemaRef ds:uri="http://schemas.openxmlformats.org/officeDocument/2006/bibliography"/>
  </ds:schemaRefs>
</ds:datastoreItem>
</file>

<file path=customXml/itemProps2.xml><?xml version="1.0" encoding="utf-8"?>
<ds:datastoreItem xmlns:ds="http://schemas.openxmlformats.org/officeDocument/2006/customXml" ds:itemID="{99B81BC2-438D-47CE-84C2-D1F9613BF1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d277c-ed2c-41d7-971f-a599b90385f4"/>
    <ds:schemaRef ds:uri="4df30cb3-ad06-42d7-8028-602761e528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85561E-4381-4062-8235-9F14612D4797}">
  <ds:schemaRefs>
    <ds:schemaRef ds:uri="http://schemas.microsoft.com/sharepoint/v3/contenttype/forms"/>
  </ds:schemaRefs>
</ds:datastoreItem>
</file>

<file path=customXml/itemProps4.xml><?xml version="1.0" encoding="utf-8"?>
<ds:datastoreItem xmlns:ds="http://schemas.openxmlformats.org/officeDocument/2006/customXml" ds:itemID="{EAC552D5-0070-48D4-92C0-013E057C8113}">
  <ds:schemaRefs>
    <ds:schemaRef ds:uri="http://schemas.microsoft.com/office/2006/metadata/properties"/>
    <ds:schemaRef ds:uri="http://schemas.microsoft.com/office/infopath/2007/PartnerControls"/>
    <ds:schemaRef ds:uri="818d277c-ed2c-41d7-971f-a599b90385f4"/>
    <ds:schemaRef ds:uri="4df30cb3-ad06-42d7-8028-602761e5285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8203</Words>
  <Characters>46759</Characters>
  <Application>Microsoft Office Word</Application>
  <DocSecurity>0</DocSecurity>
  <Lines>389</Lines>
  <Paragraphs>109</Paragraphs>
  <ScaleCrop>false</ScaleCrop>
  <HeadingPairs>
    <vt:vector size="6" baseType="variant">
      <vt:variant>
        <vt:lpstr>Title</vt:lpstr>
      </vt:variant>
      <vt:variant>
        <vt:i4>1</vt:i4>
      </vt:variant>
      <vt:variant>
        <vt:lpstr>Titel</vt:lpstr>
      </vt:variant>
      <vt:variant>
        <vt:i4>1</vt:i4>
      </vt:variant>
      <vt:variant>
        <vt:lpstr>Название</vt:lpstr>
      </vt:variant>
      <vt:variant>
        <vt:i4>1</vt:i4>
      </vt:variant>
    </vt:vector>
  </HeadingPairs>
  <TitlesOfParts>
    <vt:vector size="3" baseType="lpstr">
      <vt:lpstr/>
      <vt:lpstr/>
      <vt:lpstr/>
    </vt:vector>
  </TitlesOfParts>
  <Company>BE</Company>
  <LinksUpToDate>false</LinksUpToDate>
  <CharactersWithSpaces>54853</CharactersWithSpaces>
  <SharedDoc>false</SharedDoc>
  <HLinks>
    <vt:vector size="174" baseType="variant">
      <vt:variant>
        <vt:i4>1769525</vt:i4>
      </vt:variant>
      <vt:variant>
        <vt:i4>101</vt:i4>
      </vt:variant>
      <vt:variant>
        <vt:i4>0</vt:i4>
      </vt:variant>
      <vt:variant>
        <vt:i4>5</vt:i4>
      </vt:variant>
      <vt:variant>
        <vt:lpwstr/>
      </vt:variant>
      <vt:variant>
        <vt:lpwstr>_Toc182575141</vt:lpwstr>
      </vt:variant>
      <vt:variant>
        <vt:i4>1769525</vt:i4>
      </vt:variant>
      <vt:variant>
        <vt:i4>95</vt:i4>
      </vt:variant>
      <vt:variant>
        <vt:i4>0</vt:i4>
      </vt:variant>
      <vt:variant>
        <vt:i4>5</vt:i4>
      </vt:variant>
      <vt:variant>
        <vt:lpwstr/>
      </vt:variant>
      <vt:variant>
        <vt:lpwstr>_Toc182575140</vt:lpwstr>
      </vt:variant>
      <vt:variant>
        <vt:i4>1835061</vt:i4>
      </vt:variant>
      <vt:variant>
        <vt:i4>89</vt:i4>
      </vt:variant>
      <vt:variant>
        <vt:i4>0</vt:i4>
      </vt:variant>
      <vt:variant>
        <vt:i4>5</vt:i4>
      </vt:variant>
      <vt:variant>
        <vt:lpwstr/>
      </vt:variant>
      <vt:variant>
        <vt:lpwstr>_Toc182575139</vt:lpwstr>
      </vt:variant>
      <vt:variant>
        <vt:i4>1835061</vt:i4>
      </vt:variant>
      <vt:variant>
        <vt:i4>83</vt:i4>
      </vt:variant>
      <vt:variant>
        <vt:i4>0</vt:i4>
      </vt:variant>
      <vt:variant>
        <vt:i4>5</vt:i4>
      </vt:variant>
      <vt:variant>
        <vt:lpwstr/>
      </vt:variant>
      <vt:variant>
        <vt:lpwstr>_Toc182575138</vt:lpwstr>
      </vt:variant>
      <vt:variant>
        <vt:i4>1835061</vt:i4>
      </vt:variant>
      <vt:variant>
        <vt:i4>77</vt:i4>
      </vt:variant>
      <vt:variant>
        <vt:i4>0</vt:i4>
      </vt:variant>
      <vt:variant>
        <vt:i4>5</vt:i4>
      </vt:variant>
      <vt:variant>
        <vt:lpwstr/>
      </vt:variant>
      <vt:variant>
        <vt:lpwstr>_Toc182575137</vt:lpwstr>
      </vt:variant>
      <vt:variant>
        <vt:i4>1835061</vt:i4>
      </vt:variant>
      <vt:variant>
        <vt:i4>71</vt:i4>
      </vt:variant>
      <vt:variant>
        <vt:i4>0</vt:i4>
      </vt:variant>
      <vt:variant>
        <vt:i4>5</vt:i4>
      </vt:variant>
      <vt:variant>
        <vt:lpwstr/>
      </vt:variant>
      <vt:variant>
        <vt:lpwstr>_Toc182575136</vt:lpwstr>
      </vt:variant>
      <vt:variant>
        <vt:i4>1835061</vt:i4>
      </vt:variant>
      <vt:variant>
        <vt:i4>65</vt:i4>
      </vt:variant>
      <vt:variant>
        <vt:i4>0</vt:i4>
      </vt:variant>
      <vt:variant>
        <vt:i4>5</vt:i4>
      </vt:variant>
      <vt:variant>
        <vt:lpwstr/>
      </vt:variant>
      <vt:variant>
        <vt:lpwstr>_Toc182575135</vt:lpwstr>
      </vt:variant>
      <vt:variant>
        <vt:i4>1835061</vt:i4>
      </vt:variant>
      <vt:variant>
        <vt:i4>59</vt:i4>
      </vt:variant>
      <vt:variant>
        <vt:i4>0</vt:i4>
      </vt:variant>
      <vt:variant>
        <vt:i4>5</vt:i4>
      </vt:variant>
      <vt:variant>
        <vt:lpwstr/>
      </vt:variant>
      <vt:variant>
        <vt:lpwstr>_Toc182575134</vt:lpwstr>
      </vt:variant>
      <vt:variant>
        <vt:i4>1835061</vt:i4>
      </vt:variant>
      <vt:variant>
        <vt:i4>53</vt:i4>
      </vt:variant>
      <vt:variant>
        <vt:i4>0</vt:i4>
      </vt:variant>
      <vt:variant>
        <vt:i4>5</vt:i4>
      </vt:variant>
      <vt:variant>
        <vt:lpwstr/>
      </vt:variant>
      <vt:variant>
        <vt:lpwstr>_Toc182575133</vt:lpwstr>
      </vt:variant>
      <vt:variant>
        <vt:i4>1835061</vt:i4>
      </vt:variant>
      <vt:variant>
        <vt:i4>47</vt:i4>
      </vt:variant>
      <vt:variant>
        <vt:i4>0</vt:i4>
      </vt:variant>
      <vt:variant>
        <vt:i4>5</vt:i4>
      </vt:variant>
      <vt:variant>
        <vt:lpwstr/>
      </vt:variant>
      <vt:variant>
        <vt:lpwstr>_Toc182575132</vt:lpwstr>
      </vt:variant>
      <vt:variant>
        <vt:i4>1835061</vt:i4>
      </vt:variant>
      <vt:variant>
        <vt:i4>41</vt:i4>
      </vt:variant>
      <vt:variant>
        <vt:i4>0</vt:i4>
      </vt:variant>
      <vt:variant>
        <vt:i4>5</vt:i4>
      </vt:variant>
      <vt:variant>
        <vt:lpwstr/>
      </vt:variant>
      <vt:variant>
        <vt:lpwstr>_Toc182575131</vt:lpwstr>
      </vt:variant>
      <vt:variant>
        <vt:i4>1835061</vt:i4>
      </vt:variant>
      <vt:variant>
        <vt:i4>35</vt:i4>
      </vt:variant>
      <vt:variant>
        <vt:i4>0</vt:i4>
      </vt:variant>
      <vt:variant>
        <vt:i4>5</vt:i4>
      </vt:variant>
      <vt:variant>
        <vt:lpwstr/>
      </vt:variant>
      <vt:variant>
        <vt:lpwstr>_Toc182575130</vt:lpwstr>
      </vt:variant>
      <vt:variant>
        <vt:i4>1900597</vt:i4>
      </vt:variant>
      <vt:variant>
        <vt:i4>29</vt:i4>
      </vt:variant>
      <vt:variant>
        <vt:i4>0</vt:i4>
      </vt:variant>
      <vt:variant>
        <vt:i4>5</vt:i4>
      </vt:variant>
      <vt:variant>
        <vt:lpwstr/>
      </vt:variant>
      <vt:variant>
        <vt:lpwstr>_Toc182575129</vt:lpwstr>
      </vt:variant>
      <vt:variant>
        <vt:i4>1900597</vt:i4>
      </vt:variant>
      <vt:variant>
        <vt:i4>23</vt:i4>
      </vt:variant>
      <vt:variant>
        <vt:i4>0</vt:i4>
      </vt:variant>
      <vt:variant>
        <vt:i4>5</vt:i4>
      </vt:variant>
      <vt:variant>
        <vt:lpwstr/>
      </vt:variant>
      <vt:variant>
        <vt:lpwstr>_Toc182575128</vt:lpwstr>
      </vt:variant>
      <vt:variant>
        <vt:i4>1900597</vt:i4>
      </vt:variant>
      <vt:variant>
        <vt:i4>17</vt:i4>
      </vt:variant>
      <vt:variant>
        <vt:i4>0</vt:i4>
      </vt:variant>
      <vt:variant>
        <vt:i4>5</vt:i4>
      </vt:variant>
      <vt:variant>
        <vt:lpwstr/>
      </vt:variant>
      <vt:variant>
        <vt:lpwstr>_Toc182575127</vt:lpwstr>
      </vt:variant>
      <vt:variant>
        <vt:i4>1900597</vt:i4>
      </vt:variant>
      <vt:variant>
        <vt:i4>11</vt:i4>
      </vt:variant>
      <vt:variant>
        <vt:i4>0</vt:i4>
      </vt:variant>
      <vt:variant>
        <vt:i4>5</vt:i4>
      </vt:variant>
      <vt:variant>
        <vt:lpwstr/>
      </vt:variant>
      <vt:variant>
        <vt:lpwstr>_Toc182575126</vt:lpwstr>
      </vt:variant>
      <vt:variant>
        <vt:i4>1900597</vt:i4>
      </vt:variant>
      <vt:variant>
        <vt:i4>5</vt:i4>
      </vt:variant>
      <vt:variant>
        <vt:i4>0</vt:i4>
      </vt:variant>
      <vt:variant>
        <vt:i4>5</vt:i4>
      </vt:variant>
      <vt:variant>
        <vt:lpwstr/>
      </vt:variant>
      <vt:variant>
        <vt:lpwstr>_Toc182575125</vt:lpwstr>
      </vt:variant>
      <vt:variant>
        <vt:i4>4849723</vt:i4>
      </vt:variant>
      <vt:variant>
        <vt:i4>0</vt:i4>
      </vt:variant>
      <vt:variant>
        <vt:i4>0</vt:i4>
      </vt:variant>
      <vt:variant>
        <vt:i4>5</vt:i4>
      </vt:variant>
      <vt:variant>
        <vt:lpwstr>mailto:walter@berlin-economics.com</vt:lpwstr>
      </vt:variant>
      <vt:variant>
        <vt:lpwstr/>
      </vt:variant>
      <vt:variant>
        <vt:i4>3735596</vt:i4>
      </vt:variant>
      <vt:variant>
        <vt:i4>15</vt:i4>
      </vt:variant>
      <vt:variant>
        <vt:i4>0</vt:i4>
      </vt:variant>
      <vt:variant>
        <vt:i4>5</vt:i4>
      </vt:variant>
      <vt:variant>
        <vt:lpwstr>https://het.uz/uploads/e2dff98e-6eb9-2c89-3ff6-2bc23943bbe7_media_.pdf</vt:lpwstr>
      </vt:variant>
      <vt:variant>
        <vt:lpwstr/>
      </vt:variant>
      <vt:variant>
        <vt:i4>393235</vt:i4>
      </vt:variant>
      <vt:variant>
        <vt:i4>12</vt:i4>
      </vt:variant>
      <vt:variant>
        <vt:i4>0</vt:i4>
      </vt:variant>
      <vt:variant>
        <vt:i4>5</vt:i4>
      </vt:variant>
      <vt:variant>
        <vt:lpwstr>https://www.iea.org/countries/uzbekistan/electricity</vt:lpwstr>
      </vt:variant>
      <vt:variant>
        <vt:lpwstr/>
      </vt:variant>
      <vt:variant>
        <vt:i4>5767262</vt:i4>
      </vt:variant>
      <vt:variant>
        <vt:i4>9</vt:i4>
      </vt:variant>
      <vt:variant>
        <vt:i4>0</vt:i4>
      </vt:variant>
      <vt:variant>
        <vt:i4>5</vt:i4>
      </vt:variant>
      <vt:variant>
        <vt:lpwstr>https://www.reuters.com/article/us-uzbekistan-economy-idUSKBN1EG24T/</vt:lpwstr>
      </vt:variant>
      <vt:variant>
        <vt:lpwstr/>
      </vt:variant>
      <vt:variant>
        <vt:i4>6750315</vt:i4>
      </vt:variant>
      <vt:variant>
        <vt:i4>6</vt:i4>
      </vt:variant>
      <vt:variant>
        <vt:i4>0</vt:i4>
      </vt:variant>
      <vt:variant>
        <vt:i4>5</vt:i4>
      </vt:variant>
      <vt:variant>
        <vt:lpwstr>https://www.sei.org/tools/leap-long-range-energy-alternatives-planning-system/</vt:lpwstr>
      </vt:variant>
      <vt:variant>
        <vt:lpwstr/>
      </vt:variant>
      <vt:variant>
        <vt:i4>6488171</vt:i4>
      </vt:variant>
      <vt:variant>
        <vt:i4>3</vt:i4>
      </vt:variant>
      <vt:variant>
        <vt:i4>0</vt:i4>
      </vt:variant>
      <vt:variant>
        <vt:i4>5</vt:i4>
      </vt:variant>
      <vt:variant>
        <vt:lpwstr>https://lex.uz/uz/docs/6624455</vt:lpwstr>
      </vt:variant>
      <vt:variant>
        <vt:lpwstr/>
      </vt:variant>
      <vt:variant>
        <vt:i4>6881401</vt:i4>
      </vt:variant>
      <vt:variant>
        <vt:i4>0</vt:i4>
      </vt:variant>
      <vt:variant>
        <vt:i4>0</vt:i4>
      </vt:variant>
      <vt:variant>
        <vt:i4>5</vt:i4>
      </vt:variant>
      <vt:variant>
        <vt:lpwstr>https://lex.uz/ru/pdfs/6609144</vt:lpwstr>
      </vt:variant>
      <vt:variant>
        <vt:lpwstr/>
      </vt:variant>
      <vt:variant>
        <vt:i4>3342418</vt:i4>
      </vt:variant>
      <vt:variant>
        <vt:i4>12</vt:i4>
      </vt:variant>
      <vt:variant>
        <vt:i4>0</vt:i4>
      </vt:variant>
      <vt:variant>
        <vt:i4>5</vt:i4>
      </vt:variant>
      <vt:variant>
        <vt:lpwstr>mailto:saparova@berlin-economics.com</vt:lpwstr>
      </vt:variant>
      <vt:variant>
        <vt:lpwstr/>
      </vt:variant>
      <vt:variant>
        <vt:i4>3342418</vt:i4>
      </vt:variant>
      <vt:variant>
        <vt:i4>9</vt:i4>
      </vt:variant>
      <vt:variant>
        <vt:i4>0</vt:i4>
      </vt:variant>
      <vt:variant>
        <vt:i4>5</vt:i4>
      </vt:variant>
      <vt:variant>
        <vt:lpwstr>mailto:saparova@berlin-economics.com</vt:lpwstr>
      </vt:variant>
      <vt:variant>
        <vt:lpwstr/>
      </vt:variant>
      <vt:variant>
        <vt:i4>3342418</vt:i4>
      </vt:variant>
      <vt:variant>
        <vt:i4>6</vt:i4>
      </vt:variant>
      <vt:variant>
        <vt:i4>0</vt:i4>
      </vt:variant>
      <vt:variant>
        <vt:i4>5</vt:i4>
      </vt:variant>
      <vt:variant>
        <vt:lpwstr>mailto:saparova@berlin-economics.com</vt:lpwstr>
      </vt:variant>
      <vt:variant>
        <vt:lpwstr/>
      </vt:variant>
      <vt:variant>
        <vt:i4>3342418</vt:i4>
      </vt:variant>
      <vt:variant>
        <vt:i4>3</vt:i4>
      </vt:variant>
      <vt:variant>
        <vt:i4>0</vt:i4>
      </vt:variant>
      <vt:variant>
        <vt:i4>5</vt:i4>
      </vt:variant>
      <vt:variant>
        <vt:lpwstr>mailto:saparova@berlin-economics.com</vt:lpwstr>
      </vt:variant>
      <vt:variant>
        <vt:lpwstr/>
      </vt:variant>
      <vt:variant>
        <vt:i4>3342418</vt:i4>
      </vt:variant>
      <vt:variant>
        <vt:i4>0</vt:i4>
      </vt:variant>
      <vt:variant>
        <vt:i4>0</vt:i4>
      </vt:variant>
      <vt:variant>
        <vt:i4>5</vt:i4>
      </vt:variant>
      <vt:variant>
        <vt:lpwstr>mailto:saparova@berlin-economics.com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Kirchner</dc:creator>
  <cp:keywords/>
  <dc:description/>
  <cp:lastModifiedBy>Walter, Woldemar</cp:lastModifiedBy>
  <cp:revision>3</cp:revision>
  <cp:lastPrinted>2023-09-30T16:01:00Z</cp:lastPrinted>
  <dcterms:created xsi:type="dcterms:W3CDTF">2024-11-20T13:45:00Z</dcterms:created>
  <dcterms:modified xsi:type="dcterms:W3CDTF">2024-11-20T13:47:00Z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141ac2f-dcca-4e87-81f1-136d12e1920e_Enabled">
    <vt:lpwstr>True</vt:lpwstr>
  </property>
  <property fmtid="{D5CDD505-2E9C-101B-9397-08002B2CF9AE}" pid="3" name="MSIP_Label_c141ac2f-dcca-4e87-81f1-136d12e1920e_SiteId">
    <vt:lpwstr>809d82ab-c4a1-4f5d-8384-ad701f67e3f5</vt:lpwstr>
  </property>
  <property fmtid="{D5CDD505-2E9C-101B-9397-08002B2CF9AE}" pid="4" name="MSIP_Label_c141ac2f-dcca-4e87-81f1-136d12e1920e_Owner">
    <vt:lpwstr>Philipp.Theuring@ragnsells.com</vt:lpwstr>
  </property>
  <property fmtid="{D5CDD505-2E9C-101B-9397-08002B2CF9AE}" pid="5" name="MSIP_Label_c141ac2f-dcca-4e87-81f1-136d12e1920e_SetDate">
    <vt:lpwstr>2023-04-02T16:08:36.6354248Z</vt:lpwstr>
  </property>
  <property fmtid="{D5CDD505-2E9C-101B-9397-08002B2CF9AE}" pid="6" name="MSIP_Label_c141ac2f-dcca-4e87-81f1-136d12e1920e_Name">
    <vt:lpwstr>Internal</vt:lpwstr>
  </property>
  <property fmtid="{D5CDD505-2E9C-101B-9397-08002B2CF9AE}" pid="7" name="MSIP_Label_c141ac2f-dcca-4e87-81f1-136d12e1920e_Application">
    <vt:lpwstr>Microsoft Azure Information Protection</vt:lpwstr>
  </property>
  <property fmtid="{D5CDD505-2E9C-101B-9397-08002B2CF9AE}" pid="8" name="MSIP_Label_c141ac2f-dcca-4e87-81f1-136d12e1920e_ActionId">
    <vt:lpwstr>55b649dd-9796-4abf-8b4b-26e39474f9aa</vt:lpwstr>
  </property>
  <property fmtid="{D5CDD505-2E9C-101B-9397-08002B2CF9AE}" pid="9" name="MSIP_Label_c141ac2f-dcca-4e87-81f1-136d12e1920e_Extended_MSFT_Method">
    <vt:lpwstr>Automatic</vt:lpwstr>
  </property>
  <property fmtid="{D5CDD505-2E9C-101B-9397-08002B2CF9AE}" pid="10" name="Sensitivity">
    <vt:lpwstr>Internal</vt:lpwstr>
  </property>
  <property fmtid="{D5CDD505-2E9C-101B-9397-08002B2CF9AE}" pid="11" name="lcf76f155ced4ddcb4097134ff3c332f">
    <vt:lpwstr/>
  </property>
  <property fmtid="{D5CDD505-2E9C-101B-9397-08002B2CF9AE}" pid="12" name="TaxCatchAll">
    <vt:lpwstr/>
  </property>
  <property fmtid="{D5CDD505-2E9C-101B-9397-08002B2CF9AE}" pid="13" name="ContentTypeId">
    <vt:lpwstr>0x0101005FEC29D3D9A6D648ABED0DBA26CC09E5</vt:lpwstr>
  </property>
  <property fmtid="{D5CDD505-2E9C-101B-9397-08002B2CF9AE}" pid="14" name="MediaServiceImageTags">
    <vt:lpwstr/>
  </property>
</Properties>
</file>